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9EBA5">
      <w:pPr>
        <w:jc w:val="center"/>
        <w:rPr>
          <w:rFonts w:hint="eastAsia" w:eastAsiaTheme="minorEastAsia"/>
          <w:lang w:eastAsia="zh-CN"/>
        </w:rPr>
      </w:pPr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160655</wp:posOffset>
            </wp:positionV>
            <wp:extent cx="3376930" cy="2529205"/>
            <wp:effectExtent l="0" t="0" r="4445" b="444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102D0D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372C63EF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13E15827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0465C80F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619318B8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22747484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F100C3D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47EF5F96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2AA0F64B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708CACA0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Fig.1  </w:t>
      </w:r>
      <w:r>
        <w:rPr>
          <w:rFonts w:ascii="Times New Roman" w:hAnsi="Times New Roman" w:cs="Times New Roman" w:eastAsiaTheme="minorEastAsia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14:textFill>
            <w14:solidFill>
              <w14:schemeClr w14:val="tx1"/>
            </w14:solidFill>
          </w14:textFill>
        </w:rPr>
        <w:t>WTA-PAGE analysis was performed on USA300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:lang w:val="en-US" w:eastAsia="zh-CN"/>
          <w14:textFill>
            <w14:solidFill>
              <w14:schemeClr w14:val="tx1"/>
            </w14:solidFill>
          </w14:textFill>
        </w:rPr>
        <w:t>-LAC</w:t>
      </w:r>
      <w:r>
        <w:rPr>
          <w:rFonts w:ascii="Times New Roman" w:hAnsi="Times New Roman" w:cs="Times New Roman" w:eastAsiaTheme="minorEastAsia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14:textFill>
            <w14:solidFill>
              <w14:schemeClr w14:val="tx1"/>
            </w14:solidFill>
          </w14:textFill>
        </w:rPr>
        <w:t xml:space="preserve"> treated with different concentrations of BBR.</w:t>
      </w:r>
    </w:p>
    <w:p w14:paraId="02AE1064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92075</wp:posOffset>
            </wp:positionV>
            <wp:extent cx="5746750" cy="2701290"/>
            <wp:effectExtent l="0" t="0" r="6350" b="381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C52614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30FC129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370A3C35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65DBB637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B679EE3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09D8CBAE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3C1BA6A8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9523217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1E34F745">
      <w:pPr>
        <w:spacing w:line="36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75DB0EEB">
      <w:pPr>
        <w:spacing w:line="360" w:lineRule="auto"/>
        <w:rPr>
          <w:rFonts w:hint="default" w:ascii="Times New Roman" w:hAnsi="Times New Roman" w:cs="Times New Roman" w:eastAsiaTheme="minorEastAsia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Fig.2  </w:t>
      </w:r>
      <w:r>
        <w:rPr>
          <w:rFonts w:ascii="Times New Roman" w:hAnsi="Times New Roman" w:cs="Times New Roman" w:eastAsiaTheme="minorEastAsia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14:textFill>
            <w14:solidFill>
              <w14:schemeClr w14:val="tx1"/>
            </w14:solidFill>
          </w14:textFill>
        </w:rPr>
        <w:t>WTA-PAGE analysis was performed on USA300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:lang w:val="en-US" w:eastAsia="zh-CN"/>
          <w14:textFill>
            <w14:solidFill>
              <w14:schemeClr w14:val="tx1"/>
            </w14:solidFill>
          </w14:textFill>
        </w:rPr>
        <w:t>-LAC</w:t>
      </w:r>
      <w:r>
        <w:rPr>
          <w:rFonts w:ascii="Times New Roman" w:hAnsi="Times New Roman" w:cs="Times New Roman" w:eastAsiaTheme="minorEastAsia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14:textFill>
            <w14:solidFill>
              <w14:schemeClr w14:val="tx1"/>
            </w14:solidFill>
          </w14:textFill>
        </w:rPr>
        <w:t xml:space="preserve"> treated with different concentrations of BBR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000000" w:themeColor="text1"/>
          <w:spacing w:val="0"/>
          <w:sz w:val="21"/>
          <w:szCs w:val="24"/>
          <w:shd w:val="clear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cs="Times New Roman"/>
          <w:bCs/>
          <w:color w:val="auto"/>
        </w:rPr>
        <w:t xml:space="preserve">WTA-PAGE analysis was conducted after treatment with 64 µg/mL BBR in </w:t>
      </w:r>
      <w:r>
        <w:rPr>
          <w:rFonts w:ascii="Times New Roman" w:hAnsi="Times New Roman" w:cs="Times New Roman"/>
          <w:color w:val="auto"/>
        </w:rPr>
        <w:t>USA300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-</w:t>
      </w:r>
      <w:r>
        <w:rPr>
          <w:rFonts w:ascii="Times New Roman" w:hAnsi="Times New Roman" w:cs="Times New Roman"/>
          <w:color w:val="auto"/>
        </w:rPr>
        <w:t>LAC</w:t>
      </w:r>
      <w:r>
        <w:rPr>
          <w:rFonts w:ascii="Times New Roman" w:hAnsi="Times New Roman" w:cs="Times New Roman"/>
          <w:bCs/>
          <w:color w:val="auto"/>
        </w:rPr>
        <w:t>, R-</w:t>
      </w:r>
      <w:r>
        <w:rPr>
          <w:rFonts w:ascii="Times New Roman" w:hAnsi="Times New Roman" w:cs="Times New Roman"/>
          <w:bCs/>
          <w:i/>
          <w:iCs/>
          <w:color w:val="auto"/>
        </w:rPr>
        <w:t>tarO</w:t>
      </w:r>
      <w:r>
        <w:rPr>
          <w:rFonts w:ascii="Times New Roman" w:hAnsi="Times New Roman" w:cs="Times New Roman"/>
          <w:bCs/>
          <w:color w:val="auto"/>
        </w:rPr>
        <w:t>, and Δ</w:t>
      </w:r>
      <w:r>
        <w:rPr>
          <w:rFonts w:ascii="Times New Roman" w:hAnsi="Times New Roman" w:cs="Times New Roman"/>
          <w:bCs/>
          <w:i/>
          <w:iCs/>
          <w:color w:val="auto"/>
        </w:rPr>
        <w:t>tarO</w:t>
      </w:r>
      <w:r>
        <w:rPr>
          <w:rFonts w:ascii="Times New Roman" w:hAnsi="Times New Roman" w:cs="Times New Roman"/>
          <w:bCs/>
          <w:color w:val="auto"/>
        </w:rPr>
        <w:t xml:space="preserve"> strains.</w:t>
      </w:r>
      <w:r>
        <w:rPr>
          <w:rFonts w:hint="eastAsia" w:ascii="Times New Roman" w:hAnsi="Times New Roman" w:cs="Times New Roman"/>
          <w:bCs/>
          <w:color w:val="auto"/>
        </w:rPr>
        <w:t>WTA-PAGE analysis of USA300</w:t>
      </w:r>
      <w:r>
        <w:rPr>
          <w:rFonts w:hint="eastAsia" w:ascii="Times New Roman" w:hAnsi="Times New Roman" w:cs="Times New Roman"/>
          <w:bCs/>
          <w:color w:val="auto"/>
          <w:lang w:val="en-US" w:eastAsia="zh-CN"/>
        </w:rPr>
        <w:t>-</w:t>
      </w:r>
      <w:r>
        <w:rPr>
          <w:rFonts w:hint="eastAsia" w:ascii="Times New Roman" w:hAnsi="Times New Roman" w:cs="Times New Roman"/>
          <w:bCs/>
          <w:color w:val="auto"/>
        </w:rPr>
        <w:t>LAC</w:t>
      </w:r>
      <w:r>
        <w:rPr>
          <w:rFonts w:hint="eastAsia" w:ascii="Times New Roman" w:hAnsi="Times New Roman" w:cs="Times New Roman"/>
          <w:bCs/>
          <w:color w:val="auto"/>
          <w:lang w:val="en-US" w:eastAsia="zh-CN"/>
        </w:rPr>
        <w:t>,</w:t>
      </w:r>
      <w:r>
        <w:rPr>
          <w:rFonts w:hint="eastAsia" w:ascii="Times New Roman" w:hAnsi="Times New Roman" w:cs="Times New Roman"/>
          <w:bCs/>
          <w:color w:val="auto"/>
        </w:rPr>
        <w:t xml:space="preserve"> R-tarO and ΔtarO strains</w:t>
      </w:r>
      <w:r>
        <w:rPr>
          <w:rFonts w:hint="eastAsia" w:ascii="Times New Roman" w:hAnsi="Times New Roman" w:cs="Times New Roman"/>
          <w:bCs/>
          <w:color w:val="auto"/>
          <w:lang w:val="en-US" w:eastAsia="zh-CN"/>
        </w:rPr>
        <w:t>.（Some results are not shown in the article）</w:t>
      </w:r>
    </w:p>
    <w:p w14:paraId="7A47C528">
      <w:pPr>
        <w:tabs>
          <w:tab w:val="left" w:pos="885"/>
        </w:tabs>
        <w:bidi w:val="0"/>
        <w:jc w:val="left"/>
        <w:rPr>
          <w:rFonts w:hint="eastAsia"/>
          <w:lang w:val="en-US" w:eastAsia="zh-CN"/>
        </w:rPr>
      </w:pPr>
    </w:p>
    <w:p w14:paraId="0D368A51">
      <w:pPr>
        <w:tabs>
          <w:tab w:val="left" w:pos="885"/>
        </w:tabs>
        <w:bidi w:val="0"/>
        <w:jc w:val="left"/>
        <w:rPr>
          <w:rFonts w:hint="eastAsia"/>
          <w:lang w:val="en-US" w:eastAsia="zh-CN"/>
        </w:rPr>
      </w:pPr>
    </w:p>
    <w:p w14:paraId="2B2CC24C">
      <w:pPr>
        <w:tabs>
          <w:tab w:val="left" w:pos="885"/>
        </w:tabs>
        <w:bidi w:val="0"/>
        <w:jc w:val="left"/>
        <w:rPr>
          <w:rFonts w:hint="eastAsia"/>
          <w:lang w:val="en-US" w:eastAsia="zh-CN"/>
        </w:rPr>
      </w:pPr>
    </w:p>
    <w:p w14:paraId="14335D57">
      <w:pPr>
        <w:tabs>
          <w:tab w:val="left" w:pos="885"/>
        </w:tabs>
        <w:bidi w:val="0"/>
        <w:jc w:val="left"/>
        <w:rPr>
          <w:rFonts w:hint="eastAsia"/>
          <w:lang w:val="en-US" w:eastAsia="zh-CN"/>
        </w:rPr>
      </w:pPr>
    </w:p>
    <w:p w14:paraId="1896B3A9">
      <w:pPr>
        <w:tabs>
          <w:tab w:val="left" w:pos="885"/>
        </w:tabs>
        <w:bidi w:val="0"/>
        <w:jc w:val="left"/>
        <w:rPr>
          <w:rFonts w:hint="eastAsia"/>
          <w:lang w:val="en-US" w:eastAsia="zh-CN"/>
        </w:rPr>
      </w:pPr>
    </w:p>
    <w:p w14:paraId="6627CDC8">
      <w:pPr>
        <w:tabs>
          <w:tab w:val="left" w:pos="885"/>
        </w:tabs>
        <w:bidi w:val="0"/>
        <w:jc w:val="left"/>
        <w:rPr>
          <w:rFonts w:hint="eastAsia"/>
          <w:lang w:val="en-US" w:eastAsia="zh-CN"/>
        </w:rPr>
      </w:pPr>
    </w:p>
    <w:p w14:paraId="55690ED2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15AE688C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6EEFD697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5062855" cy="2700655"/>
            <wp:effectExtent l="0" t="0" r="4445" b="4445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28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9AB234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0C72A1AD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23D9EB0C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70E70056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482023AF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0E1A7870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7D9B618D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3F84C984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ABC9255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42B6B982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A881E89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4F4EF71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4B24FA51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11E8E66E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520EF8B6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Fig.3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The changes of </w:t>
      </w:r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lytM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ssaA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gene levels in USA300 after BBR treatment for 3 hours were analyzed by qRT-PCR</w:t>
      </w:r>
    </w:p>
    <w:p w14:paraId="1081C640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67F5C092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29845</wp:posOffset>
            </wp:positionV>
            <wp:extent cx="4699000" cy="2643505"/>
            <wp:effectExtent l="0" t="0" r="6350" b="4445"/>
            <wp:wrapNone/>
            <wp:docPr id="3" name="图片 3" descr="Figure0421-Taro Berberine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0421-Taro Berberine(1)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259B9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4DC40BBD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</w:p>
    <w:p w14:paraId="1266D06C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3DA46F">
      <w:pPr>
        <w:bidi w:val="0"/>
        <w:rPr>
          <w:rFonts w:hint="default"/>
          <w:lang w:val="en-US" w:eastAsia="zh-CN"/>
        </w:rPr>
      </w:pPr>
    </w:p>
    <w:p w14:paraId="1CB68569">
      <w:pPr>
        <w:bidi w:val="0"/>
        <w:rPr>
          <w:rFonts w:hint="default"/>
          <w:lang w:val="en-US" w:eastAsia="zh-CN"/>
        </w:rPr>
      </w:pPr>
    </w:p>
    <w:p w14:paraId="3EC94A6F">
      <w:pPr>
        <w:bidi w:val="0"/>
        <w:rPr>
          <w:rFonts w:hint="default"/>
          <w:lang w:val="en-US" w:eastAsia="zh-CN"/>
        </w:rPr>
      </w:pPr>
    </w:p>
    <w:p w14:paraId="34A5D3FB">
      <w:pPr>
        <w:bidi w:val="0"/>
        <w:rPr>
          <w:rFonts w:hint="default"/>
          <w:lang w:val="en-US" w:eastAsia="zh-CN"/>
        </w:rPr>
      </w:pPr>
    </w:p>
    <w:p w14:paraId="6F3B96D7">
      <w:pPr>
        <w:bidi w:val="0"/>
        <w:rPr>
          <w:rFonts w:hint="default"/>
          <w:lang w:val="en-US" w:eastAsia="zh-CN"/>
        </w:rPr>
      </w:pPr>
    </w:p>
    <w:p w14:paraId="7BAF5BCC">
      <w:pPr>
        <w:bidi w:val="0"/>
        <w:rPr>
          <w:rFonts w:hint="default"/>
          <w:lang w:val="en-US" w:eastAsia="zh-CN"/>
        </w:rPr>
      </w:pPr>
    </w:p>
    <w:p w14:paraId="4B611600">
      <w:pPr>
        <w:bidi w:val="0"/>
        <w:rPr>
          <w:rFonts w:hint="default"/>
          <w:lang w:val="en-US" w:eastAsia="zh-CN"/>
        </w:rPr>
      </w:pPr>
    </w:p>
    <w:p w14:paraId="5E62C39F">
      <w:pPr>
        <w:bidi w:val="0"/>
        <w:rPr>
          <w:rFonts w:hint="default"/>
          <w:lang w:val="en-US" w:eastAsia="zh-CN"/>
        </w:rPr>
      </w:pPr>
    </w:p>
    <w:p w14:paraId="03A566E7">
      <w:pPr>
        <w:bidi w:val="0"/>
        <w:rPr>
          <w:rFonts w:hint="default"/>
          <w:lang w:val="en-US" w:eastAsia="zh-CN"/>
        </w:rPr>
      </w:pPr>
    </w:p>
    <w:p w14:paraId="739069EA">
      <w:pPr>
        <w:bidi w:val="0"/>
        <w:rPr>
          <w:rFonts w:hint="default"/>
          <w:lang w:val="en-US" w:eastAsia="zh-CN"/>
        </w:rPr>
      </w:pPr>
    </w:p>
    <w:p w14:paraId="4C201307">
      <w:pPr>
        <w:tabs>
          <w:tab w:val="left" w:pos="885"/>
        </w:tabs>
        <w:bidi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Fig.4 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3D molecular docking diagram of berberine and TarO. The 3D interaction maps revealed that BBR forms hydrogen bonds with TarO’s LYS-38 and LEU-206, ensuring stable binding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lNDA0OTdhNzY0MTUxMmRkYzdmODlmOTQ1ODUwNWIifQ=="/>
  </w:docVars>
  <w:rsids>
    <w:rsidRoot w:val="00000000"/>
    <w:rsid w:val="00B0507A"/>
    <w:rsid w:val="057468E0"/>
    <w:rsid w:val="1C7B477D"/>
    <w:rsid w:val="325772F0"/>
    <w:rsid w:val="3E4B1DC0"/>
    <w:rsid w:val="5E59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481</Characters>
  <Lines>0</Lines>
  <Paragraphs>0</Paragraphs>
  <TotalTime>1</TotalTime>
  <ScaleCrop>false</ScaleCrop>
  <LinksUpToDate>false</LinksUpToDate>
  <CharactersWithSpaces>560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糖児児</cp:lastModifiedBy>
  <dcterms:modified xsi:type="dcterms:W3CDTF">2025-02-10T07:30:07Z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462AFAAAA990402FB2C9A6B55F6C0A36_13</vt:lpwstr>
  </property>
  <property fmtid="{D5CDD505-2E9C-101B-9397-08002B2CF9AE}" pid="4" name="KSOTemplateDocerSaveRecord">
    <vt:lpwstr>eyJoZGlkIjoiYmI1NmI0OWFiMjE3MTA5NjUxYTc4NGY1MGFlMTBjOGUiLCJ1c2VySWQiOiIyNjYyMjQ1MTYifQ==</vt:lpwstr>
  </property>
</Properties>
</file>