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77012" w14:textId="2D034DD8" w:rsidR="009A37EE" w:rsidRPr="00DB3D4F" w:rsidRDefault="009A37EE" w:rsidP="009A37EE">
      <w:pPr>
        <w:spacing w:line="300" w:lineRule="auto"/>
        <w:rPr>
          <w:rFonts w:ascii="Times New Roman" w:hAnsi="Times New Roman" w:cs="Times New Roman"/>
          <w:b/>
          <w:bCs/>
          <w:sz w:val="20"/>
          <w:szCs w:val="20"/>
        </w:rPr>
      </w:pPr>
      <w:r w:rsidRPr="00DB3D4F">
        <w:rPr>
          <w:rFonts w:ascii="Times New Roman" w:hAnsi="Times New Roman" w:cs="Times New Roman"/>
          <w:b/>
          <w:bCs/>
          <w:sz w:val="20"/>
          <w:szCs w:val="20"/>
        </w:rPr>
        <w:t>Detailed methods of ERA detection technology:</w:t>
      </w:r>
    </w:p>
    <w:p w14:paraId="62035554" w14:textId="2555FBBB" w:rsidR="009A37EE" w:rsidRPr="00DB3D4F" w:rsidRDefault="00785675" w:rsidP="009A37EE">
      <w:pPr>
        <w:spacing w:line="300" w:lineRule="auto"/>
        <w:ind w:firstLineChars="200" w:firstLine="400"/>
        <w:rPr>
          <w:rFonts w:ascii="Times New Roman" w:hAnsi="Times New Roman" w:cs="Times New Roman"/>
          <w:sz w:val="20"/>
          <w:szCs w:val="20"/>
        </w:rPr>
      </w:pPr>
      <w:r w:rsidRPr="00DB3D4F">
        <w:rPr>
          <w:rFonts w:ascii="Times New Roman" w:hAnsi="Times New Roman" w:cs="Times New Roman"/>
          <w:sz w:val="20"/>
          <w:szCs w:val="20"/>
        </w:rPr>
        <w:t>The ERA assay detects 238 genes in endometrial tissue to predict endometrial receptivity</w:t>
      </w:r>
      <w:r w:rsidR="009A37EE" w:rsidRPr="00DB3D4F">
        <w:rPr>
          <w:rFonts w:ascii="Times New Roman" w:hAnsi="Times New Roman" w:cs="Times New Roman"/>
          <w:sz w:val="20"/>
          <w:szCs w:val="20"/>
        </w:rPr>
        <w:t>. The detection process mainly involves endometrial sampling, processing, and relevant analysis based on the results of ERA detection technology to obtain the recommended personalized window</w:t>
      </w:r>
      <w:r w:rsidR="00E42BDD" w:rsidRPr="00DB3D4F">
        <w:rPr>
          <w:rFonts w:ascii="Times New Roman" w:hAnsi="Times New Roman" w:cs="Times New Roman"/>
          <w:sz w:val="20"/>
          <w:szCs w:val="20"/>
        </w:rPr>
        <w:t xml:space="preserve"> </w:t>
      </w:r>
      <w:r w:rsidR="00E42BDD" w:rsidRPr="00DB3D4F">
        <w:rPr>
          <w:rFonts w:ascii="Times New Roman" w:hAnsi="Times New Roman" w:cs="Times New Roman" w:hint="eastAsia"/>
          <w:sz w:val="20"/>
          <w:szCs w:val="20"/>
        </w:rPr>
        <w:t xml:space="preserve">of </w:t>
      </w:r>
      <w:r w:rsidR="00E42BDD" w:rsidRPr="00DB3D4F">
        <w:rPr>
          <w:rFonts w:ascii="Times New Roman" w:hAnsi="Times New Roman" w:cs="Times New Roman"/>
          <w:sz w:val="20"/>
          <w:szCs w:val="20"/>
        </w:rPr>
        <w:t>implantation</w:t>
      </w:r>
      <w:r w:rsidR="00E42BDD" w:rsidRPr="00DB3D4F">
        <w:rPr>
          <w:rFonts w:ascii="Times New Roman" w:hAnsi="Times New Roman" w:cs="Times New Roman" w:hint="eastAsia"/>
          <w:sz w:val="20"/>
          <w:szCs w:val="20"/>
        </w:rPr>
        <w:t xml:space="preserve"> (WOI)</w:t>
      </w:r>
      <w:r w:rsidR="009A37EE" w:rsidRPr="00DB3D4F">
        <w:rPr>
          <w:rFonts w:ascii="Times New Roman" w:hAnsi="Times New Roman" w:cs="Times New Roman"/>
          <w:sz w:val="20"/>
          <w:szCs w:val="20"/>
        </w:rPr>
        <w:t>.</w:t>
      </w:r>
    </w:p>
    <w:p w14:paraId="0268963A" w14:textId="0DDE5101" w:rsidR="009A37EE" w:rsidRPr="00DB3D4F" w:rsidRDefault="009A37EE" w:rsidP="009A37EE">
      <w:pPr>
        <w:pStyle w:val="ab"/>
        <w:numPr>
          <w:ilvl w:val="0"/>
          <w:numId w:val="4"/>
        </w:numPr>
        <w:spacing w:line="300" w:lineRule="auto"/>
        <w:ind w:firstLineChars="0"/>
        <w:rPr>
          <w:rFonts w:ascii="Times New Roman" w:hAnsi="Times New Roman" w:cs="Times New Roman"/>
          <w:b/>
          <w:bCs/>
          <w:sz w:val="20"/>
          <w:szCs w:val="20"/>
        </w:rPr>
      </w:pPr>
      <w:r w:rsidRPr="00DB3D4F">
        <w:rPr>
          <w:rFonts w:ascii="Times New Roman" w:hAnsi="Times New Roman" w:cs="Times New Roman"/>
          <w:b/>
          <w:bCs/>
          <w:sz w:val="20"/>
          <w:szCs w:val="20"/>
        </w:rPr>
        <w:t xml:space="preserve">Endometrial sampling and processing: </w:t>
      </w:r>
    </w:p>
    <w:p w14:paraId="34ED5BD8" w14:textId="1DFCD709" w:rsidR="009A37EE" w:rsidRPr="00DB3D4F" w:rsidRDefault="009A37EE" w:rsidP="009A37EE">
      <w:pPr>
        <w:spacing w:line="300" w:lineRule="auto"/>
        <w:rPr>
          <w:rFonts w:ascii="Times New Roman" w:hAnsi="Times New Roman" w:cs="Times New Roman"/>
          <w:sz w:val="20"/>
          <w:szCs w:val="20"/>
        </w:rPr>
      </w:pPr>
      <w:r w:rsidRPr="00DB3D4F">
        <w:rPr>
          <w:rFonts w:ascii="Times New Roman" w:hAnsi="Times New Roman" w:cs="Times New Roman"/>
          <w:sz w:val="20"/>
          <w:szCs w:val="20"/>
        </w:rPr>
        <w:t xml:space="preserve">ERA detection technology is used to perform endometrial biopsy on LH+7d or hCG+7d after </w:t>
      </w:r>
      <w:r w:rsidR="00785675" w:rsidRPr="00DB3D4F">
        <w:rPr>
          <w:rFonts w:ascii="Times New Roman" w:hAnsi="Times New Roman" w:cs="Times New Roman"/>
          <w:sz w:val="20"/>
          <w:szCs w:val="20"/>
        </w:rPr>
        <w:t xml:space="preserve">the </w:t>
      </w:r>
      <w:r w:rsidRPr="00DB3D4F">
        <w:rPr>
          <w:rFonts w:ascii="Times New Roman" w:hAnsi="Times New Roman" w:cs="Times New Roman"/>
          <w:sz w:val="20"/>
          <w:szCs w:val="20"/>
        </w:rPr>
        <w:t xml:space="preserve">luteinizing hormone (LH) </w:t>
      </w:r>
      <w:r w:rsidR="00785675" w:rsidRPr="00DB3D4F">
        <w:rPr>
          <w:rFonts w:ascii="Times New Roman" w:hAnsi="Times New Roman" w:cs="Times New Roman"/>
          <w:sz w:val="20"/>
          <w:szCs w:val="20"/>
        </w:rPr>
        <w:t xml:space="preserve">peak </w:t>
      </w:r>
      <w:r w:rsidRPr="00DB3D4F">
        <w:rPr>
          <w:rFonts w:ascii="Times New Roman" w:hAnsi="Times New Roman" w:cs="Times New Roman"/>
          <w:sz w:val="20"/>
          <w:szCs w:val="20"/>
        </w:rPr>
        <w:t xml:space="preserve">in the natural cycle or </w:t>
      </w:r>
      <w:r w:rsidR="00785675" w:rsidRPr="00DB3D4F">
        <w:rPr>
          <w:rFonts w:ascii="Times New Roman" w:hAnsi="Times New Roman" w:cs="Times New Roman"/>
          <w:sz w:val="20"/>
          <w:szCs w:val="20"/>
        </w:rPr>
        <w:t>artificial ovulation induced by human chorionic gonadotropin (hCG)</w:t>
      </w:r>
      <w:r w:rsidRPr="00DB3D4F">
        <w:rPr>
          <w:rFonts w:ascii="Times New Roman" w:hAnsi="Times New Roman" w:cs="Times New Roman"/>
          <w:sz w:val="20"/>
          <w:szCs w:val="20"/>
        </w:rPr>
        <w:t xml:space="preserve">. In </w:t>
      </w:r>
      <w:r w:rsidR="00785675" w:rsidRPr="00DB3D4F">
        <w:rPr>
          <w:rFonts w:ascii="Times New Roman" w:hAnsi="Times New Roman" w:cs="Times New Roman"/>
          <w:sz w:val="20"/>
          <w:szCs w:val="20"/>
        </w:rPr>
        <w:t xml:space="preserve">hormone replacement therapy </w:t>
      </w:r>
      <w:r w:rsidR="00785675" w:rsidRPr="00DB3D4F">
        <w:rPr>
          <w:rFonts w:ascii="Times New Roman" w:hAnsi="Times New Roman" w:cs="Times New Roman" w:hint="eastAsia"/>
          <w:sz w:val="20"/>
          <w:szCs w:val="20"/>
        </w:rPr>
        <w:t>(</w:t>
      </w:r>
      <w:r w:rsidRPr="00DB3D4F">
        <w:rPr>
          <w:rFonts w:ascii="Times New Roman" w:hAnsi="Times New Roman" w:cs="Times New Roman"/>
          <w:sz w:val="20"/>
          <w:szCs w:val="20"/>
        </w:rPr>
        <w:t>HRT</w:t>
      </w:r>
      <w:r w:rsidR="00785675" w:rsidRPr="00DB3D4F">
        <w:rPr>
          <w:rFonts w:ascii="Times New Roman" w:hAnsi="Times New Roman" w:cs="Times New Roman" w:hint="eastAsia"/>
          <w:sz w:val="20"/>
          <w:szCs w:val="20"/>
        </w:rPr>
        <w:t>)</w:t>
      </w:r>
      <w:r w:rsidRPr="00DB3D4F">
        <w:rPr>
          <w:rFonts w:ascii="Times New Roman" w:hAnsi="Times New Roman" w:cs="Times New Roman"/>
          <w:sz w:val="20"/>
          <w:szCs w:val="20"/>
        </w:rPr>
        <w:t>, estrogen (oral</w:t>
      </w:r>
      <w:r w:rsidR="00DB3D4F">
        <w:rPr>
          <w:rFonts w:ascii="Times New Roman" w:hAnsi="Times New Roman" w:cs="Times New Roman" w:hint="eastAsia"/>
          <w:sz w:val="20"/>
          <w:szCs w:val="20"/>
        </w:rPr>
        <w:t xml:space="preserve"> or external use</w:t>
      </w:r>
      <w:r w:rsidRPr="00DB3D4F">
        <w:rPr>
          <w:rFonts w:ascii="Times New Roman" w:hAnsi="Times New Roman" w:cs="Times New Roman"/>
          <w:sz w:val="20"/>
          <w:szCs w:val="20"/>
        </w:rPr>
        <w:t xml:space="preserve">, </w:t>
      </w:r>
      <w:r w:rsidR="00DB3D4F">
        <w:rPr>
          <w:rFonts w:ascii="Times New Roman" w:hAnsi="Times New Roman" w:cs="Times New Roman" w:hint="eastAsia"/>
          <w:sz w:val="20"/>
          <w:szCs w:val="20"/>
        </w:rPr>
        <w:t xml:space="preserve">and both </w:t>
      </w:r>
      <w:r w:rsidRPr="00DB3D4F">
        <w:rPr>
          <w:rFonts w:ascii="Times New Roman" w:hAnsi="Times New Roman" w:cs="Times New Roman"/>
          <w:sz w:val="20"/>
          <w:szCs w:val="20"/>
        </w:rPr>
        <w:t xml:space="preserve">if necessary) should be pretreated for about 16 days from the 3rd day of menstruation. After that, vaginal ultrasound </w:t>
      </w:r>
      <w:r w:rsidR="00785675" w:rsidRPr="00DB3D4F">
        <w:rPr>
          <w:rFonts w:ascii="Times New Roman" w:hAnsi="Times New Roman" w:cs="Times New Roman" w:hint="eastAsia"/>
          <w:sz w:val="20"/>
          <w:szCs w:val="20"/>
        </w:rPr>
        <w:t>is</w:t>
      </w:r>
      <w:r w:rsidRPr="00DB3D4F">
        <w:rPr>
          <w:rFonts w:ascii="Times New Roman" w:hAnsi="Times New Roman" w:cs="Times New Roman"/>
          <w:sz w:val="20"/>
          <w:szCs w:val="20"/>
        </w:rPr>
        <w:t xml:space="preserve"> used to observe the morphology and thickness of the endometrium. When a "three line" endometrium appears and the thickness reaches at least 6 mm, progesterone (P) </w:t>
      </w:r>
      <w:r w:rsidR="00785675" w:rsidRPr="00DB3D4F">
        <w:rPr>
          <w:rFonts w:ascii="Times New Roman" w:hAnsi="Times New Roman" w:cs="Times New Roman" w:hint="eastAsia"/>
          <w:sz w:val="20"/>
          <w:szCs w:val="20"/>
        </w:rPr>
        <w:t>is</w:t>
      </w:r>
      <w:r w:rsidRPr="00DB3D4F">
        <w:rPr>
          <w:rFonts w:ascii="Times New Roman" w:hAnsi="Times New Roman" w:cs="Times New Roman"/>
          <w:sz w:val="20"/>
          <w:szCs w:val="20"/>
        </w:rPr>
        <w:t xml:space="preserve"> given, </w:t>
      </w:r>
      <w:r w:rsidR="00785675" w:rsidRPr="00DB3D4F">
        <w:rPr>
          <w:rFonts w:ascii="Times New Roman" w:hAnsi="Times New Roman" w:cs="Times New Roman"/>
          <w:sz w:val="20"/>
          <w:szCs w:val="20"/>
        </w:rPr>
        <w:t>and the day is set as "P+0d"</w:t>
      </w:r>
      <w:r w:rsidRPr="00DB3D4F">
        <w:rPr>
          <w:rFonts w:ascii="Times New Roman" w:hAnsi="Times New Roman" w:cs="Times New Roman"/>
          <w:sz w:val="20"/>
          <w:szCs w:val="20"/>
        </w:rPr>
        <w:t xml:space="preserve">. </w:t>
      </w:r>
      <w:r w:rsidR="00785675" w:rsidRPr="00DB3D4F">
        <w:rPr>
          <w:rFonts w:ascii="Times New Roman" w:hAnsi="Times New Roman" w:cs="Times New Roman"/>
          <w:sz w:val="20"/>
          <w:szCs w:val="20"/>
        </w:rPr>
        <w:t xml:space="preserve">ERA transcriptomic analysis of the endometrial tissue was performed at P+5 days after the endometrial biopsy was performed for 5 days. </w:t>
      </w:r>
      <w:r w:rsidRPr="00DB3D4F">
        <w:rPr>
          <w:rFonts w:ascii="Times New Roman" w:hAnsi="Times New Roman" w:cs="Times New Roman"/>
          <w:sz w:val="20"/>
          <w:szCs w:val="20"/>
        </w:rPr>
        <w:t xml:space="preserve">Then, </w:t>
      </w:r>
      <w:r w:rsidR="001D5D86" w:rsidRPr="00DB3D4F">
        <w:rPr>
          <w:rFonts w:ascii="Times New Roman" w:hAnsi="Times New Roman" w:cs="Times New Roman"/>
          <w:sz w:val="20"/>
          <w:szCs w:val="20"/>
        </w:rPr>
        <w:t>RNA quality was evaluated in a biochip analyzer</w:t>
      </w:r>
      <w:r w:rsidRPr="00DB3D4F">
        <w:rPr>
          <w:rFonts w:ascii="Times New Roman" w:hAnsi="Times New Roman" w:cs="Times New Roman"/>
          <w:sz w:val="20"/>
          <w:szCs w:val="20"/>
        </w:rPr>
        <w:t xml:space="preserve">. </w:t>
      </w:r>
      <w:r w:rsidR="00ED635B" w:rsidRPr="00DB3D4F">
        <w:rPr>
          <w:rFonts w:ascii="Times New Roman" w:hAnsi="Times New Roman" w:cs="Times New Roman"/>
          <w:sz w:val="20"/>
          <w:szCs w:val="20"/>
        </w:rPr>
        <w:t xml:space="preserve">Next, the genome is digested, linked, amplified, purified, fragmented, labeled signals, chip hybridization and washing, scanning, and data analysis according to the operational process. The fragmented cRNA samples are hybridized to a specific ERA, and the associated microarray is then scanned in a scanner, using specific software to extract the data. Finally, the ERA gene expression values were preprocessed and standardized, and the endometrial receptivity status was determined through a computer prediction program, allowing us to obtain </w:t>
      </w:r>
      <w:r w:rsidR="00E42BDD" w:rsidRPr="00DB3D4F">
        <w:rPr>
          <w:rFonts w:ascii="Times New Roman" w:hAnsi="Times New Roman" w:cs="Times New Roman"/>
          <w:sz w:val="20"/>
          <w:szCs w:val="20"/>
        </w:rPr>
        <w:t xml:space="preserve">recommendations </w:t>
      </w:r>
      <w:r w:rsidR="00E42BDD" w:rsidRPr="00DB3D4F">
        <w:rPr>
          <w:rFonts w:ascii="Times New Roman" w:hAnsi="Times New Roman" w:cs="Times New Roman" w:hint="eastAsia"/>
          <w:sz w:val="20"/>
          <w:szCs w:val="20"/>
        </w:rPr>
        <w:t xml:space="preserve">of </w:t>
      </w:r>
      <w:r w:rsidR="00ED635B" w:rsidRPr="00DB3D4F">
        <w:rPr>
          <w:rFonts w:ascii="Times New Roman" w:hAnsi="Times New Roman" w:cs="Times New Roman"/>
          <w:sz w:val="20"/>
          <w:szCs w:val="20"/>
        </w:rPr>
        <w:t xml:space="preserve">personalized </w:t>
      </w:r>
      <w:r w:rsidR="00E42BDD" w:rsidRPr="00DB3D4F">
        <w:rPr>
          <w:rFonts w:ascii="Times New Roman" w:hAnsi="Times New Roman" w:cs="Times New Roman" w:hint="eastAsia"/>
          <w:sz w:val="20"/>
          <w:szCs w:val="20"/>
        </w:rPr>
        <w:t>WOI</w:t>
      </w:r>
      <w:r w:rsidR="00ED635B" w:rsidRPr="00DB3D4F">
        <w:rPr>
          <w:rFonts w:ascii="Times New Roman" w:hAnsi="Times New Roman" w:cs="Times New Roman"/>
          <w:sz w:val="20"/>
          <w:szCs w:val="20"/>
        </w:rPr>
        <w:t xml:space="preserve"> for specific patients.</w:t>
      </w:r>
    </w:p>
    <w:p w14:paraId="5FAAF67A" w14:textId="445D8C4E" w:rsidR="009A37EE" w:rsidRPr="00DB3D4F" w:rsidRDefault="00ED635B" w:rsidP="009A37EE">
      <w:pPr>
        <w:pStyle w:val="ab"/>
        <w:numPr>
          <w:ilvl w:val="0"/>
          <w:numId w:val="4"/>
        </w:numPr>
        <w:spacing w:line="300" w:lineRule="auto"/>
        <w:ind w:firstLineChars="0"/>
        <w:rPr>
          <w:rFonts w:ascii="Times New Roman" w:hAnsi="Times New Roman" w:cs="Times New Roman"/>
          <w:b/>
          <w:bCs/>
          <w:sz w:val="20"/>
          <w:szCs w:val="20"/>
        </w:rPr>
      </w:pPr>
      <w:r w:rsidRPr="00DB3D4F">
        <w:rPr>
          <w:rFonts w:ascii="Times New Roman" w:hAnsi="Times New Roman" w:cs="Times New Roman" w:hint="eastAsia"/>
          <w:b/>
          <w:bCs/>
          <w:sz w:val="20"/>
          <w:szCs w:val="20"/>
        </w:rPr>
        <w:t>A</w:t>
      </w:r>
      <w:r w:rsidRPr="00DB3D4F">
        <w:rPr>
          <w:rFonts w:ascii="Times New Roman" w:hAnsi="Times New Roman" w:cs="Times New Roman"/>
          <w:b/>
          <w:bCs/>
          <w:sz w:val="20"/>
          <w:szCs w:val="20"/>
        </w:rPr>
        <w:t xml:space="preserve">nalysis </w:t>
      </w:r>
      <w:r w:rsidRPr="00DB3D4F">
        <w:rPr>
          <w:rFonts w:ascii="Times New Roman" w:hAnsi="Times New Roman" w:cs="Times New Roman" w:hint="eastAsia"/>
          <w:b/>
          <w:bCs/>
          <w:sz w:val="20"/>
          <w:szCs w:val="20"/>
        </w:rPr>
        <w:t xml:space="preserve">of </w:t>
      </w:r>
      <w:r w:rsidR="009A37EE" w:rsidRPr="00DB3D4F">
        <w:rPr>
          <w:rFonts w:ascii="Times New Roman" w:hAnsi="Times New Roman" w:cs="Times New Roman"/>
          <w:b/>
          <w:bCs/>
          <w:sz w:val="20"/>
          <w:szCs w:val="20"/>
        </w:rPr>
        <w:t xml:space="preserve">ERA detection result: </w:t>
      </w:r>
    </w:p>
    <w:p w14:paraId="1117F9B7" w14:textId="4F0A46CB" w:rsidR="00312061" w:rsidRPr="00DB3D4F" w:rsidRDefault="00ED635B" w:rsidP="009A37EE">
      <w:pPr>
        <w:spacing w:line="300" w:lineRule="auto"/>
        <w:rPr>
          <w:rFonts w:ascii="Times New Roman" w:hAnsi="Times New Roman" w:cs="Times New Roman"/>
          <w:sz w:val="20"/>
          <w:szCs w:val="20"/>
        </w:rPr>
      </w:pPr>
      <w:r w:rsidRPr="00DB3D4F">
        <w:rPr>
          <w:rFonts w:ascii="Times New Roman" w:hAnsi="Times New Roman" w:cs="Times New Roman"/>
          <w:sz w:val="20"/>
          <w:szCs w:val="20"/>
        </w:rPr>
        <w:t>ERA detection technology gives a "receptivity (R)" or "non-receptivity (NR)" report on the receptivity status of the tested</w:t>
      </w:r>
      <w:r w:rsidR="009A37EE" w:rsidRPr="00DB3D4F">
        <w:rPr>
          <w:rFonts w:ascii="Times New Roman" w:hAnsi="Times New Roman" w:cs="Times New Roman"/>
          <w:sz w:val="20"/>
          <w:szCs w:val="20"/>
        </w:rPr>
        <w:t xml:space="preserve"> endometrium. The results of the NR status are divided into "pre receptivity" and "post receptivity", and suggestions for adjusting the transplantation time or re biopsy are provided. For patients with an ERA test result of "R" endometrium, </w:t>
      </w:r>
      <w:r w:rsidR="005227AC" w:rsidRPr="00DB3D4F">
        <w:rPr>
          <w:rFonts w:ascii="Times New Roman" w:hAnsi="Times New Roman" w:cs="Times New Roman"/>
          <w:sz w:val="20"/>
          <w:szCs w:val="20"/>
        </w:rPr>
        <w:t>personalized embryo transfer (pET)</w:t>
      </w:r>
      <w:r w:rsidR="009A37EE" w:rsidRPr="00DB3D4F">
        <w:rPr>
          <w:rFonts w:ascii="Times New Roman" w:hAnsi="Times New Roman" w:cs="Times New Roman"/>
          <w:sz w:val="20"/>
          <w:szCs w:val="20"/>
        </w:rPr>
        <w:t xml:space="preserve"> is usually performed at the same time in the next cycle. For patients diagnosed with "NR" endometrium, </w:t>
      </w:r>
      <w:r w:rsidR="005227AC" w:rsidRPr="00DB3D4F">
        <w:rPr>
          <w:rFonts w:ascii="Times New Roman" w:hAnsi="Times New Roman" w:cs="Times New Roman"/>
          <w:sz w:val="20"/>
          <w:szCs w:val="20"/>
        </w:rPr>
        <w:t>another biopsy can be performed in subsequent cycles</w:t>
      </w:r>
      <w:r w:rsidR="009A37EE" w:rsidRPr="00DB3D4F">
        <w:rPr>
          <w:rFonts w:ascii="Times New Roman" w:hAnsi="Times New Roman" w:cs="Times New Roman"/>
          <w:sz w:val="20"/>
          <w:szCs w:val="20"/>
        </w:rPr>
        <w:t>. If ERA testing is refused, the embryo implantation time can be adjusted according to the initial test results to achieve pET. For those who undergo another biopsy, if the first biopsy results in "pre</w:t>
      </w:r>
      <w:r w:rsidR="005227AC" w:rsidRPr="00DB3D4F">
        <w:rPr>
          <w:rFonts w:ascii="Times New Roman" w:hAnsi="Times New Roman" w:cs="Times New Roman" w:hint="eastAsia"/>
          <w:sz w:val="20"/>
          <w:szCs w:val="20"/>
        </w:rPr>
        <w:t>-</w:t>
      </w:r>
      <w:r w:rsidR="009A37EE" w:rsidRPr="00DB3D4F">
        <w:rPr>
          <w:rFonts w:ascii="Times New Roman" w:hAnsi="Times New Roman" w:cs="Times New Roman"/>
          <w:sz w:val="20"/>
          <w:szCs w:val="20"/>
        </w:rPr>
        <w:t>acceptance", the second biopsy is recommended at LH+</w:t>
      </w:r>
      <w:r w:rsidR="00641718" w:rsidRPr="00DB3D4F">
        <w:rPr>
          <w:rFonts w:ascii="Times New Roman" w:hAnsi="Times New Roman" w:cs="Times New Roman" w:hint="eastAsia"/>
          <w:sz w:val="20"/>
          <w:szCs w:val="20"/>
        </w:rPr>
        <w:t>8</w:t>
      </w:r>
      <w:r w:rsidR="009A37EE" w:rsidRPr="00DB3D4F">
        <w:rPr>
          <w:rFonts w:ascii="Times New Roman" w:hAnsi="Times New Roman" w:cs="Times New Roman"/>
          <w:sz w:val="20"/>
          <w:szCs w:val="20"/>
        </w:rPr>
        <w:t>d</w:t>
      </w:r>
      <w:r w:rsidR="00641718" w:rsidRPr="00DB3D4F">
        <w:t xml:space="preserve"> </w:t>
      </w:r>
      <w:r w:rsidR="00641718" w:rsidRPr="00DB3D4F">
        <w:rPr>
          <w:rFonts w:ascii="Times New Roman" w:hAnsi="Times New Roman" w:cs="Times New Roman"/>
          <w:sz w:val="20"/>
          <w:szCs w:val="20"/>
        </w:rPr>
        <w:t>and</w:t>
      </w:r>
      <w:r w:rsidR="009A37EE" w:rsidRPr="00DB3D4F">
        <w:rPr>
          <w:rFonts w:ascii="Times New Roman" w:hAnsi="Times New Roman" w:cs="Times New Roman"/>
          <w:sz w:val="20"/>
          <w:szCs w:val="20"/>
        </w:rPr>
        <w:t xml:space="preserve"> </w:t>
      </w:r>
      <w:r w:rsidR="00641718" w:rsidRPr="00DB3D4F">
        <w:rPr>
          <w:rFonts w:ascii="Times New Roman" w:hAnsi="Times New Roman" w:cs="Times New Roman"/>
          <w:sz w:val="20"/>
          <w:szCs w:val="20"/>
        </w:rPr>
        <w:t>LH+</w:t>
      </w:r>
      <w:r w:rsidR="00641718" w:rsidRPr="00DB3D4F">
        <w:rPr>
          <w:rFonts w:ascii="Times New Roman" w:hAnsi="Times New Roman" w:cs="Times New Roman" w:hint="eastAsia"/>
          <w:sz w:val="20"/>
          <w:szCs w:val="20"/>
        </w:rPr>
        <w:t>9</w:t>
      </w:r>
      <w:r w:rsidR="00641718" w:rsidRPr="00DB3D4F">
        <w:rPr>
          <w:rFonts w:ascii="Times New Roman" w:hAnsi="Times New Roman" w:cs="Times New Roman"/>
          <w:sz w:val="20"/>
          <w:szCs w:val="20"/>
        </w:rPr>
        <w:t xml:space="preserve">d </w:t>
      </w:r>
      <w:r w:rsidR="009A37EE" w:rsidRPr="00DB3D4F">
        <w:rPr>
          <w:rFonts w:ascii="Times New Roman" w:hAnsi="Times New Roman" w:cs="Times New Roman"/>
          <w:sz w:val="20"/>
          <w:szCs w:val="20"/>
        </w:rPr>
        <w:t>in the natural cycle or P+6d and P+7d in the hormone replacement cycle. If the first biopsy is a "post</w:t>
      </w:r>
      <w:r w:rsidR="005227AC" w:rsidRPr="00DB3D4F">
        <w:rPr>
          <w:rFonts w:ascii="Times New Roman" w:hAnsi="Times New Roman" w:cs="Times New Roman" w:hint="eastAsia"/>
          <w:sz w:val="20"/>
          <w:szCs w:val="20"/>
        </w:rPr>
        <w:t>-</w:t>
      </w:r>
      <w:r w:rsidR="009A37EE" w:rsidRPr="00DB3D4F">
        <w:rPr>
          <w:rFonts w:ascii="Times New Roman" w:hAnsi="Times New Roman" w:cs="Times New Roman"/>
          <w:sz w:val="20"/>
          <w:szCs w:val="20"/>
        </w:rPr>
        <w:t xml:space="preserve">receptive" result, the second biopsy is recommended to be conducted at P+4 or P+3 days. Through this method, </w:t>
      </w:r>
      <w:r w:rsidR="00E42BDD" w:rsidRPr="00DB3D4F">
        <w:rPr>
          <w:rFonts w:ascii="Times New Roman" w:hAnsi="Times New Roman" w:cs="Times New Roman"/>
          <w:sz w:val="20"/>
          <w:szCs w:val="20"/>
        </w:rPr>
        <w:t>the individualized WOI can</w:t>
      </w:r>
      <w:r w:rsidR="00E42BDD" w:rsidRPr="00DB3D4F">
        <w:rPr>
          <w:rFonts w:ascii="Times New Roman" w:hAnsi="Times New Roman" w:cs="Times New Roman" w:hint="eastAsia"/>
          <w:sz w:val="20"/>
          <w:szCs w:val="20"/>
        </w:rPr>
        <w:t xml:space="preserve"> be</w:t>
      </w:r>
      <w:r w:rsidR="00E42BDD" w:rsidRPr="00DB3D4F">
        <w:rPr>
          <w:rFonts w:ascii="Times New Roman" w:hAnsi="Times New Roman" w:cs="Times New Roman"/>
          <w:sz w:val="20"/>
          <w:szCs w:val="20"/>
        </w:rPr>
        <w:t xml:space="preserve"> identif</w:t>
      </w:r>
      <w:r w:rsidR="00E42BDD" w:rsidRPr="00DB3D4F">
        <w:rPr>
          <w:rFonts w:ascii="Times New Roman" w:hAnsi="Times New Roman" w:cs="Times New Roman" w:hint="eastAsia"/>
          <w:sz w:val="20"/>
          <w:szCs w:val="20"/>
        </w:rPr>
        <w:t>ied in</w:t>
      </w:r>
      <w:r w:rsidR="00E42BDD" w:rsidRPr="00DB3D4F">
        <w:rPr>
          <w:rFonts w:ascii="Times New Roman" w:hAnsi="Times New Roman" w:cs="Times New Roman"/>
          <w:sz w:val="20"/>
          <w:szCs w:val="20"/>
        </w:rPr>
        <w:t xml:space="preserve"> </w:t>
      </w:r>
      <w:r w:rsidR="009A37EE" w:rsidRPr="00DB3D4F">
        <w:rPr>
          <w:rFonts w:ascii="Times New Roman" w:hAnsi="Times New Roman" w:cs="Times New Roman"/>
          <w:sz w:val="20"/>
          <w:szCs w:val="20"/>
        </w:rPr>
        <w:t>patients with displace</w:t>
      </w:r>
      <w:r w:rsidR="005227AC" w:rsidRPr="00DB3D4F">
        <w:rPr>
          <w:rFonts w:ascii="Times New Roman" w:hAnsi="Times New Roman" w:cs="Times New Roman" w:hint="eastAsia"/>
          <w:sz w:val="20"/>
          <w:szCs w:val="20"/>
        </w:rPr>
        <w:t>d</w:t>
      </w:r>
      <w:r w:rsidR="005227AC" w:rsidRPr="00DB3D4F">
        <w:rPr>
          <w:rFonts w:ascii="Times New Roman" w:hAnsi="Times New Roman" w:cs="Times New Roman"/>
          <w:sz w:val="20"/>
          <w:szCs w:val="20"/>
        </w:rPr>
        <w:t xml:space="preserve"> </w:t>
      </w:r>
      <w:r w:rsidR="00E42BDD" w:rsidRPr="00DB3D4F">
        <w:rPr>
          <w:rFonts w:ascii="Times New Roman" w:hAnsi="Times New Roman" w:cs="Times New Roman"/>
          <w:sz w:val="20"/>
          <w:szCs w:val="20"/>
        </w:rPr>
        <w:t>WOI</w:t>
      </w:r>
      <w:r w:rsidR="009A37EE" w:rsidRPr="00DB3D4F">
        <w:rPr>
          <w:rFonts w:ascii="Times New Roman" w:hAnsi="Times New Roman" w:cs="Times New Roman"/>
          <w:sz w:val="20"/>
          <w:szCs w:val="20"/>
        </w:rPr>
        <w:t xml:space="preserve"> according to ERA detection technology, so as to adjust the embryo transfer time in the subsequent cycle to achieve pET.</w:t>
      </w:r>
    </w:p>
    <w:sectPr w:rsidR="00312061" w:rsidRPr="00DB3D4F" w:rsidSect="002E076E">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068C0" w14:textId="77777777" w:rsidR="007A09D4" w:rsidRDefault="007A09D4" w:rsidP="00436129">
      <w:r>
        <w:separator/>
      </w:r>
    </w:p>
  </w:endnote>
  <w:endnote w:type="continuationSeparator" w:id="0">
    <w:p w14:paraId="4A4C8139" w14:textId="77777777" w:rsidR="007A09D4" w:rsidRDefault="007A09D4" w:rsidP="00436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C8560" w14:textId="77777777" w:rsidR="007A09D4" w:rsidRDefault="007A09D4" w:rsidP="00436129">
      <w:r>
        <w:separator/>
      </w:r>
    </w:p>
  </w:footnote>
  <w:footnote w:type="continuationSeparator" w:id="0">
    <w:p w14:paraId="022CEB34" w14:textId="77777777" w:rsidR="007A09D4" w:rsidRDefault="007A09D4" w:rsidP="00436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34E80E8"/>
    <w:multiLevelType w:val="singleLevel"/>
    <w:tmpl w:val="A34E80E8"/>
    <w:lvl w:ilvl="0">
      <w:start w:val="5"/>
      <w:numFmt w:val="upperLetter"/>
      <w:suff w:val="space"/>
      <w:lvlText w:val="%1."/>
      <w:lvlJc w:val="left"/>
      <w:rPr>
        <w:rFonts w:hint="default"/>
        <w:i/>
        <w:iCs/>
      </w:rPr>
    </w:lvl>
  </w:abstractNum>
  <w:abstractNum w:abstractNumId="1" w15:restartNumberingAfterBreak="0">
    <w:nsid w:val="FBFB482C"/>
    <w:multiLevelType w:val="multilevel"/>
    <w:tmpl w:val="FBFB482C"/>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CFB798B"/>
    <w:multiLevelType w:val="hybridMultilevel"/>
    <w:tmpl w:val="C220FC7A"/>
    <w:lvl w:ilvl="0" w:tplc="E3C4755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7B45826"/>
    <w:multiLevelType w:val="hybridMultilevel"/>
    <w:tmpl w:val="4CF60D64"/>
    <w:lvl w:ilvl="0" w:tplc="F9EA32E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87878228">
    <w:abstractNumId w:val="0"/>
  </w:num>
  <w:num w:numId="2" w16cid:durableId="1300528435">
    <w:abstractNumId w:val="1"/>
  </w:num>
  <w:num w:numId="3" w16cid:durableId="1265721983">
    <w:abstractNumId w:val="3"/>
  </w:num>
  <w:num w:numId="4" w16cid:durableId="1260869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xYmYyMTMzMThiNDQzMjAxNWY0ZTBiZmQxMDg1ZmEifQ=="/>
  </w:docVars>
  <w:rsids>
    <w:rsidRoot w:val="7A5F6280"/>
    <w:rsid w:val="000D2853"/>
    <w:rsid w:val="001D5D86"/>
    <w:rsid w:val="002E076E"/>
    <w:rsid w:val="00312061"/>
    <w:rsid w:val="00436129"/>
    <w:rsid w:val="004541CD"/>
    <w:rsid w:val="005227AC"/>
    <w:rsid w:val="005A4880"/>
    <w:rsid w:val="005C2025"/>
    <w:rsid w:val="00625852"/>
    <w:rsid w:val="00641718"/>
    <w:rsid w:val="006F3699"/>
    <w:rsid w:val="00780E04"/>
    <w:rsid w:val="00785675"/>
    <w:rsid w:val="007A09D4"/>
    <w:rsid w:val="007F6891"/>
    <w:rsid w:val="00890B93"/>
    <w:rsid w:val="009A37EE"/>
    <w:rsid w:val="00AC0F07"/>
    <w:rsid w:val="00B154A0"/>
    <w:rsid w:val="00DB3D4F"/>
    <w:rsid w:val="00DC5696"/>
    <w:rsid w:val="00DE1957"/>
    <w:rsid w:val="00E42BDD"/>
    <w:rsid w:val="00ED635B"/>
    <w:rsid w:val="00FF18F7"/>
    <w:rsid w:val="05B36018"/>
    <w:rsid w:val="1EF57F49"/>
    <w:rsid w:val="27AE5E26"/>
    <w:rsid w:val="2FCC0CD9"/>
    <w:rsid w:val="34385284"/>
    <w:rsid w:val="3F841CFC"/>
    <w:rsid w:val="465025C4"/>
    <w:rsid w:val="47066240"/>
    <w:rsid w:val="4BAE4439"/>
    <w:rsid w:val="52E95520"/>
    <w:rsid w:val="715A4C86"/>
    <w:rsid w:val="7A5F6280"/>
    <w:rsid w:val="7F404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A8733"/>
  <w15:docId w15:val="{0D5C8671-353F-457D-A79D-B8E54CE9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qFormat/>
    <w:rPr>
      <w:color w:val="0000FF"/>
      <w:u w:val="single"/>
    </w:rPr>
  </w:style>
  <w:style w:type="paragraph" w:customStyle="1" w:styleId="EndNoteBibliography">
    <w:name w:val="EndNote Bibliography"/>
    <w:basedOn w:val="a"/>
    <w:qFormat/>
    <w:rPr>
      <w:rFonts w:ascii="Calibri" w:hAnsi="Calibri" w:cs="Calibri"/>
      <w:sz w:val="20"/>
    </w:rPr>
  </w:style>
  <w:style w:type="paragraph" w:styleId="a5">
    <w:name w:val="Revision"/>
    <w:hidden/>
    <w:uiPriority w:val="99"/>
    <w:unhideWhenUsed/>
    <w:rsid w:val="00780E04"/>
    <w:rPr>
      <w:kern w:val="2"/>
      <w:sz w:val="21"/>
      <w:szCs w:val="24"/>
    </w:rPr>
  </w:style>
  <w:style w:type="character" w:styleId="a6">
    <w:name w:val="line number"/>
    <w:basedOn w:val="a0"/>
    <w:rsid w:val="002E076E"/>
  </w:style>
  <w:style w:type="paragraph" w:styleId="a7">
    <w:name w:val="header"/>
    <w:basedOn w:val="a"/>
    <w:link w:val="a8"/>
    <w:rsid w:val="00436129"/>
    <w:pPr>
      <w:tabs>
        <w:tab w:val="center" w:pos="4153"/>
        <w:tab w:val="right" w:pos="8306"/>
      </w:tabs>
      <w:snapToGrid w:val="0"/>
      <w:jc w:val="center"/>
    </w:pPr>
    <w:rPr>
      <w:sz w:val="18"/>
      <w:szCs w:val="18"/>
    </w:rPr>
  </w:style>
  <w:style w:type="character" w:customStyle="1" w:styleId="a8">
    <w:name w:val="页眉 字符"/>
    <w:basedOn w:val="a0"/>
    <w:link w:val="a7"/>
    <w:rsid w:val="00436129"/>
    <w:rPr>
      <w:kern w:val="2"/>
      <w:sz w:val="18"/>
      <w:szCs w:val="18"/>
    </w:rPr>
  </w:style>
  <w:style w:type="paragraph" w:styleId="a9">
    <w:name w:val="footer"/>
    <w:basedOn w:val="a"/>
    <w:link w:val="aa"/>
    <w:rsid w:val="00436129"/>
    <w:pPr>
      <w:tabs>
        <w:tab w:val="center" w:pos="4153"/>
        <w:tab w:val="right" w:pos="8306"/>
      </w:tabs>
      <w:snapToGrid w:val="0"/>
      <w:jc w:val="left"/>
    </w:pPr>
    <w:rPr>
      <w:sz w:val="18"/>
      <w:szCs w:val="18"/>
    </w:rPr>
  </w:style>
  <w:style w:type="character" w:customStyle="1" w:styleId="aa">
    <w:name w:val="页脚 字符"/>
    <w:basedOn w:val="a0"/>
    <w:link w:val="a9"/>
    <w:rsid w:val="00436129"/>
    <w:rPr>
      <w:kern w:val="2"/>
      <w:sz w:val="18"/>
      <w:szCs w:val="18"/>
    </w:rPr>
  </w:style>
  <w:style w:type="paragraph" w:styleId="ab">
    <w:name w:val="List Paragraph"/>
    <w:basedOn w:val="a"/>
    <w:uiPriority w:val="99"/>
    <w:unhideWhenUsed/>
    <w:rsid w:val="009A37E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wj佳</dc:creator>
  <cp:lastModifiedBy>少元 徐</cp:lastModifiedBy>
  <cp:revision>12</cp:revision>
  <dcterms:created xsi:type="dcterms:W3CDTF">2024-01-11T11:56:00Z</dcterms:created>
  <dcterms:modified xsi:type="dcterms:W3CDTF">2024-11-30T09:40:00Z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08F900CE523B48698AF7BC344FF0659F_13</vt:lpwstr>
  </property>
</Properties>
</file>