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43" w:rsidRPr="008C1D4E" w:rsidRDefault="00C36643" w:rsidP="00C36643">
      <w:pPr>
        <w:spacing w:line="360" w:lineRule="auto"/>
        <w:rPr>
          <w:rFonts w:ascii="Arial" w:hAnsi="Arial" w:cs="Arial"/>
        </w:rPr>
      </w:pPr>
      <w:r w:rsidRPr="008C1D4E">
        <w:rPr>
          <w:rFonts w:ascii="Arial" w:hAnsi="Arial" w:cs="Arial"/>
          <w:b/>
          <w:bCs/>
        </w:rPr>
        <w:t xml:space="preserve">Supplemental Figure 1: Adjuvant effect on IFN-γ production in conjunction with low anti-CD3/CD28 </w:t>
      </w:r>
      <w:proofErr w:type="spellStart"/>
      <w:r w:rsidRPr="008C1D4E">
        <w:rPr>
          <w:rFonts w:ascii="Arial" w:hAnsi="Arial" w:cs="Arial"/>
          <w:b/>
          <w:bCs/>
        </w:rPr>
        <w:t>mAb</w:t>
      </w:r>
      <w:proofErr w:type="spellEnd"/>
      <w:r w:rsidRPr="008C1D4E">
        <w:rPr>
          <w:rFonts w:ascii="Arial" w:hAnsi="Arial" w:cs="Arial"/>
          <w:b/>
          <w:bCs/>
        </w:rPr>
        <w:t xml:space="preserve"> stimulation.</w:t>
      </w:r>
      <w:r w:rsidRPr="008C1D4E">
        <w:rPr>
          <w:rFonts w:ascii="Arial" w:hAnsi="Arial" w:cs="Arial"/>
        </w:rPr>
        <w:t xml:space="preserve"> Samples were stimulated with low concentration anti-CD3/CD28 </w:t>
      </w:r>
      <w:proofErr w:type="spellStart"/>
      <w:r w:rsidRPr="008C1D4E">
        <w:rPr>
          <w:rFonts w:ascii="Arial" w:hAnsi="Arial" w:cs="Arial"/>
        </w:rPr>
        <w:t>mAb</w:t>
      </w:r>
      <w:proofErr w:type="spellEnd"/>
      <w:r w:rsidRPr="008C1D4E">
        <w:rPr>
          <w:rFonts w:ascii="Arial" w:hAnsi="Arial" w:cs="Arial"/>
        </w:rPr>
        <w:t xml:space="preserve"> with and without either anti-PD-1 </w:t>
      </w:r>
      <w:proofErr w:type="spellStart"/>
      <w:r w:rsidRPr="008C1D4E">
        <w:rPr>
          <w:rFonts w:ascii="Arial" w:hAnsi="Arial" w:cs="Arial"/>
        </w:rPr>
        <w:t>mAb</w:t>
      </w:r>
      <w:proofErr w:type="spellEnd"/>
      <w:r w:rsidRPr="008C1D4E">
        <w:rPr>
          <w:rFonts w:ascii="Arial" w:hAnsi="Arial" w:cs="Arial"/>
        </w:rPr>
        <w:t xml:space="preserve"> (</w:t>
      </w:r>
      <w:proofErr w:type="spellStart"/>
      <w:r w:rsidRPr="008C1D4E">
        <w:rPr>
          <w:rFonts w:ascii="Arial" w:hAnsi="Arial" w:cs="Arial"/>
        </w:rPr>
        <w:t>nivolumab</w:t>
      </w:r>
      <w:proofErr w:type="spellEnd"/>
      <w:r w:rsidRPr="008C1D4E">
        <w:rPr>
          <w:rFonts w:ascii="Arial" w:hAnsi="Arial" w:cs="Arial"/>
        </w:rPr>
        <w:t xml:space="preserve">; NIVO) or IL-7. Low anti-CD3/CD28 (Low CD3) increased IFN-γ SFU (upper panels), SS (upper-middle panels) and TWI (lower-middle panels) in samples from both Healthy donors (left, n=46) and Septic patients (right, n=63) as compared to unstimulated (spontaneous; SPON) production. NIVO did not increase Low CD3 induced </w:t>
      </w:r>
      <w:proofErr w:type="spellStart"/>
      <w:r w:rsidRPr="008C1D4E">
        <w:rPr>
          <w:rFonts w:ascii="Arial" w:hAnsi="Arial" w:cs="Arial"/>
        </w:rPr>
        <w:t>IFNγ</w:t>
      </w:r>
      <w:proofErr w:type="spellEnd"/>
      <w:r w:rsidRPr="008C1D4E">
        <w:rPr>
          <w:rFonts w:ascii="Arial" w:hAnsi="Arial" w:cs="Arial"/>
        </w:rPr>
        <w:t xml:space="preserve"> SFU, SS, or TWI, while IL-7 did increase CD3 induced </w:t>
      </w:r>
      <w:proofErr w:type="spellStart"/>
      <w:r w:rsidRPr="008C1D4E">
        <w:rPr>
          <w:rFonts w:ascii="Arial" w:hAnsi="Arial" w:cs="Arial"/>
        </w:rPr>
        <w:t>IFNγ</w:t>
      </w:r>
      <w:proofErr w:type="spellEnd"/>
      <w:r w:rsidRPr="008C1D4E">
        <w:rPr>
          <w:rFonts w:ascii="Arial" w:hAnsi="Arial" w:cs="Arial"/>
        </w:rPr>
        <w:t xml:space="preserve"> SFU, SS, and TWI. SFU (Top panels) were normalized to the number of lymphocytes plated in the ELISpot well (Bottom panels, n=34 healthy and n=59 septic). Lymphocyte number per well was determined by multiplying the draw specific ALC (K/</w:t>
      </w:r>
      <w:proofErr w:type="spellStart"/>
      <w:r w:rsidRPr="008C1D4E">
        <w:rPr>
          <w:rFonts w:ascii="Arial" w:hAnsi="Arial" w:cs="Arial"/>
        </w:rPr>
        <w:t>cumm</w:t>
      </w:r>
      <w:proofErr w:type="spellEnd"/>
      <w:r w:rsidRPr="008C1D4E">
        <w:rPr>
          <w:rFonts w:ascii="Arial" w:hAnsi="Arial" w:cs="Arial"/>
        </w:rPr>
        <w:t>) by 1000 (converting K/</w:t>
      </w:r>
      <w:proofErr w:type="spellStart"/>
      <w:r w:rsidRPr="008C1D4E">
        <w:rPr>
          <w:rFonts w:ascii="Arial" w:hAnsi="Arial" w:cs="Arial"/>
        </w:rPr>
        <w:t>cumm</w:t>
      </w:r>
      <w:proofErr w:type="spellEnd"/>
      <w:r w:rsidRPr="008C1D4E">
        <w:rPr>
          <w:rFonts w:ascii="Arial" w:hAnsi="Arial" w:cs="Arial"/>
        </w:rPr>
        <w:t xml:space="preserve"> to cells/</w:t>
      </w:r>
      <w:proofErr w:type="spellStart"/>
      <w:r w:rsidRPr="008C1D4E">
        <w:rPr>
          <w:rFonts w:ascii="Arial" w:hAnsi="Arial" w:cs="Arial"/>
        </w:rPr>
        <w:t>cumm</w:t>
      </w:r>
      <w:proofErr w:type="spellEnd"/>
      <w:r w:rsidRPr="008C1D4E">
        <w:rPr>
          <w:rFonts w:ascii="Arial" w:hAnsi="Arial" w:cs="Arial"/>
        </w:rPr>
        <w:t>) then by the volume of blood added to the well (5 µL). Pairwise statistical relationships of SFU/Lymphocyte remain largely the same as SFU. Red bars represent Median with IQR. *p&lt;0.05, **p&lt;0.01, ***p&lt;0.001, ****p&lt;0.0001 as determined by Friedman Test with multiple comparisons.</w:t>
      </w:r>
    </w:p>
    <w:p w:rsidR="00C36643" w:rsidRPr="008C1D4E" w:rsidRDefault="00C36643" w:rsidP="00C36643">
      <w:pPr>
        <w:spacing w:line="360" w:lineRule="auto"/>
        <w:rPr>
          <w:rFonts w:ascii="Arial" w:hAnsi="Arial" w:cs="Arial"/>
        </w:rPr>
      </w:pPr>
      <w:r w:rsidRPr="008C1D4E">
        <w:rPr>
          <w:rFonts w:ascii="Arial" w:hAnsi="Arial" w:cs="Arial"/>
          <w:b/>
          <w:bCs/>
        </w:rPr>
        <w:t xml:space="preserve">Supplemental Figure 2: Septic patient samples produce greater IFN-γ SFU, TWI, and SFU/Lymphocyte than Healthy donor samples with Low anti-CD3/CD28 </w:t>
      </w:r>
      <w:proofErr w:type="spellStart"/>
      <w:r w:rsidRPr="008C1D4E">
        <w:rPr>
          <w:rFonts w:ascii="Arial" w:hAnsi="Arial" w:cs="Arial"/>
          <w:b/>
          <w:bCs/>
        </w:rPr>
        <w:t>mAb</w:t>
      </w:r>
      <w:proofErr w:type="spellEnd"/>
      <w:r w:rsidRPr="008C1D4E">
        <w:rPr>
          <w:rFonts w:ascii="Arial" w:hAnsi="Arial" w:cs="Arial"/>
          <w:b/>
          <w:bCs/>
        </w:rPr>
        <w:t xml:space="preserve"> stimulation.</w:t>
      </w:r>
      <w:r w:rsidRPr="008C1D4E">
        <w:rPr>
          <w:rFonts w:ascii="Arial" w:hAnsi="Arial" w:cs="Arial"/>
        </w:rPr>
        <w:t xml:space="preserve"> Comparison between Healthy donor (n=46) and Septic patient (n=63) whole blood samples shows septic blood samples have higher IFN-γ  SFU (top row) than healthy donor samples in response to low anti-CD3/CD28 </w:t>
      </w:r>
      <w:proofErr w:type="spellStart"/>
      <w:r w:rsidRPr="008C1D4E">
        <w:rPr>
          <w:rFonts w:ascii="Arial" w:hAnsi="Arial" w:cs="Arial"/>
        </w:rPr>
        <w:t>mAb</w:t>
      </w:r>
      <w:proofErr w:type="spellEnd"/>
      <w:r w:rsidRPr="008C1D4E">
        <w:rPr>
          <w:rFonts w:ascii="Arial" w:hAnsi="Arial" w:cs="Arial"/>
        </w:rPr>
        <w:t xml:space="preserve"> (CD3) alone (left), low CD3+anti-PD-1 </w:t>
      </w:r>
      <w:proofErr w:type="spellStart"/>
      <w:r w:rsidRPr="008C1D4E">
        <w:rPr>
          <w:rFonts w:ascii="Arial" w:hAnsi="Arial" w:cs="Arial"/>
        </w:rPr>
        <w:t>mAb</w:t>
      </w:r>
      <w:proofErr w:type="spellEnd"/>
      <w:r w:rsidRPr="008C1D4E">
        <w:rPr>
          <w:rFonts w:ascii="Arial" w:hAnsi="Arial" w:cs="Arial"/>
        </w:rPr>
        <w:t xml:space="preserve"> (</w:t>
      </w:r>
      <w:proofErr w:type="spellStart"/>
      <w:r w:rsidRPr="008C1D4E">
        <w:rPr>
          <w:rFonts w:ascii="Arial" w:hAnsi="Arial" w:cs="Arial"/>
        </w:rPr>
        <w:t>nivolumab</w:t>
      </w:r>
      <w:proofErr w:type="spellEnd"/>
      <w:r w:rsidRPr="008C1D4E">
        <w:rPr>
          <w:rFonts w:ascii="Arial" w:hAnsi="Arial" w:cs="Arial"/>
        </w:rPr>
        <w:t>; NIVO; middle), and low CD3+IL-7 (right). To account for high variability in cell counts among septic patients and between septic and healthy samples, SFU were normalized to number of lymphocytes plated in ELISpot wells (bottom row, n=34 healthy and n=59 septic). When SFU were normalized to lymphocyte numbers, the differences between septic patient and healthy donor IFN-γ production became even more apparent. As no significant differences were discerned between Low CD3 treated samples and Low CD3+NIVO treated samples, the differences displayed in the “CD3+NIVO” column between healthy and septic are a consequence of the greater responsiveness of septic samples to Low CD3 treatment. Red bars represent Median with IQR. *p&lt;0.05, **p&lt;0.01, ***p&lt;0.001, ****p&lt;0.0001 as determined by Mann-Whitney test.</w:t>
      </w:r>
    </w:p>
    <w:p w:rsidR="00C36643" w:rsidRPr="008C1D4E" w:rsidRDefault="00C36643" w:rsidP="00C36643">
      <w:pPr>
        <w:spacing w:line="360" w:lineRule="auto"/>
        <w:rPr>
          <w:rFonts w:ascii="Arial" w:hAnsi="Arial" w:cs="Arial"/>
        </w:rPr>
      </w:pPr>
      <w:r w:rsidRPr="008C1D4E">
        <w:rPr>
          <w:rFonts w:ascii="Arial" w:hAnsi="Arial" w:cs="Arial"/>
          <w:b/>
          <w:bCs/>
        </w:rPr>
        <w:t>Supplemental Figure 3:</w:t>
      </w:r>
      <w:r w:rsidRPr="008C1D4E">
        <w:rPr>
          <w:rFonts w:ascii="Arial" w:hAnsi="Arial" w:cs="Arial"/>
        </w:rPr>
        <w:t xml:space="preserve"> </w:t>
      </w:r>
      <w:r w:rsidRPr="008C1D4E">
        <w:rPr>
          <w:rFonts w:ascii="Arial" w:hAnsi="Arial" w:cs="Arial"/>
          <w:b/>
          <w:bCs/>
        </w:rPr>
        <w:t xml:space="preserve">Difference in relative IFN-γ response to IL-7 between healthy donors and septic patients when normalized against Low anti-CD3/CD28 </w:t>
      </w:r>
      <w:proofErr w:type="spellStart"/>
      <w:r w:rsidRPr="008C1D4E">
        <w:rPr>
          <w:rFonts w:ascii="Arial" w:hAnsi="Arial" w:cs="Arial"/>
          <w:b/>
          <w:bCs/>
        </w:rPr>
        <w:t>mAb</w:t>
      </w:r>
      <w:proofErr w:type="spellEnd"/>
      <w:r w:rsidRPr="008C1D4E">
        <w:rPr>
          <w:rFonts w:ascii="Arial" w:hAnsi="Arial" w:cs="Arial"/>
          <w:b/>
          <w:bCs/>
        </w:rPr>
        <w:t xml:space="preserve"> stimulation alone.</w:t>
      </w:r>
      <w:r w:rsidRPr="008C1D4E">
        <w:rPr>
          <w:rFonts w:ascii="Arial" w:hAnsi="Arial" w:cs="Arial"/>
        </w:rPr>
        <w:t xml:space="preserve"> IL-7 fold-changes were calculated for SFU, SS, and TWI for all samples; Low anti-CD3/CD28 </w:t>
      </w:r>
      <w:proofErr w:type="spellStart"/>
      <w:r w:rsidRPr="008C1D4E">
        <w:rPr>
          <w:rFonts w:ascii="Arial" w:hAnsi="Arial" w:cs="Arial"/>
        </w:rPr>
        <w:t>mAb</w:t>
      </w:r>
      <w:proofErr w:type="spellEnd"/>
      <w:r w:rsidRPr="008C1D4E">
        <w:rPr>
          <w:rFonts w:ascii="Arial" w:hAnsi="Arial" w:cs="Arial"/>
        </w:rPr>
        <w:t xml:space="preserve"> (Low CD3</w:t>
      </w:r>
      <w:proofErr w:type="gramStart"/>
      <w:r w:rsidRPr="008C1D4E">
        <w:rPr>
          <w:rFonts w:ascii="Arial" w:hAnsi="Arial" w:cs="Arial"/>
        </w:rPr>
        <w:t>)+</w:t>
      </w:r>
      <w:proofErr w:type="gramEnd"/>
      <w:r w:rsidRPr="008C1D4E">
        <w:rPr>
          <w:rFonts w:ascii="Arial" w:hAnsi="Arial" w:cs="Arial"/>
        </w:rPr>
        <w:t xml:space="preserve">IL-7 values were divided by Low CD3 alone to yield fold-change. Unlike with regular CD3 stimulation, there was no difference in responsiveness to IL-7 in the SFU (Left), SS (Middle) or TWI (Right) measurements, based on fold-change, between healthy donors and septic patients. N=46 healthy, n=63 septic. Red bars represent </w:t>
      </w:r>
      <w:r w:rsidRPr="008C1D4E">
        <w:rPr>
          <w:rFonts w:ascii="Arial" w:hAnsi="Arial" w:cs="Arial"/>
        </w:rPr>
        <w:lastRenderedPageBreak/>
        <w:t>Median with IQR. *p&lt;0.05, **p&lt;0.01, ***p&lt;0.001, ****p&lt;0.0001 as determined by Mann-Whitney test.</w:t>
      </w:r>
    </w:p>
    <w:p w:rsidR="00C36643" w:rsidRPr="005942A7" w:rsidRDefault="00C36643" w:rsidP="00C36643">
      <w:pPr>
        <w:spacing w:line="360" w:lineRule="auto"/>
        <w:rPr>
          <w:rFonts w:ascii="Arial" w:hAnsi="Arial" w:cs="Arial"/>
        </w:rPr>
      </w:pPr>
      <w:r w:rsidRPr="005942A7">
        <w:rPr>
          <w:rFonts w:ascii="Arial" w:hAnsi="Arial" w:cs="Arial"/>
          <w:b/>
          <w:bCs/>
        </w:rPr>
        <w:t>Supplemental Figure 4: Comparison of TNF-α production between healthy and septic samples.</w:t>
      </w:r>
      <w:r w:rsidRPr="005942A7">
        <w:rPr>
          <w:rFonts w:ascii="Arial" w:hAnsi="Arial" w:cs="Arial"/>
        </w:rPr>
        <w:t xml:space="preserve"> Samples from healthy don</w:t>
      </w:r>
      <w:bookmarkStart w:id="0" w:name="_GoBack"/>
      <w:bookmarkEnd w:id="0"/>
      <w:r w:rsidRPr="005942A7">
        <w:rPr>
          <w:rFonts w:ascii="Arial" w:hAnsi="Arial" w:cs="Arial"/>
        </w:rPr>
        <w:t xml:space="preserve">ors (n=46) and septic patients (n=63) similarly produced TNF-α when unstimulated (spontaneous; SPON; Left Side). They also produced </w:t>
      </w:r>
      <w:bookmarkStart w:id="1" w:name="OLE_LINK28"/>
      <w:r w:rsidRPr="005942A7">
        <w:rPr>
          <w:rFonts w:ascii="Arial" w:hAnsi="Arial" w:cs="Arial"/>
        </w:rPr>
        <w:t xml:space="preserve">TNF-α </w:t>
      </w:r>
      <w:bookmarkEnd w:id="1"/>
      <w:r w:rsidRPr="005942A7">
        <w:rPr>
          <w:rFonts w:ascii="Arial" w:hAnsi="Arial" w:cs="Arial"/>
        </w:rPr>
        <w:t>similarly in response to R848 (Middle) and LPS (Right). Red bars represent Median with IQR. *p&lt;0.05, **p&lt;0.01, ****p&lt;0.0001 as determined by Mann-Whitney test.</w:t>
      </w:r>
    </w:p>
    <w:p w:rsidR="00FC12F8" w:rsidRDefault="00FC12F8"/>
    <w:p w:rsidR="00C36643" w:rsidRDefault="00C36643"/>
    <w:sectPr w:rsidR="00C36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643"/>
    <w:rsid w:val="00036DD8"/>
    <w:rsid w:val="00060649"/>
    <w:rsid w:val="00063DC1"/>
    <w:rsid w:val="000A78DE"/>
    <w:rsid w:val="000C24A3"/>
    <w:rsid w:val="000E3B7D"/>
    <w:rsid w:val="000E651F"/>
    <w:rsid w:val="000F2C26"/>
    <w:rsid w:val="000F7D0F"/>
    <w:rsid w:val="00146ABF"/>
    <w:rsid w:val="001B1389"/>
    <w:rsid w:val="001C0FF9"/>
    <w:rsid w:val="001E0512"/>
    <w:rsid w:val="001E3516"/>
    <w:rsid w:val="00224F20"/>
    <w:rsid w:val="00242A85"/>
    <w:rsid w:val="00297DE2"/>
    <w:rsid w:val="002C742B"/>
    <w:rsid w:val="002C7836"/>
    <w:rsid w:val="00346F78"/>
    <w:rsid w:val="00362390"/>
    <w:rsid w:val="00374F22"/>
    <w:rsid w:val="0039482A"/>
    <w:rsid w:val="0039633B"/>
    <w:rsid w:val="003A7870"/>
    <w:rsid w:val="003B2816"/>
    <w:rsid w:val="003F69EF"/>
    <w:rsid w:val="004369E1"/>
    <w:rsid w:val="00452767"/>
    <w:rsid w:val="0047088C"/>
    <w:rsid w:val="00482587"/>
    <w:rsid w:val="00496EC3"/>
    <w:rsid w:val="00500385"/>
    <w:rsid w:val="00545AE2"/>
    <w:rsid w:val="00552BB5"/>
    <w:rsid w:val="005647BE"/>
    <w:rsid w:val="00573ACD"/>
    <w:rsid w:val="005A3C40"/>
    <w:rsid w:val="005C3F97"/>
    <w:rsid w:val="005C5C2D"/>
    <w:rsid w:val="005F5577"/>
    <w:rsid w:val="00616DA9"/>
    <w:rsid w:val="006342A2"/>
    <w:rsid w:val="006E1785"/>
    <w:rsid w:val="006F28F7"/>
    <w:rsid w:val="006F45BB"/>
    <w:rsid w:val="0070300E"/>
    <w:rsid w:val="00734E35"/>
    <w:rsid w:val="00752E4E"/>
    <w:rsid w:val="00753111"/>
    <w:rsid w:val="007534D9"/>
    <w:rsid w:val="00755DAA"/>
    <w:rsid w:val="00760C5B"/>
    <w:rsid w:val="00772C3B"/>
    <w:rsid w:val="007741D4"/>
    <w:rsid w:val="00794D4E"/>
    <w:rsid w:val="007B1ADC"/>
    <w:rsid w:val="00835D53"/>
    <w:rsid w:val="00846D05"/>
    <w:rsid w:val="008803E6"/>
    <w:rsid w:val="00884649"/>
    <w:rsid w:val="008D1457"/>
    <w:rsid w:val="00916FBE"/>
    <w:rsid w:val="00921D64"/>
    <w:rsid w:val="00975405"/>
    <w:rsid w:val="00986867"/>
    <w:rsid w:val="009F7B9D"/>
    <w:rsid w:val="00A37F14"/>
    <w:rsid w:val="00A4009C"/>
    <w:rsid w:val="00AA0800"/>
    <w:rsid w:val="00AB457E"/>
    <w:rsid w:val="00B3652A"/>
    <w:rsid w:val="00B50067"/>
    <w:rsid w:val="00B8405A"/>
    <w:rsid w:val="00BA6712"/>
    <w:rsid w:val="00BF0969"/>
    <w:rsid w:val="00BF3F78"/>
    <w:rsid w:val="00C12CA3"/>
    <w:rsid w:val="00C27515"/>
    <w:rsid w:val="00C36202"/>
    <w:rsid w:val="00C36643"/>
    <w:rsid w:val="00C4032B"/>
    <w:rsid w:val="00C804AB"/>
    <w:rsid w:val="00C830A1"/>
    <w:rsid w:val="00CB5621"/>
    <w:rsid w:val="00CF721F"/>
    <w:rsid w:val="00CF74BF"/>
    <w:rsid w:val="00D070D4"/>
    <w:rsid w:val="00D47720"/>
    <w:rsid w:val="00D55F2F"/>
    <w:rsid w:val="00D71D2A"/>
    <w:rsid w:val="00D734A7"/>
    <w:rsid w:val="00DD7C5E"/>
    <w:rsid w:val="00DE17D6"/>
    <w:rsid w:val="00E21FFC"/>
    <w:rsid w:val="00E51C2A"/>
    <w:rsid w:val="00E94EA8"/>
    <w:rsid w:val="00EB0ABE"/>
    <w:rsid w:val="00EE2A6B"/>
    <w:rsid w:val="00F01C84"/>
    <w:rsid w:val="00F028CE"/>
    <w:rsid w:val="00F13C66"/>
    <w:rsid w:val="00F247D5"/>
    <w:rsid w:val="00F557D1"/>
    <w:rsid w:val="00F82EA7"/>
    <w:rsid w:val="00F86A63"/>
    <w:rsid w:val="00F91395"/>
    <w:rsid w:val="00F953EF"/>
    <w:rsid w:val="00F95F5E"/>
    <w:rsid w:val="00FA0085"/>
    <w:rsid w:val="00FB5762"/>
    <w:rsid w:val="00FC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B3FF68-05F9-4D32-94DA-B7971535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524</Words>
  <Characters>2992</Characters>
  <Application>Microsoft Office Word</Application>
  <DocSecurity>0</DocSecurity>
  <Lines>24</Lines>
  <Paragraphs>7</Paragraphs>
  <ScaleCrop>false</ScaleCrop>
  <Company>HP Inc.</Company>
  <LinksUpToDate>false</LinksUpToDate>
  <CharactersWithSpaces>3509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Jeyamurugan K</dc:creator>
  <cp:keywords/>
  <dc:description/>
  <cp:lastModifiedBy>Jeyamurugan K</cp:lastModifiedBy>
  <cp:revision>1</cp:revision>
  <dcterms:created xsi:type="dcterms:W3CDTF">2025-02-26T11:33:00Z</dcterms:created>
  <dcterms:modified xsi:type="dcterms:W3CDTF">2025-02-26T11:39:00Z</dcterms:modified>
</cp:coreProperties>
</file>