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826012" w14:textId="782BEDF7" w:rsidR="00483A2A" w:rsidRPr="009A7D33" w:rsidRDefault="00AE6A7D" w:rsidP="00483A2A">
      <w:pPr>
        <w:pStyle w:val="NoSpacing"/>
        <w:rPr>
          <w:sz w:val="24"/>
          <w:szCs w:val="24"/>
        </w:rPr>
      </w:pPr>
      <w:r w:rsidRPr="009A7D33">
        <w:rPr>
          <w:b/>
          <w:bCs/>
          <w:sz w:val="24"/>
          <w:szCs w:val="24"/>
        </w:rPr>
        <w:t>Table S</w:t>
      </w:r>
      <w:r w:rsidR="00203DBF">
        <w:rPr>
          <w:b/>
          <w:bCs/>
          <w:sz w:val="24"/>
          <w:szCs w:val="24"/>
        </w:rPr>
        <w:t>11</w:t>
      </w:r>
      <w:r w:rsidRPr="009A7D33">
        <w:rPr>
          <w:sz w:val="24"/>
          <w:szCs w:val="24"/>
        </w:rPr>
        <w:t xml:space="preserve">. </w:t>
      </w:r>
      <w:r w:rsidR="00483A2A" w:rsidRPr="009A7D33">
        <w:rPr>
          <w:sz w:val="24"/>
          <w:szCs w:val="24"/>
        </w:rPr>
        <w:t xml:space="preserve">Description of proteins that significantly interacted with </w:t>
      </w:r>
      <w:r w:rsidR="006D366A">
        <w:rPr>
          <w:rFonts w:eastAsiaTheme="minorEastAsia"/>
          <w:sz w:val="24"/>
          <w:szCs w:val="24"/>
        </w:rPr>
        <w:t>MMP9</w:t>
      </w:r>
      <w:r w:rsidR="00483A2A" w:rsidRPr="009A7D33">
        <w:rPr>
          <w:rFonts w:eastAsiaTheme="minorEastAsia"/>
          <w:sz w:val="24"/>
          <w:szCs w:val="24"/>
        </w:rPr>
        <w:t xml:space="preserve"> protein </w:t>
      </w:r>
      <w:r w:rsidR="00483A2A" w:rsidRPr="009A7D33">
        <w:rPr>
          <w:sz w:val="24"/>
          <w:szCs w:val="24"/>
        </w:rPr>
        <w:t xml:space="preserve">when  </w:t>
      </w:r>
    </w:p>
    <w:p w14:paraId="3FAC7A8A" w14:textId="746F4AE8" w:rsidR="00483A2A" w:rsidRPr="009A7D33" w:rsidRDefault="00483A2A" w:rsidP="00483A2A">
      <w:pPr>
        <w:pStyle w:val="NoSpacing"/>
        <w:rPr>
          <w:sz w:val="24"/>
          <w:szCs w:val="24"/>
        </w:rPr>
      </w:pPr>
      <w:r w:rsidRPr="009A7D33">
        <w:rPr>
          <w:sz w:val="24"/>
          <w:szCs w:val="24"/>
        </w:rPr>
        <w:t xml:space="preserve">                 </w:t>
      </w:r>
      <w:r w:rsidRPr="009A7D33">
        <w:rPr>
          <w:rFonts w:eastAsiaTheme="minorEastAsia"/>
          <w:sz w:val="24"/>
          <w:szCs w:val="24"/>
        </w:rPr>
        <w:t>analyzed by STRING tool</w:t>
      </w:r>
      <w:r w:rsidRPr="009A7D33">
        <w:rPr>
          <w:sz w:val="24"/>
          <w:szCs w:val="24"/>
        </w:rPr>
        <w:t>.</w:t>
      </w:r>
    </w:p>
    <w:p w14:paraId="4F7F895D" w14:textId="7A6A8A63" w:rsidR="00087277" w:rsidRDefault="00087277" w:rsidP="00AE6A7D"/>
    <w:tbl>
      <w:tblPr>
        <w:tblStyle w:val="PlainTable1"/>
        <w:tblW w:w="5000" w:type="pct"/>
        <w:tblLook w:val="04A0" w:firstRow="1" w:lastRow="0" w:firstColumn="1" w:lastColumn="0" w:noHBand="0" w:noVBand="1"/>
      </w:tblPr>
      <w:tblGrid>
        <w:gridCol w:w="913"/>
        <w:gridCol w:w="2200"/>
        <w:gridCol w:w="5520"/>
        <w:gridCol w:w="717"/>
      </w:tblGrid>
      <w:tr w:rsidR="006D366A" w:rsidRPr="006D366A" w14:paraId="6FC79125" w14:textId="77777777" w:rsidTr="006D36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 w:type="pct"/>
            <w:noWrap/>
          </w:tcPr>
          <w:p w14:paraId="4ABDFA21" w14:textId="197FA5AA" w:rsidR="006D366A" w:rsidRPr="006D366A" w:rsidRDefault="006D366A" w:rsidP="006D366A">
            <w:pPr>
              <w:jc w:val="center"/>
              <w:rPr>
                <w:lang w:val="en-PK"/>
              </w:rPr>
            </w:pPr>
            <w:r w:rsidRPr="006D366A">
              <w:t>Gene</w:t>
            </w:r>
          </w:p>
        </w:tc>
        <w:tc>
          <w:tcPr>
            <w:tcW w:w="1177" w:type="pct"/>
          </w:tcPr>
          <w:p w14:paraId="75319DF9" w14:textId="51033503" w:rsidR="006D366A" w:rsidRPr="006D366A" w:rsidRDefault="006D366A" w:rsidP="006D366A">
            <w:pPr>
              <w:jc w:val="center"/>
              <w:cnfStyle w:val="100000000000" w:firstRow="1" w:lastRow="0" w:firstColumn="0" w:lastColumn="0" w:oddVBand="0" w:evenVBand="0" w:oddHBand="0" w:evenHBand="0" w:firstRowFirstColumn="0" w:firstRowLastColumn="0" w:lastRowFirstColumn="0" w:lastRowLastColumn="0"/>
              <w:rPr>
                <w:lang w:val="en-PK"/>
              </w:rPr>
            </w:pPr>
            <w:r w:rsidRPr="006D366A">
              <w:t>Description</w:t>
            </w:r>
          </w:p>
        </w:tc>
        <w:tc>
          <w:tcPr>
            <w:tcW w:w="2951" w:type="pct"/>
          </w:tcPr>
          <w:p w14:paraId="0B865F6F" w14:textId="03158E28" w:rsidR="006D366A" w:rsidRPr="006D366A" w:rsidRDefault="006D366A" w:rsidP="006D366A">
            <w:pPr>
              <w:jc w:val="center"/>
              <w:cnfStyle w:val="100000000000" w:firstRow="1" w:lastRow="0" w:firstColumn="0" w:lastColumn="0" w:oddVBand="0" w:evenVBand="0" w:oddHBand="0" w:evenHBand="0" w:firstRowFirstColumn="0" w:firstRowLastColumn="0" w:lastRowFirstColumn="0" w:lastRowLastColumn="0"/>
              <w:rPr>
                <w:lang w:val="en-PK"/>
              </w:rPr>
            </w:pPr>
            <w:r w:rsidRPr="006D366A">
              <w:t>Function</w:t>
            </w:r>
          </w:p>
        </w:tc>
        <w:tc>
          <w:tcPr>
            <w:tcW w:w="383" w:type="pct"/>
          </w:tcPr>
          <w:p w14:paraId="3D07D01C" w14:textId="6CFB54BE" w:rsidR="006D366A" w:rsidRPr="006D366A" w:rsidRDefault="006D366A" w:rsidP="006D366A">
            <w:pPr>
              <w:jc w:val="center"/>
              <w:cnfStyle w:val="100000000000" w:firstRow="1" w:lastRow="0" w:firstColumn="0" w:lastColumn="0" w:oddVBand="0" w:evenVBand="0" w:oddHBand="0" w:evenHBand="0" w:firstRowFirstColumn="0" w:firstRowLastColumn="0" w:lastRowFirstColumn="0" w:lastRowLastColumn="0"/>
              <w:rPr>
                <w:lang w:val="en-PK"/>
              </w:rPr>
            </w:pPr>
            <w:r w:rsidRPr="006D366A">
              <w:rPr>
                <w:b w:val="0"/>
              </w:rPr>
              <w:t>Score</w:t>
            </w:r>
          </w:p>
        </w:tc>
      </w:tr>
      <w:tr w:rsidR="006D366A" w:rsidRPr="006D366A" w14:paraId="4FFB6E57" w14:textId="77777777" w:rsidTr="006D3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 w:type="pct"/>
            <w:noWrap/>
          </w:tcPr>
          <w:p w14:paraId="10B689C3" w14:textId="51644A89" w:rsidR="006D366A" w:rsidRPr="006D366A" w:rsidRDefault="006D366A" w:rsidP="006D366A">
            <w:pPr>
              <w:rPr>
                <w:lang w:val="en-PK"/>
              </w:rPr>
            </w:pPr>
            <w:r w:rsidRPr="006D366A">
              <w:t>TIMP1</w:t>
            </w:r>
          </w:p>
        </w:tc>
        <w:tc>
          <w:tcPr>
            <w:tcW w:w="1177" w:type="pct"/>
          </w:tcPr>
          <w:p w14:paraId="41809597" w14:textId="0F8C3959" w:rsidR="006D366A" w:rsidRPr="006D366A" w:rsidRDefault="006D366A" w:rsidP="006D366A">
            <w:pPr>
              <w:cnfStyle w:val="000000100000" w:firstRow="0" w:lastRow="0" w:firstColumn="0" w:lastColumn="0" w:oddVBand="0" w:evenVBand="0" w:oddHBand="1" w:evenHBand="0" w:firstRowFirstColumn="0" w:firstRowLastColumn="0" w:lastRowFirstColumn="0" w:lastRowLastColumn="0"/>
              <w:rPr>
                <w:lang w:val="en-PK"/>
              </w:rPr>
            </w:pPr>
            <w:r w:rsidRPr="006D366A">
              <w:t>Metalloproteinase inhibitor 1</w:t>
            </w:r>
          </w:p>
        </w:tc>
        <w:tc>
          <w:tcPr>
            <w:tcW w:w="2951" w:type="pct"/>
          </w:tcPr>
          <w:p w14:paraId="45CFC339" w14:textId="1180BB11" w:rsidR="006D366A" w:rsidRPr="006D366A" w:rsidRDefault="006D366A" w:rsidP="006D366A">
            <w:pPr>
              <w:jc w:val="both"/>
              <w:cnfStyle w:val="000000100000" w:firstRow="0" w:lastRow="0" w:firstColumn="0" w:lastColumn="0" w:oddVBand="0" w:evenVBand="0" w:oddHBand="1" w:evenHBand="0" w:firstRowFirstColumn="0" w:firstRowLastColumn="0" w:lastRowFirstColumn="0" w:lastRowLastColumn="0"/>
              <w:rPr>
                <w:lang w:val="en-PK"/>
              </w:rPr>
            </w:pPr>
            <w:r w:rsidRPr="006D366A">
              <w:t>Metalloproteinase inhibitor that functions by forming one to one complex with target metalloproteinases, such as collagenases, and irreversibly inactivates them by binding to their catalytic zinc cofactor.</w:t>
            </w:r>
          </w:p>
        </w:tc>
        <w:tc>
          <w:tcPr>
            <w:tcW w:w="383" w:type="pct"/>
          </w:tcPr>
          <w:p w14:paraId="4E814330" w14:textId="12952357" w:rsidR="006D366A" w:rsidRPr="006D366A" w:rsidRDefault="006D366A" w:rsidP="006D366A">
            <w:pPr>
              <w:cnfStyle w:val="000000100000" w:firstRow="0" w:lastRow="0" w:firstColumn="0" w:lastColumn="0" w:oddVBand="0" w:evenVBand="0" w:oddHBand="1" w:evenHBand="0" w:firstRowFirstColumn="0" w:firstRowLastColumn="0" w:lastRowFirstColumn="0" w:lastRowLastColumn="0"/>
              <w:rPr>
                <w:lang w:val="en-PK"/>
              </w:rPr>
            </w:pPr>
            <w:r w:rsidRPr="006D366A">
              <w:t>0.999</w:t>
            </w:r>
          </w:p>
        </w:tc>
      </w:tr>
      <w:tr w:rsidR="006D366A" w:rsidRPr="006D366A" w14:paraId="61E18367" w14:textId="77777777" w:rsidTr="006D366A">
        <w:tc>
          <w:tcPr>
            <w:cnfStyle w:val="001000000000" w:firstRow="0" w:lastRow="0" w:firstColumn="1" w:lastColumn="0" w:oddVBand="0" w:evenVBand="0" w:oddHBand="0" w:evenHBand="0" w:firstRowFirstColumn="0" w:firstRowLastColumn="0" w:lastRowFirstColumn="0" w:lastRowLastColumn="0"/>
            <w:tcW w:w="488" w:type="pct"/>
            <w:noWrap/>
            <w:hideMark/>
          </w:tcPr>
          <w:p w14:paraId="12F894FB" w14:textId="77777777" w:rsidR="006D366A" w:rsidRPr="006D366A" w:rsidRDefault="006D366A" w:rsidP="006D366A">
            <w:pPr>
              <w:rPr>
                <w:lang w:val="en-PK"/>
              </w:rPr>
            </w:pPr>
            <w:r w:rsidRPr="006D366A">
              <w:rPr>
                <w:lang w:val="en-PK"/>
              </w:rPr>
              <w:t>TIMP2</w:t>
            </w:r>
          </w:p>
        </w:tc>
        <w:tc>
          <w:tcPr>
            <w:tcW w:w="1177" w:type="pct"/>
          </w:tcPr>
          <w:p w14:paraId="3EE99232" w14:textId="774E6F7B" w:rsidR="006D366A" w:rsidRPr="006D366A" w:rsidRDefault="006D366A" w:rsidP="006D366A">
            <w:pPr>
              <w:cnfStyle w:val="000000000000" w:firstRow="0" w:lastRow="0" w:firstColumn="0" w:lastColumn="0" w:oddVBand="0" w:evenVBand="0" w:oddHBand="0" w:evenHBand="0" w:firstRowFirstColumn="0" w:firstRowLastColumn="0" w:lastRowFirstColumn="0" w:lastRowLastColumn="0"/>
              <w:rPr>
                <w:lang w:val="en-PK"/>
              </w:rPr>
            </w:pPr>
            <w:r w:rsidRPr="006D366A">
              <w:rPr>
                <w:lang w:val="en-PK"/>
              </w:rPr>
              <w:t>Metalloproteinase inhibitor 2</w:t>
            </w:r>
          </w:p>
        </w:tc>
        <w:tc>
          <w:tcPr>
            <w:tcW w:w="2951" w:type="pct"/>
            <w:hideMark/>
          </w:tcPr>
          <w:p w14:paraId="65781C4D" w14:textId="1CAC0A21" w:rsidR="006D366A" w:rsidRPr="006D366A" w:rsidRDefault="006D366A" w:rsidP="006D366A">
            <w:pPr>
              <w:jc w:val="both"/>
              <w:cnfStyle w:val="000000000000" w:firstRow="0" w:lastRow="0" w:firstColumn="0" w:lastColumn="0" w:oddVBand="0" w:evenVBand="0" w:oddHBand="0" w:evenHBand="0" w:firstRowFirstColumn="0" w:firstRowLastColumn="0" w:lastRowFirstColumn="0" w:lastRowLastColumn="0"/>
              <w:rPr>
                <w:lang w:val="en-PK"/>
              </w:rPr>
            </w:pPr>
            <w:r w:rsidRPr="006D366A">
              <w:rPr>
                <w:lang w:val="en-PK"/>
              </w:rPr>
              <w:t>Complexes with metalloproteinases (such as collagenases) and irreversibly inactivates them by binding to their catalytic zinc cofactor</w:t>
            </w:r>
          </w:p>
        </w:tc>
        <w:tc>
          <w:tcPr>
            <w:tcW w:w="383" w:type="pct"/>
            <w:hideMark/>
          </w:tcPr>
          <w:p w14:paraId="64E1707E" w14:textId="77777777" w:rsidR="006D366A" w:rsidRPr="006D366A" w:rsidRDefault="006D366A" w:rsidP="006D366A">
            <w:pPr>
              <w:cnfStyle w:val="000000000000" w:firstRow="0" w:lastRow="0" w:firstColumn="0" w:lastColumn="0" w:oddVBand="0" w:evenVBand="0" w:oddHBand="0" w:evenHBand="0" w:firstRowFirstColumn="0" w:firstRowLastColumn="0" w:lastRowFirstColumn="0" w:lastRowLastColumn="0"/>
              <w:rPr>
                <w:lang w:val="en-PK"/>
              </w:rPr>
            </w:pPr>
            <w:r w:rsidRPr="006D366A">
              <w:rPr>
                <w:lang w:val="en-PK"/>
              </w:rPr>
              <w:t>0.998</w:t>
            </w:r>
          </w:p>
        </w:tc>
      </w:tr>
      <w:tr w:rsidR="006D366A" w:rsidRPr="006D366A" w14:paraId="23E2B54B" w14:textId="77777777" w:rsidTr="006D3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 w:type="pct"/>
            <w:noWrap/>
            <w:hideMark/>
          </w:tcPr>
          <w:p w14:paraId="277169CF" w14:textId="77777777" w:rsidR="006D366A" w:rsidRPr="006D366A" w:rsidRDefault="006D366A" w:rsidP="006D366A">
            <w:pPr>
              <w:rPr>
                <w:lang w:val="en-PK"/>
              </w:rPr>
            </w:pPr>
            <w:r w:rsidRPr="006D366A">
              <w:rPr>
                <w:lang w:val="en-PK"/>
              </w:rPr>
              <w:t>LCN2</w:t>
            </w:r>
          </w:p>
        </w:tc>
        <w:tc>
          <w:tcPr>
            <w:tcW w:w="1177" w:type="pct"/>
          </w:tcPr>
          <w:p w14:paraId="3869EC29" w14:textId="37B73C93" w:rsidR="006D366A" w:rsidRPr="006D366A" w:rsidRDefault="006D366A" w:rsidP="006D366A">
            <w:pPr>
              <w:cnfStyle w:val="000000100000" w:firstRow="0" w:lastRow="0" w:firstColumn="0" w:lastColumn="0" w:oddVBand="0" w:evenVBand="0" w:oddHBand="1" w:evenHBand="0" w:firstRowFirstColumn="0" w:firstRowLastColumn="0" w:lastRowFirstColumn="0" w:lastRowLastColumn="0"/>
              <w:rPr>
                <w:lang w:val="en-PK"/>
              </w:rPr>
            </w:pPr>
            <w:r w:rsidRPr="006D366A">
              <w:rPr>
                <w:lang w:val="en-PK"/>
              </w:rPr>
              <w:t>Neutrophil gelatinase-associated lipocalin</w:t>
            </w:r>
          </w:p>
        </w:tc>
        <w:tc>
          <w:tcPr>
            <w:tcW w:w="2951" w:type="pct"/>
            <w:hideMark/>
          </w:tcPr>
          <w:p w14:paraId="44F4E9AA" w14:textId="0A7835A7" w:rsidR="006D366A" w:rsidRPr="006D366A" w:rsidRDefault="006D366A" w:rsidP="006D366A">
            <w:pPr>
              <w:jc w:val="both"/>
              <w:cnfStyle w:val="000000100000" w:firstRow="0" w:lastRow="0" w:firstColumn="0" w:lastColumn="0" w:oddVBand="0" w:evenVBand="0" w:oddHBand="1" w:evenHBand="0" w:firstRowFirstColumn="0" w:firstRowLastColumn="0" w:lastRowFirstColumn="0" w:lastRowLastColumn="0"/>
              <w:rPr>
                <w:lang w:val="en-PK"/>
              </w:rPr>
            </w:pPr>
            <w:r w:rsidRPr="006D366A">
              <w:rPr>
                <w:lang w:val="en-PK"/>
              </w:rPr>
              <w:t xml:space="preserve">Iron-trafficking protein involved in multiple processes such as apoptosis, innate immunity and renal development. Binds iron through association with 2,5-dihydroxybenzoic acid (2,5-DHBA), a siderophore that shares structural similarities with bacterial enterobactin, and delivers or removes iron from the cell, depending on the context. </w:t>
            </w:r>
          </w:p>
        </w:tc>
        <w:tc>
          <w:tcPr>
            <w:tcW w:w="383" w:type="pct"/>
            <w:hideMark/>
          </w:tcPr>
          <w:p w14:paraId="2AE0FF4F" w14:textId="77777777" w:rsidR="006D366A" w:rsidRPr="006D366A" w:rsidRDefault="006D366A" w:rsidP="006D366A">
            <w:pPr>
              <w:cnfStyle w:val="000000100000" w:firstRow="0" w:lastRow="0" w:firstColumn="0" w:lastColumn="0" w:oddVBand="0" w:evenVBand="0" w:oddHBand="1" w:evenHBand="0" w:firstRowFirstColumn="0" w:firstRowLastColumn="0" w:lastRowFirstColumn="0" w:lastRowLastColumn="0"/>
              <w:rPr>
                <w:lang w:val="en-PK"/>
              </w:rPr>
            </w:pPr>
            <w:r w:rsidRPr="006D366A">
              <w:rPr>
                <w:lang w:val="en-PK"/>
              </w:rPr>
              <w:t>0.998</w:t>
            </w:r>
          </w:p>
        </w:tc>
      </w:tr>
      <w:tr w:rsidR="006D366A" w:rsidRPr="006D366A" w14:paraId="1EF7DD8A" w14:textId="77777777" w:rsidTr="006D366A">
        <w:tc>
          <w:tcPr>
            <w:cnfStyle w:val="001000000000" w:firstRow="0" w:lastRow="0" w:firstColumn="1" w:lastColumn="0" w:oddVBand="0" w:evenVBand="0" w:oddHBand="0" w:evenHBand="0" w:firstRowFirstColumn="0" w:firstRowLastColumn="0" w:lastRowFirstColumn="0" w:lastRowLastColumn="0"/>
            <w:tcW w:w="488" w:type="pct"/>
            <w:noWrap/>
            <w:hideMark/>
          </w:tcPr>
          <w:p w14:paraId="4DF5CF09" w14:textId="77777777" w:rsidR="006D366A" w:rsidRPr="006D366A" w:rsidRDefault="006D366A" w:rsidP="006D366A">
            <w:pPr>
              <w:rPr>
                <w:lang w:val="en-PK"/>
              </w:rPr>
            </w:pPr>
            <w:r w:rsidRPr="006D366A">
              <w:rPr>
                <w:lang w:val="en-PK"/>
              </w:rPr>
              <w:t>CD44</w:t>
            </w:r>
          </w:p>
        </w:tc>
        <w:tc>
          <w:tcPr>
            <w:tcW w:w="1177" w:type="pct"/>
          </w:tcPr>
          <w:p w14:paraId="535DA4A9" w14:textId="687C21F5" w:rsidR="006D366A" w:rsidRPr="006D366A" w:rsidRDefault="006D366A" w:rsidP="006D366A">
            <w:pPr>
              <w:cnfStyle w:val="000000000000" w:firstRow="0" w:lastRow="0" w:firstColumn="0" w:lastColumn="0" w:oddVBand="0" w:evenVBand="0" w:oddHBand="0" w:evenHBand="0" w:firstRowFirstColumn="0" w:firstRowLastColumn="0" w:lastRowFirstColumn="0" w:lastRowLastColumn="0"/>
              <w:rPr>
                <w:lang w:val="en-PK"/>
              </w:rPr>
            </w:pPr>
            <w:r w:rsidRPr="006D366A">
              <w:rPr>
                <w:lang w:val="en-PK"/>
              </w:rPr>
              <w:t>CD44 antigen</w:t>
            </w:r>
          </w:p>
        </w:tc>
        <w:tc>
          <w:tcPr>
            <w:tcW w:w="2951" w:type="pct"/>
            <w:hideMark/>
          </w:tcPr>
          <w:p w14:paraId="6A145E3D" w14:textId="0AA77F81" w:rsidR="006D366A" w:rsidRPr="006D366A" w:rsidRDefault="006D366A" w:rsidP="006D366A">
            <w:pPr>
              <w:jc w:val="both"/>
              <w:cnfStyle w:val="000000000000" w:firstRow="0" w:lastRow="0" w:firstColumn="0" w:lastColumn="0" w:oddVBand="0" w:evenVBand="0" w:oddHBand="0" w:evenHBand="0" w:firstRowFirstColumn="0" w:firstRowLastColumn="0" w:lastRowFirstColumn="0" w:lastRowLastColumn="0"/>
              <w:rPr>
                <w:lang w:val="en-PK"/>
              </w:rPr>
            </w:pPr>
            <w:r w:rsidRPr="006D366A">
              <w:rPr>
                <w:lang w:val="en-PK"/>
              </w:rPr>
              <w:t xml:space="preserve">Cell-surface receptor that plays a role in cell-cell interactions, cell adhesion and migration, helping them to sense and respond to changes in the tissue microenvironment. Participates thereby in a wide variety of cellular functions including the activation, recirculation and homing of T-lymphocytes, hematopoiesis, inflammation and response to bacterial infection. </w:t>
            </w:r>
          </w:p>
        </w:tc>
        <w:tc>
          <w:tcPr>
            <w:tcW w:w="383" w:type="pct"/>
            <w:hideMark/>
          </w:tcPr>
          <w:p w14:paraId="5EEE4AE3" w14:textId="77777777" w:rsidR="006D366A" w:rsidRPr="006D366A" w:rsidRDefault="006D366A" w:rsidP="006D366A">
            <w:pPr>
              <w:cnfStyle w:val="000000000000" w:firstRow="0" w:lastRow="0" w:firstColumn="0" w:lastColumn="0" w:oddVBand="0" w:evenVBand="0" w:oddHBand="0" w:evenHBand="0" w:firstRowFirstColumn="0" w:firstRowLastColumn="0" w:lastRowFirstColumn="0" w:lastRowLastColumn="0"/>
              <w:rPr>
                <w:lang w:val="en-PK"/>
              </w:rPr>
            </w:pPr>
            <w:r w:rsidRPr="006D366A">
              <w:rPr>
                <w:lang w:val="en-PK"/>
              </w:rPr>
              <w:t>0.998</w:t>
            </w:r>
          </w:p>
        </w:tc>
      </w:tr>
      <w:tr w:rsidR="006D366A" w:rsidRPr="006D366A" w14:paraId="42A9DBCB" w14:textId="77777777" w:rsidTr="006D3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 w:type="pct"/>
            <w:noWrap/>
            <w:hideMark/>
          </w:tcPr>
          <w:p w14:paraId="67E8EE6F" w14:textId="77777777" w:rsidR="006D366A" w:rsidRPr="006D366A" w:rsidRDefault="006D366A" w:rsidP="006D366A">
            <w:pPr>
              <w:rPr>
                <w:lang w:val="en-PK"/>
              </w:rPr>
            </w:pPr>
            <w:r w:rsidRPr="006D366A">
              <w:rPr>
                <w:lang w:val="en-PK"/>
              </w:rPr>
              <w:t>THBS1</w:t>
            </w:r>
          </w:p>
        </w:tc>
        <w:tc>
          <w:tcPr>
            <w:tcW w:w="1177" w:type="pct"/>
          </w:tcPr>
          <w:p w14:paraId="163EA0D5" w14:textId="5E1B2D7F" w:rsidR="006D366A" w:rsidRPr="006D366A" w:rsidRDefault="006D366A" w:rsidP="006D366A">
            <w:pPr>
              <w:cnfStyle w:val="000000100000" w:firstRow="0" w:lastRow="0" w:firstColumn="0" w:lastColumn="0" w:oddVBand="0" w:evenVBand="0" w:oddHBand="1" w:evenHBand="0" w:firstRowFirstColumn="0" w:firstRowLastColumn="0" w:lastRowFirstColumn="0" w:lastRowLastColumn="0"/>
              <w:rPr>
                <w:lang w:val="en-PK"/>
              </w:rPr>
            </w:pPr>
            <w:r w:rsidRPr="006D366A">
              <w:rPr>
                <w:lang w:val="en-PK"/>
              </w:rPr>
              <w:t>Thrombospondin-1</w:t>
            </w:r>
          </w:p>
        </w:tc>
        <w:tc>
          <w:tcPr>
            <w:tcW w:w="2951" w:type="pct"/>
            <w:hideMark/>
          </w:tcPr>
          <w:p w14:paraId="6E0FF8D4" w14:textId="6737925B" w:rsidR="006D366A" w:rsidRPr="006D366A" w:rsidRDefault="006D366A" w:rsidP="006D366A">
            <w:pPr>
              <w:jc w:val="both"/>
              <w:cnfStyle w:val="000000100000" w:firstRow="0" w:lastRow="0" w:firstColumn="0" w:lastColumn="0" w:oddVBand="0" w:evenVBand="0" w:oddHBand="1" w:evenHBand="0" w:firstRowFirstColumn="0" w:firstRowLastColumn="0" w:lastRowFirstColumn="0" w:lastRowLastColumn="0"/>
              <w:rPr>
                <w:lang w:val="en-PK"/>
              </w:rPr>
            </w:pPr>
            <w:r w:rsidRPr="006D366A">
              <w:rPr>
                <w:lang w:val="en-PK"/>
              </w:rPr>
              <w:t>Adhesive glycoprotein that mediates cell-to-cell and cell-to- matrix interactions. Binds heparin. May play a role in dentinogenesis and/or maintenance of dentin and dental pulp (By similarity). Plays a role in ER stress response, via its interaction with the activating transcription factor 6 alpha (ATF6) which produces adaptive ER stress response factors (By similarity).</w:t>
            </w:r>
          </w:p>
        </w:tc>
        <w:tc>
          <w:tcPr>
            <w:tcW w:w="383" w:type="pct"/>
            <w:hideMark/>
          </w:tcPr>
          <w:p w14:paraId="79374C62" w14:textId="77777777" w:rsidR="006D366A" w:rsidRPr="006D366A" w:rsidRDefault="006D366A" w:rsidP="006D366A">
            <w:pPr>
              <w:cnfStyle w:val="000000100000" w:firstRow="0" w:lastRow="0" w:firstColumn="0" w:lastColumn="0" w:oddVBand="0" w:evenVBand="0" w:oddHBand="1" w:evenHBand="0" w:firstRowFirstColumn="0" w:firstRowLastColumn="0" w:lastRowFirstColumn="0" w:lastRowLastColumn="0"/>
              <w:rPr>
                <w:lang w:val="en-PK"/>
              </w:rPr>
            </w:pPr>
            <w:r w:rsidRPr="006D366A">
              <w:rPr>
                <w:lang w:val="en-PK"/>
              </w:rPr>
              <w:t>0.997</w:t>
            </w:r>
          </w:p>
        </w:tc>
      </w:tr>
      <w:tr w:rsidR="006D366A" w:rsidRPr="006D366A" w14:paraId="4BB78677" w14:textId="77777777" w:rsidTr="006D366A">
        <w:tc>
          <w:tcPr>
            <w:cnfStyle w:val="001000000000" w:firstRow="0" w:lastRow="0" w:firstColumn="1" w:lastColumn="0" w:oddVBand="0" w:evenVBand="0" w:oddHBand="0" w:evenHBand="0" w:firstRowFirstColumn="0" w:firstRowLastColumn="0" w:lastRowFirstColumn="0" w:lastRowLastColumn="0"/>
            <w:tcW w:w="488" w:type="pct"/>
            <w:noWrap/>
            <w:hideMark/>
          </w:tcPr>
          <w:p w14:paraId="1CBC27D3" w14:textId="77777777" w:rsidR="006D366A" w:rsidRPr="006D366A" w:rsidRDefault="006D366A" w:rsidP="006D366A">
            <w:pPr>
              <w:rPr>
                <w:lang w:val="en-PK"/>
              </w:rPr>
            </w:pPr>
            <w:r w:rsidRPr="006D366A">
              <w:rPr>
                <w:lang w:val="en-PK"/>
              </w:rPr>
              <w:t>TIMP3</w:t>
            </w:r>
          </w:p>
        </w:tc>
        <w:tc>
          <w:tcPr>
            <w:tcW w:w="1177" w:type="pct"/>
          </w:tcPr>
          <w:p w14:paraId="2EFA1406" w14:textId="257C053A" w:rsidR="006D366A" w:rsidRPr="006D366A" w:rsidRDefault="006D366A" w:rsidP="006D366A">
            <w:pPr>
              <w:cnfStyle w:val="000000000000" w:firstRow="0" w:lastRow="0" w:firstColumn="0" w:lastColumn="0" w:oddVBand="0" w:evenVBand="0" w:oddHBand="0" w:evenHBand="0" w:firstRowFirstColumn="0" w:firstRowLastColumn="0" w:lastRowFirstColumn="0" w:lastRowLastColumn="0"/>
              <w:rPr>
                <w:lang w:val="en-PK"/>
              </w:rPr>
            </w:pPr>
            <w:r w:rsidRPr="006D366A">
              <w:rPr>
                <w:lang w:val="en-PK"/>
              </w:rPr>
              <w:t>Metalloproteinase inhibitor 3</w:t>
            </w:r>
          </w:p>
        </w:tc>
        <w:tc>
          <w:tcPr>
            <w:tcW w:w="2951" w:type="pct"/>
            <w:hideMark/>
          </w:tcPr>
          <w:p w14:paraId="7950969A" w14:textId="6AA3F284" w:rsidR="006D366A" w:rsidRPr="006D366A" w:rsidRDefault="006D366A" w:rsidP="006D366A">
            <w:pPr>
              <w:jc w:val="both"/>
              <w:cnfStyle w:val="000000000000" w:firstRow="0" w:lastRow="0" w:firstColumn="0" w:lastColumn="0" w:oddVBand="0" w:evenVBand="0" w:oddHBand="0" w:evenHBand="0" w:firstRowFirstColumn="0" w:firstRowLastColumn="0" w:lastRowFirstColumn="0" w:lastRowLastColumn="0"/>
              <w:rPr>
                <w:lang w:val="en-PK"/>
              </w:rPr>
            </w:pPr>
            <w:r w:rsidRPr="006D366A">
              <w:rPr>
                <w:lang w:val="en-PK"/>
              </w:rPr>
              <w:t xml:space="preserve">Complexes with metalloproteinases (such as collagenases) and irreversibly inactivates them by binding to their catalytic zinc cofactor. May form part of a tissue-specific acute response to remodeling stimuli. </w:t>
            </w:r>
          </w:p>
        </w:tc>
        <w:tc>
          <w:tcPr>
            <w:tcW w:w="383" w:type="pct"/>
            <w:hideMark/>
          </w:tcPr>
          <w:p w14:paraId="7BE05575" w14:textId="77777777" w:rsidR="006D366A" w:rsidRPr="006D366A" w:rsidRDefault="006D366A" w:rsidP="006D366A">
            <w:pPr>
              <w:cnfStyle w:val="000000000000" w:firstRow="0" w:lastRow="0" w:firstColumn="0" w:lastColumn="0" w:oddVBand="0" w:evenVBand="0" w:oddHBand="0" w:evenHBand="0" w:firstRowFirstColumn="0" w:firstRowLastColumn="0" w:lastRowFirstColumn="0" w:lastRowLastColumn="0"/>
              <w:rPr>
                <w:lang w:val="en-PK"/>
              </w:rPr>
            </w:pPr>
            <w:r w:rsidRPr="006D366A">
              <w:rPr>
                <w:lang w:val="en-PK"/>
              </w:rPr>
              <w:t>0.995</w:t>
            </w:r>
          </w:p>
        </w:tc>
      </w:tr>
      <w:tr w:rsidR="006D366A" w:rsidRPr="006D366A" w14:paraId="680937F2" w14:textId="77777777" w:rsidTr="006D3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 w:type="pct"/>
            <w:noWrap/>
            <w:hideMark/>
          </w:tcPr>
          <w:p w14:paraId="62B2106C" w14:textId="77777777" w:rsidR="006D366A" w:rsidRPr="006D366A" w:rsidRDefault="006D366A" w:rsidP="006D366A">
            <w:pPr>
              <w:rPr>
                <w:lang w:val="en-PK"/>
              </w:rPr>
            </w:pPr>
            <w:r w:rsidRPr="006D366A">
              <w:rPr>
                <w:lang w:val="en-PK"/>
              </w:rPr>
              <w:t>CTSG</w:t>
            </w:r>
          </w:p>
        </w:tc>
        <w:tc>
          <w:tcPr>
            <w:tcW w:w="1177" w:type="pct"/>
          </w:tcPr>
          <w:p w14:paraId="65122EDF" w14:textId="55130B5B" w:rsidR="006D366A" w:rsidRPr="006D366A" w:rsidRDefault="006D366A" w:rsidP="006D366A">
            <w:pPr>
              <w:cnfStyle w:val="000000100000" w:firstRow="0" w:lastRow="0" w:firstColumn="0" w:lastColumn="0" w:oddVBand="0" w:evenVBand="0" w:oddHBand="1" w:evenHBand="0" w:firstRowFirstColumn="0" w:firstRowLastColumn="0" w:lastRowFirstColumn="0" w:lastRowLastColumn="0"/>
              <w:rPr>
                <w:lang w:val="en-PK"/>
              </w:rPr>
            </w:pPr>
            <w:r w:rsidRPr="006D366A">
              <w:rPr>
                <w:lang w:val="en-PK"/>
              </w:rPr>
              <w:t>Cathepsin G</w:t>
            </w:r>
          </w:p>
        </w:tc>
        <w:tc>
          <w:tcPr>
            <w:tcW w:w="2951" w:type="pct"/>
            <w:hideMark/>
          </w:tcPr>
          <w:p w14:paraId="642CFD56" w14:textId="75B890A6" w:rsidR="006D366A" w:rsidRPr="006D366A" w:rsidRDefault="006D366A" w:rsidP="006D366A">
            <w:pPr>
              <w:jc w:val="both"/>
              <w:cnfStyle w:val="000000100000" w:firstRow="0" w:lastRow="0" w:firstColumn="0" w:lastColumn="0" w:oddVBand="0" w:evenVBand="0" w:oddHBand="1" w:evenHBand="0" w:firstRowFirstColumn="0" w:firstRowLastColumn="0" w:lastRowFirstColumn="0" w:lastRowLastColumn="0"/>
              <w:rPr>
                <w:lang w:val="en-PK"/>
              </w:rPr>
            </w:pPr>
            <w:r w:rsidRPr="006D366A">
              <w:rPr>
                <w:lang w:val="en-PK"/>
              </w:rPr>
              <w:t>Serine protease with trypsin- and chymotrypsin-like specificity. Cleaves complement C3. Has antibacterial activity against the Gram-negative bacterium P.aeruginosa, antibacterial activity is inhibited by LPS from P.aeruginosa, Z-Gly-Leu-Phe-CH2Cl and phenylmethylsulfonyl fluoride.</w:t>
            </w:r>
          </w:p>
        </w:tc>
        <w:tc>
          <w:tcPr>
            <w:tcW w:w="383" w:type="pct"/>
            <w:hideMark/>
          </w:tcPr>
          <w:p w14:paraId="6BA4F4BB" w14:textId="77777777" w:rsidR="006D366A" w:rsidRPr="006D366A" w:rsidRDefault="006D366A" w:rsidP="006D366A">
            <w:pPr>
              <w:cnfStyle w:val="000000100000" w:firstRow="0" w:lastRow="0" w:firstColumn="0" w:lastColumn="0" w:oddVBand="0" w:evenVBand="0" w:oddHBand="1" w:evenHBand="0" w:firstRowFirstColumn="0" w:firstRowLastColumn="0" w:lastRowFirstColumn="0" w:lastRowLastColumn="0"/>
              <w:rPr>
                <w:lang w:val="en-PK"/>
              </w:rPr>
            </w:pPr>
            <w:r w:rsidRPr="006D366A">
              <w:rPr>
                <w:lang w:val="en-PK"/>
              </w:rPr>
              <w:t>0.992</w:t>
            </w:r>
          </w:p>
        </w:tc>
      </w:tr>
      <w:tr w:rsidR="006D366A" w:rsidRPr="006D366A" w14:paraId="79BA6E90" w14:textId="77777777" w:rsidTr="006D366A">
        <w:tc>
          <w:tcPr>
            <w:cnfStyle w:val="001000000000" w:firstRow="0" w:lastRow="0" w:firstColumn="1" w:lastColumn="0" w:oddVBand="0" w:evenVBand="0" w:oddHBand="0" w:evenHBand="0" w:firstRowFirstColumn="0" w:firstRowLastColumn="0" w:lastRowFirstColumn="0" w:lastRowLastColumn="0"/>
            <w:tcW w:w="488" w:type="pct"/>
            <w:noWrap/>
            <w:hideMark/>
          </w:tcPr>
          <w:p w14:paraId="720C1D67" w14:textId="77777777" w:rsidR="006D366A" w:rsidRPr="006D366A" w:rsidRDefault="006D366A" w:rsidP="006D366A">
            <w:pPr>
              <w:rPr>
                <w:lang w:val="en-PK"/>
              </w:rPr>
            </w:pPr>
            <w:r w:rsidRPr="006D366A">
              <w:rPr>
                <w:lang w:val="en-PK"/>
              </w:rPr>
              <w:t>DMP1</w:t>
            </w:r>
          </w:p>
        </w:tc>
        <w:tc>
          <w:tcPr>
            <w:tcW w:w="1177" w:type="pct"/>
          </w:tcPr>
          <w:p w14:paraId="7466F6CF" w14:textId="2A3CF433" w:rsidR="006D366A" w:rsidRPr="006D366A" w:rsidRDefault="006D366A" w:rsidP="006D366A">
            <w:pPr>
              <w:cnfStyle w:val="000000000000" w:firstRow="0" w:lastRow="0" w:firstColumn="0" w:lastColumn="0" w:oddVBand="0" w:evenVBand="0" w:oddHBand="0" w:evenHBand="0" w:firstRowFirstColumn="0" w:firstRowLastColumn="0" w:lastRowFirstColumn="0" w:lastRowLastColumn="0"/>
              <w:rPr>
                <w:lang w:val="en-PK"/>
              </w:rPr>
            </w:pPr>
            <w:r w:rsidRPr="006D366A">
              <w:rPr>
                <w:lang w:val="en-PK"/>
              </w:rPr>
              <w:t>Dentin matrix acidic phosphoprotein 1</w:t>
            </w:r>
          </w:p>
        </w:tc>
        <w:tc>
          <w:tcPr>
            <w:tcW w:w="2951" w:type="pct"/>
            <w:hideMark/>
          </w:tcPr>
          <w:p w14:paraId="55D0EE6E" w14:textId="1250B131" w:rsidR="006D366A" w:rsidRPr="006D366A" w:rsidRDefault="006D366A" w:rsidP="006D366A">
            <w:pPr>
              <w:jc w:val="both"/>
              <w:cnfStyle w:val="000000000000" w:firstRow="0" w:lastRow="0" w:firstColumn="0" w:lastColumn="0" w:oddVBand="0" w:evenVBand="0" w:oddHBand="0" w:evenHBand="0" w:firstRowFirstColumn="0" w:firstRowLastColumn="0" w:lastRowFirstColumn="0" w:lastRowLastColumn="0"/>
              <w:rPr>
                <w:lang w:val="en-PK"/>
              </w:rPr>
            </w:pPr>
            <w:r w:rsidRPr="006D366A">
              <w:rPr>
                <w:lang w:val="en-PK"/>
              </w:rPr>
              <w:t xml:space="preserve">May have a dual function during osteoblast differentiation. In the nucleus of undifferentiated osteoblasts, unphosphorylated form acts as a transcriptional component for activation of osteoblast- specific genes like osteocalcin. </w:t>
            </w:r>
          </w:p>
        </w:tc>
        <w:tc>
          <w:tcPr>
            <w:tcW w:w="383" w:type="pct"/>
            <w:hideMark/>
          </w:tcPr>
          <w:p w14:paraId="7F3F00D1" w14:textId="77777777" w:rsidR="006D366A" w:rsidRPr="006D366A" w:rsidRDefault="006D366A" w:rsidP="006D366A">
            <w:pPr>
              <w:cnfStyle w:val="000000000000" w:firstRow="0" w:lastRow="0" w:firstColumn="0" w:lastColumn="0" w:oddVBand="0" w:evenVBand="0" w:oddHBand="0" w:evenHBand="0" w:firstRowFirstColumn="0" w:firstRowLastColumn="0" w:lastRowFirstColumn="0" w:lastRowLastColumn="0"/>
              <w:rPr>
                <w:lang w:val="en-PK"/>
              </w:rPr>
            </w:pPr>
            <w:r w:rsidRPr="006D366A">
              <w:rPr>
                <w:lang w:val="en-PK"/>
              </w:rPr>
              <w:t>0.982</w:t>
            </w:r>
          </w:p>
        </w:tc>
      </w:tr>
      <w:tr w:rsidR="006D366A" w:rsidRPr="006D366A" w14:paraId="59F26DA1" w14:textId="77777777" w:rsidTr="006D3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 w:type="pct"/>
            <w:noWrap/>
            <w:hideMark/>
          </w:tcPr>
          <w:p w14:paraId="74217ECC" w14:textId="77777777" w:rsidR="006D366A" w:rsidRPr="006D366A" w:rsidRDefault="006D366A" w:rsidP="006D366A">
            <w:pPr>
              <w:rPr>
                <w:lang w:val="en-PK"/>
              </w:rPr>
            </w:pPr>
            <w:r w:rsidRPr="006D366A">
              <w:rPr>
                <w:lang w:val="en-PK"/>
              </w:rPr>
              <w:t>ELN</w:t>
            </w:r>
          </w:p>
        </w:tc>
        <w:tc>
          <w:tcPr>
            <w:tcW w:w="1177" w:type="pct"/>
          </w:tcPr>
          <w:p w14:paraId="7558B7A5" w14:textId="565A165E" w:rsidR="006D366A" w:rsidRPr="006D366A" w:rsidRDefault="006D366A" w:rsidP="006D366A">
            <w:pPr>
              <w:cnfStyle w:val="000000100000" w:firstRow="0" w:lastRow="0" w:firstColumn="0" w:lastColumn="0" w:oddVBand="0" w:evenVBand="0" w:oddHBand="1" w:evenHBand="0" w:firstRowFirstColumn="0" w:firstRowLastColumn="0" w:lastRowFirstColumn="0" w:lastRowLastColumn="0"/>
              <w:rPr>
                <w:lang w:val="en-PK"/>
              </w:rPr>
            </w:pPr>
            <w:r w:rsidRPr="006D366A">
              <w:rPr>
                <w:lang w:val="en-PK"/>
              </w:rPr>
              <w:t>Elastin</w:t>
            </w:r>
          </w:p>
        </w:tc>
        <w:tc>
          <w:tcPr>
            <w:tcW w:w="2951" w:type="pct"/>
            <w:hideMark/>
          </w:tcPr>
          <w:p w14:paraId="440A4761" w14:textId="0102C2E5" w:rsidR="006D366A" w:rsidRPr="006D366A" w:rsidRDefault="006D366A" w:rsidP="006D366A">
            <w:pPr>
              <w:jc w:val="both"/>
              <w:cnfStyle w:val="000000100000" w:firstRow="0" w:lastRow="0" w:firstColumn="0" w:lastColumn="0" w:oddVBand="0" w:evenVBand="0" w:oddHBand="1" w:evenHBand="0" w:firstRowFirstColumn="0" w:firstRowLastColumn="0" w:lastRowFirstColumn="0" w:lastRowLastColumn="0"/>
              <w:rPr>
                <w:lang w:val="en-PK"/>
              </w:rPr>
            </w:pPr>
            <w:r w:rsidRPr="006D366A">
              <w:rPr>
                <w:lang w:val="en-PK"/>
              </w:rPr>
              <w:t xml:space="preserve">Major structural protein of tissues such as aorta and nuchal ligament, which must expand rapidly and recover completely. Molecular determinant of the late arterial morphogenesis, stabilizing arterial structure by regulating proliferation and organization of vascular smooth muscle </w:t>
            </w:r>
          </w:p>
        </w:tc>
        <w:tc>
          <w:tcPr>
            <w:tcW w:w="383" w:type="pct"/>
            <w:hideMark/>
          </w:tcPr>
          <w:p w14:paraId="0C5B8D87" w14:textId="77777777" w:rsidR="006D366A" w:rsidRPr="006D366A" w:rsidRDefault="006D366A" w:rsidP="006D366A">
            <w:pPr>
              <w:cnfStyle w:val="000000100000" w:firstRow="0" w:lastRow="0" w:firstColumn="0" w:lastColumn="0" w:oddVBand="0" w:evenVBand="0" w:oddHBand="1" w:evenHBand="0" w:firstRowFirstColumn="0" w:firstRowLastColumn="0" w:lastRowFirstColumn="0" w:lastRowLastColumn="0"/>
              <w:rPr>
                <w:lang w:val="en-PK"/>
              </w:rPr>
            </w:pPr>
            <w:r w:rsidRPr="006D366A">
              <w:rPr>
                <w:lang w:val="en-PK"/>
              </w:rPr>
              <w:t>0.979</w:t>
            </w:r>
          </w:p>
        </w:tc>
      </w:tr>
      <w:tr w:rsidR="006D366A" w:rsidRPr="006D366A" w14:paraId="6F6C665B" w14:textId="77777777" w:rsidTr="006D366A">
        <w:tc>
          <w:tcPr>
            <w:cnfStyle w:val="001000000000" w:firstRow="0" w:lastRow="0" w:firstColumn="1" w:lastColumn="0" w:oddVBand="0" w:evenVBand="0" w:oddHBand="0" w:evenHBand="0" w:firstRowFirstColumn="0" w:firstRowLastColumn="0" w:lastRowFirstColumn="0" w:lastRowLastColumn="0"/>
            <w:tcW w:w="488" w:type="pct"/>
            <w:noWrap/>
            <w:hideMark/>
          </w:tcPr>
          <w:p w14:paraId="743B0E0A" w14:textId="77777777" w:rsidR="006D366A" w:rsidRPr="006D366A" w:rsidRDefault="006D366A" w:rsidP="006D366A">
            <w:pPr>
              <w:rPr>
                <w:lang w:val="en-PK"/>
              </w:rPr>
            </w:pPr>
            <w:r w:rsidRPr="006D366A">
              <w:rPr>
                <w:lang w:val="en-PK"/>
              </w:rPr>
              <w:t>MMP1</w:t>
            </w:r>
          </w:p>
        </w:tc>
        <w:tc>
          <w:tcPr>
            <w:tcW w:w="1177" w:type="pct"/>
          </w:tcPr>
          <w:p w14:paraId="3AA74F77" w14:textId="72F015E8" w:rsidR="006D366A" w:rsidRPr="006D366A" w:rsidRDefault="006D366A" w:rsidP="006D366A">
            <w:pPr>
              <w:cnfStyle w:val="000000000000" w:firstRow="0" w:lastRow="0" w:firstColumn="0" w:lastColumn="0" w:oddVBand="0" w:evenVBand="0" w:oddHBand="0" w:evenHBand="0" w:firstRowFirstColumn="0" w:firstRowLastColumn="0" w:lastRowFirstColumn="0" w:lastRowLastColumn="0"/>
              <w:rPr>
                <w:lang w:val="en-PK"/>
              </w:rPr>
            </w:pPr>
            <w:r w:rsidRPr="006D366A">
              <w:rPr>
                <w:lang w:val="en-PK"/>
              </w:rPr>
              <w:t xml:space="preserve">22 kDa interstitial </w:t>
            </w:r>
            <w:r w:rsidRPr="006D366A">
              <w:rPr>
                <w:lang w:val="en-PK"/>
              </w:rPr>
              <w:lastRenderedPageBreak/>
              <w:t>collagenase</w:t>
            </w:r>
          </w:p>
        </w:tc>
        <w:tc>
          <w:tcPr>
            <w:tcW w:w="2951" w:type="pct"/>
            <w:hideMark/>
          </w:tcPr>
          <w:p w14:paraId="18968AE6" w14:textId="39A78DD6" w:rsidR="006D366A" w:rsidRPr="006D366A" w:rsidRDefault="006D366A" w:rsidP="006D366A">
            <w:pPr>
              <w:jc w:val="both"/>
              <w:cnfStyle w:val="000000000000" w:firstRow="0" w:lastRow="0" w:firstColumn="0" w:lastColumn="0" w:oddVBand="0" w:evenVBand="0" w:oddHBand="0" w:evenHBand="0" w:firstRowFirstColumn="0" w:firstRowLastColumn="0" w:lastRowFirstColumn="0" w:lastRowLastColumn="0"/>
              <w:rPr>
                <w:lang w:val="en-PK"/>
              </w:rPr>
            </w:pPr>
            <w:r w:rsidRPr="006D366A">
              <w:rPr>
                <w:lang w:val="en-PK"/>
              </w:rPr>
              <w:lastRenderedPageBreak/>
              <w:t xml:space="preserve">Cleaves collagens of types I, II, and III at one site in the </w:t>
            </w:r>
            <w:r w:rsidRPr="006D366A">
              <w:rPr>
                <w:lang w:val="en-PK"/>
              </w:rPr>
              <w:lastRenderedPageBreak/>
              <w:t>helical domain. Also cleaves collagens of types VII and X. In case of HIV infection, interacts and cleaves the secreted viral Tat protein, leading to a decrease in neuronal Tat's mediated neurotoxicity.</w:t>
            </w:r>
          </w:p>
        </w:tc>
        <w:tc>
          <w:tcPr>
            <w:tcW w:w="383" w:type="pct"/>
            <w:hideMark/>
          </w:tcPr>
          <w:p w14:paraId="1794634B" w14:textId="77777777" w:rsidR="006D366A" w:rsidRPr="006D366A" w:rsidRDefault="006D366A" w:rsidP="006D366A">
            <w:pPr>
              <w:cnfStyle w:val="000000000000" w:firstRow="0" w:lastRow="0" w:firstColumn="0" w:lastColumn="0" w:oddVBand="0" w:evenVBand="0" w:oddHBand="0" w:evenHBand="0" w:firstRowFirstColumn="0" w:firstRowLastColumn="0" w:lastRowFirstColumn="0" w:lastRowLastColumn="0"/>
              <w:rPr>
                <w:lang w:val="en-PK"/>
              </w:rPr>
            </w:pPr>
            <w:r w:rsidRPr="006D366A">
              <w:rPr>
                <w:lang w:val="en-PK"/>
              </w:rPr>
              <w:lastRenderedPageBreak/>
              <w:t>0.974</w:t>
            </w:r>
          </w:p>
        </w:tc>
      </w:tr>
    </w:tbl>
    <w:p w14:paraId="4D4235D8" w14:textId="77777777" w:rsidR="006D366A" w:rsidRPr="00AE6A7D" w:rsidRDefault="006D366A" w:rsidP="00AE6A7D"/>
    <w:sectPr w:rsidR="006D366A" w:rsidRPr="00AE6A7D" w:rsidSect="009A7D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886"/>
    <w:rsid w:val="00074F2D"/>
    <w:rsid w:val="00087277"/>
    <w:rsid w:val="000B0F79"/>
    <w:rsid w:val="00184B35"/>
    <w:rsid w:val="00203DBF"/>
    <w:rsid w:val="0024459C"/>
    <w:rsid w:val="00483A2A"/>
    <w:rsid w:val="00564DD2"/>
    <w:rsid w:val="006C1531"/>
    <w:rsid w:val="006D366A"/>
    <w:rsid w:val="00754586"/>
    <w:rsid w:val="007B0D30"/>
    <w:rsid w:val="007E4886"/>
    <w:rsid w:val="009A7D33"/>
    <w:rsid w:val="00AE6A7D"/>
    <w:rsid w:val="00C422D8"/>
    <w:rsid w:val="00C4726E"/>
    <w:rsid w:val="00D51EDB"/>
    <w:rsid w:val="00DC5968"/>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36007"/>
  <w15:chartTrackingRefBased/>
  <w15:docId w15:val="{3105A416-32F5-4F6E-984B-830BABC62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886"/>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E4886"/>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styleId="PlaceholderText">
    <w:name w:val="Placeholder Text"/>
    <w:basedOn w:val="DefaultParagraphFont"/>
    <w:uiPriority w:val="99"/>
    <w:semiHidden/>
    <w:rsid w:val="00087277"/>
    <w:rPr>
      <w:color w:val="666666"/>
    </w:rPr>
  </w:style>
  <w:style w:type="table" w:styleId="PlainTable1">
    <w:name w:val="Plain Table 1"/>
    <w:basedOn w:val="TableNormal"/>
    <w:uiPriority w:val="41"/>
    <w:rsid w:val="006D366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6D366A"/>
    <w:rPr>
      <w:color w:val="0563C1" w:themeColor="hyperlink"/>
      <w:u w:val="single"/>
    </w:rPr>
  </w:style>
  <w:style w:type="character" w:styleId="UnresolvedMention">
    <w:name w:val="Unresolved Mention"/>
    <w:basedOn w:val="DefaultParagraphFont"/>
    <w:uiPriority w:val="99"/>
    <w:semiHidden/>
    <w:unhideWhenUsed/>
    <w:rsid w:val="006D36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344999">
      <w:bodyDiv w:val="1"/>
      <w:marLeft w:val="0"/>
      <w:marRight w:val="0"/>
      <w:marTop w:val="0"/>
      <w:marBottom w:val="0"/>
      <w:divBdr>
        <w:top w:val="none" w:sz="0" w:space="0" w:color="auto"/>
        <w:left w:val="none" w:sz="0" w:space="0" w:color="auto"/>
        <w:bottom w:val="none" w:sz="0" w:space="0" w:color="auto"/>
        <w:right w:val="none" w:sz="0" w:space="0" w:color="auto"/>
      </w:divBdr>
      <w:divsChild>
        <w:div w:id="1312104019">
          <w:marLeft w:val="640"/>
          <w:marRight w:val="0"/>
          <w:marTop w:val="0"/>
          <w:marBottom w:val="0"/>
          <w:divBdr>
            <w:top w:val="none" w:sz="0" w:space="0" w:color="auto"/>
            <w:left w:val="none" w:sz="0" w:space="0" w:color="auto"/>
            <w:bottom w:val="none" w:sz="0" w:space="0" w:color="auto"/>
            <w:right w:val="none" w:sz="0" w:space="0" w:color="auto"/>
          </w:divBdr>
        </w:div>
        <w:div w:id="630860900">
          <w:marLeft w:val="640"/>
          <w:marRight w:val="0"/>
          <w:marTop w:val="0"/>
          <w:marBottom w:val="0"/>
          <w:divBdr>
            <w:top w:val="none" w:sz="0" w:space="0" w:color="auto"/>
            <w:left w:val="none" w:sz="0" w:space="0" w:color="auto"/>
            <w:bottom w:val="none" w:sz="0" w:space="0" w:color="auto"/>
            <w:right w:val="none" w:sz="0" w:space="0" w:color="auto"/>
          </w:divBdr>
        </w:div>
        <w:div w:id="1026713722">
          <w:marLeft w:val="640"/>
          <w:marRight w:val="0"/>
          <w:marTop w:val="0"/>
          <w:marBottom w:val="0"/>
          <w:divBdr>
            <w:top w:val="none" w:sz="0" w:space="0" w:color="auto"/>
            <w:left w:val="none" w:sz="0" w:space="0" w:color="auto"/>
            <w:bottom w:val="none" w:sz="0" w:space="0" w:color="auto"/>
            <w:right w:val="none" w:sz="0" w:space="0" w:color="auto"/>
          </w:divBdr>
        </w:div>
        <w:div w:id="2080522012">
          <w:marLeft w:val="640"/>
          <w:marRight w:val="0"/>
          <w:marTop w:val="0"/>
          <w:marBottom w:val="0"/>
          <w:divBdr>
            <w:top w:val="none" w:sz="0" w:space="0" w:color="auto"/>
            <w:left w:val="none" w:sz="0" w:space="0" w:color="auto"/>
            <w:bottom w:val="none" w:sz="0" w:space="0" w:color="auto"/>
            <w:right w:val="none" w:sz="0" w:space="0" w:color="auto"/>
          </w:divBdr>
        </w:div>
        <w:div w:id="977996771">
          <w:marLeft w:val="640"/>
          <w:marRight w:val="0"/>
          <w:marTop w:val="0"/>
          <w:marBottom w:val="0"/>
          <w:divBdr>
            <w:top w:val="none" w:sz="0" w:space="0" w:color="auto"/>
            <w:left w:val="none" w:sz="0" w:space="0" w:color="auto"/>
            <w:bottom w:val="none" w:sz="0" w:space="0" w:color="auto"/>
            <w:right w:val="none" w:sz="0" w:space="0" w:color="auto"/>
          </w:divBdr>
        </w:div>
        <w:div w:id="999306645">
          <w:marLeft w:val="640"/>
          <w:marRight w:val="0"/>
          <w:marTop w:val="0"/>
          <w:marBottom w:val="0"/>
          <w:divBdr>
            <w:top w:val="none" w:sz="0" w:space="0" w:color="auto"/>
            <w:left w:val="none" w:sz="0" w:space="0" w:color="auto"/>
            <w:bottom w:val="none" w:sz="0" w:space="0" w:color="auto"/>
            <w:right w:val="none" w:sz="0" w:space="0" w:color="auto"/>
          </w:divBdr>
        </w:div>
        <w:div w:id="1796217699">
          <w:marLeft w:val="640"/>
          <w:marRight w:val="0"/>
          <w:marTop w:val="0"/>
          <w:marBottom w:val="0"/>
          <w:divBdr>
            <w:top w:val="none" w:sz="0" w:space="0" w:color="auto"/>
            <w:left w:val="none" w:sz="0" w:space="0" w:color="auto"/>
            <w:bottom w:val="none" w:sz="0" w:space="0" w:color="auto"/>
            <w:right w:val="none" w:sz="0" w:space="0" w:color="auto"/>
          </w:divBdr>
        </w:div>
        <w:div w:id="1572275232">
          <w:marLeft w:val="640"/>
          <w:marRight w:val="0"/>
          <w:marTop w:val="0"/>
          <w:marBottom w:val="0"/>
          <w:divBdr>
            <w:top w:val="none" w:sz="0" w:space="0" w:color="auto"/>
            <w:left w:val="none" w:sz="0" w:space="0" w:color="auto"/>
            <w:bottom w:val="none" w:sz="0" w:space="0" w:color="auto"/>
            <w:right w:val="none" w:sz="0" w:space="0" w:color="auto"/>
          </w:divBdr>
        </w:div>
        <w:div w:id="1169632918">
          <w:marLeft w:val="640"/>
          <w:marRight w:val="0"/>
          <w:marTop w:val="0"/>
          <w:marBottom w:val="0"/>
          <w:divBdr>
            <w:top w:val="none" w:sz="0" w:space="0" w:color="auto"/>
            <w:left w:val="none" w:sz="0" w:space="0" w:color="auto"/>
            <w:bottom w:val="none" w:sz="0" w:space="0" w:color="auto"/>
            <w:right w:val="none" w:sz="0" w:space="0" w:color="auto"/>
          </w:divBdr>
        </w:div>
        <w:div w:id="561142757">
          <w:marLeft w:val="640"/>
          <w:marRight w:val="0"/>
          <w:marTop w:val="0"/>
          <w:marBottom w:val="0"/>
          <w:divBdr>
            <w:top w:val="none" w:sz="0" w:space="0" w:color="auto"/>
            <w:left w:val="none" w:sz="0" w:space="0" w:color="auto"/>
            <w:bottom w:val="none" w:sz="0" w:space="0" w:color="auto"/>
            <w:right w:val="none" w:sz="0" w:space="0" w:color="auto"/>
          </w:divBdr>
        </w:div>
        <w:div w:id="1984919351">
          <w:marLeft w:val="640"/>
          <w:marRight w:val="0"/>
          <w:marTop w:val="0"/>
          <w:marBottom w:val="0"/>
          <w:divBdr>
            <w:top w:val="none" w:sz="0" w:space="0" w:color="auto"/>
            <w:left w:val="none" w:sz="0" w:space="0" w:color="auto"/>
            <w:bottom w:val="none" w:sz="0" w:space="0" w:color="auto"/>
            <w:right w:val="none" w:sz="0" w:space="0" w:color="auto"/>
          </w:divBdr>
        </w:div>
      </w:divsChild>
    </w:div>
    <w:div w:id="1904295541">
      <w:bodyDiv w:val="1"/>
      <w:marLeft w:val="0"/>
      <w:marRight w:val="0"/>
      <w:marTop w:val="0"/>
      <w:marBottom w:val="0"/>
      <w:divBdr>
        <w:top w:val="none" w:sz="0" w:space="0" w:color="auto"/>
        <w:left w:val="none" w:sz="0" w:space="0" w:color="auto"/>
        <w:bottom w:val="none" w:sz="0" w:space="0" w:color="auto"/>
        <w:right w:val="none" w:sz="0" w:space="0" w:color="auto"/>
      </w:divBdr>
      <w:divsChild>
        <w:div w:id="885678103">
          <w:marLeft w:val="0"/>
          <w:marRight w:val="0"/>
          <w:marTop w:val="0"/>
          <w:marBottom w:val="0"/>
          <w:divBdr>
            <w:top w:val="none" w:sz="0" w:space="0" w:color="auto"/>
            <w:left w:val="none" w:sz="0" w:space="0" w:color="auto"/>
            <w:bottom w:val="none" w:sz="0" w:space="0" w:color="auto"/>
            <w:right w:val="none" w:sz="0" w:space="0" w:color="auto"/>
          </w:divBdr>
        </w:div>
        <w:div w:id="1571958965">
          <w:marLeft w:val="0"/>
          <w:marRight w:val="0"/>
          <w:marTop w:val="0"/>
          <w:marBottom w:val="0"/>
          <w:divBdr>
            <w:top w:val="none" w:sz="0" w:space="0" w:color="auto"/>
            <w:left w:val="none" w:sz="0" w:space="0" w:color="auto"/>
            <w:bottom w:val="none" w:sz="0" w:space="0" w:color="auto"/>
            <w:right w:val="none" w:sz="0" w:space="0" w:color="auto"/>
          </w:divBdr>
        </w:div>
        <w:div w:id="455031903">
          <w:marLeft w:val="0"/>
          <w:marRight w:val="0"/>
          <w:marTop w:val="0"/>
          <w:marBottom w:val="0"/>
          <w:divBdr>
            <w:top w:val="none" w:sz="0" w:space="0" w:color="auto"/>
            <w:left w:val="none" w:sz="0" w:space="0" w:color="auto"/>
            <w:bottom w:val="none" w:sz="0" w:space="0" w:color="auto"/>
            <w:right w:val="none" w:sz="0" w:space="0" w:color="auto"/>
          </w:divBdr>
        </w:div>
        <w:div w:id="519858227">
          <w:marLeft w:val="0"/>
          <w:marRight w:val="0"/>
          <w:marTop w:val="0"/>
          <w:marBottom w:val="0"/>
          <w:divBdr>
            <w:top w:val="none" w:sz="0" w:space="0" w:color="auto"/>
            <w:left w:val="none" w:sz="0" w:space="0" w:color="auto"/>
            <w:bottom w:val="none" w:sz="0" w:space="0" w:color="auto"/>
            <w:right w:val="none" w:sz="0" w:space="0" w:color="auto"/>
          </w:divBdr>
        </w:div>
        <w:div w:id="311182180">
          <w:marLeft w:val="0"/>
          <w:marRight w:val="0"/>
          <w:marTop w:val="0"/>
          <w:marBottom w:val="0"/>
          <w:divBdr>
            <w:top w:val="none" w:sz="0" w:space="0" w:color="auto"/>
            <w:left w:val="none" w:sz="0" w:space="0" w:color="auto"/>
            <w:bottom w:val="none" w:sz="0" w:space="0" w:color="auto"/>
            <w:right w:val="none" w:sz="0" w:space="0" w:color="auto"/>
          </w:divBdr>
        </w:div>
        <w:div w:id="768156304">
          <w:marLeft w:val="0"/>
          <w:marRight w:val="0"/>
          <w:marTop w:val="0"/>
          <w:marBottom w:val="0"/>
          <w:divBdr>
            <w:top w:val="none" w:sz="0" w:space="0" w:color="auto"/>
            <w:left w:val="none" w:sz="0" w:space="0" w:color="auto"/>
            <w:bottom w:val="none" w:sz="0" w:space="0" w:color="auto"/>
            <w:right w:val="none" w:sz="0" w:space="0" w:color="auto"/>
          </w:divBdr>
        </w:div>
        <w:div w:id="572199922">
          <w:marLeft w:val="0"/>
          <w:marRight w:val="0"/>
          <w:marTop w:val="0"/>
          <w:marBottom w:val="0"/>
          <w:divBdr>
            <w:top w:val="none" w:sz="0" w:space="0" w:color="auto"/>
            <w:left w:val="none" w:sz="0" w:space="0" w:color="auto"/>
            <w:bottom w:val="none" w:sz="0" w:space="0" w:color="auto"/>
            <w:right w:val="none" w:sz="0" w:space="0" w:color="auto"/>
          </w:divBdr>
        </w:div>
        <w:div w:id="541140072">
          <w:marLeft w:val="0"/>
          <w:marRight w:val="0"/>
          <w:marTop w:val="0"/>
          <w:marBottom w:val="0"/>
          <w:divBdr>
            <w:top w:val="none" w:sz="0" w:space="0" w:color="auto"/>
            <w:left w:val="none" w:sz="0" w:space="0" w:color="auto"/>
            <w:bottom w:val="none" w:sz="0" w:space="0" w:color="auto"/>
            <w:right w:val="none" w:sz="0" w:space="0" w:color="auto"/>
          </w:divBdr>
        </w:div>
        <w:div w:id="906840966">
          <w:marLeft w:val="0"/>
          <w:marRight w:val="0"/>
          <w:marTop w:val="0"/>
          <w:marBottom w:val="0"/>
          <w:divBdr>
            <w:top w:val="none" w:sz="0" w:space="0" w:color="auto"/>
            <w:left w:val="none" w:sz="0" w:space="0" w:color="auto"/>
            <w:bottom w:val="none" w:sz="0" w:space="0" w:color="auto"/>
            <w:right w:val="none" w:sz="0" w:space="0" w:color="auto"/>
          </w:divBdr>
        </w:div>
        <w:div w:id="719204673">
          <w:marLeft w:val="0"/>
          <w:marRight w:val="0"/>
          <w:marTop w:val="0"/>
          <w:marBottom w:val="0"/>
          <w:divBdr>
            <w:top w:val="none" w:sz="0" w:space="0" w:color="auto"/>
            <w:left w:val="none" w:sz="0" w:space="0" w:color="auto"/>
            <w:bottom w:val="none" w:sz="0" w:space="0" w:color="auto"/>
            <w:right w:val="none" w:sz="0" w:space="0" w:color="auto"/>
          </w:divBdr>
        </w:div>
      </w:divsChild>
    </w:div>
    <w:div w:id="1953126798">
      <w:bodyDiv w:val="1"/>
      <w:marLeft w:val="0"/>
      <w:marRight w:val="0"/>
      <w:marTop w:val="0"/>
      <w:marBottom w:val="0"/>
      <w:divBdr>
        <w:top w:val="none" w:sz="0" w:space="0" w:color="auto"/>
        <w:left w:val="none" w:sz="0" w:space="0" w:color="auto"/>
        <w:bottom w:val="none" w:sz="0" w:space="0" w:color="auto"/>
        <w:right w:val="none" w:sz="0" w:space="0" w:color="auto"/>
      </w:divBdr>
      <w:divsChild>
        <w:div w:id="1457872253">
          <w:marLeft w:val="0"/>
          <w:marRight w:val="0"/>
          <w:marTop w:val="0"/>
          <w:marBottom w:val="0"/>
          <w:divBdr>
            <w:top w:val="none" w:sz="0" w:space="0" w:color="auto"/>
            <w:left w:val="none" w:sz="0" w:space="0" w:color="auto"/>
            <w:bottom w:val="none" w:sz="0" w:space="0" w:color="auto"/>
            <w:right w:val="none" w:sz="0" w:space="0" w:color="auto"/>
          </w:divBdr>
        </w:div>
        <w:div w:id="342629172">
          <w:marLeft w:val="0"/>
          <w:marRight w:val="0"/>
          <w:marTop w:val="0"/>
          <w:marBottom w:val="0"/>
          <w:divBdr>
            <w:top w:val="none" w:sz="0" w:space="0" w:color="auto"/>
            <w:left w:val="none" w:sz="0" w:space="0" w:color="auto"/>
            <w:bottom w:val="none" w:sz="0" w:space="0" w:color="auto"/>
            <w:right w:val="none" w:sz="0" w:space="0" w:color="auto"/>
          </w:divBdr>
        </w:div>
        <w:div w:id="1313290741">
          <w:marLeft w:val="0"/>
          <w:marRight w:val="0"/>
          <w:marTop w:val="0"/>
          <w:marBottom w:val="0"/>
          <w:divBdr>
            <w:top w:val="none" w:sz="0" w:space="0" w:color="auto"/>
            <w:left w:val="none" w:sz="0" w:space="0" w:color="auto"/>
            <w:bottom w:val="none" w:sz="0" w:space="0" w:color="auto"/>
            <w:right w:val="none" w:sz="0" w:space="0" w:color="auto"/>
          </w:divBdr>
        </w:div>
        <w:div w:id="2143644431">
          <w:marLeft w:val="0"/>
          <w:marRight w:val="0"/>
          <w:marTop w:val="0"/>
          <w:marBottom w:val="0"/>
          <w:divBdr>
            <w:top w:val="none" w:sz="0" w:space="0" w:color="auto"/>
            <w:left w:val="none" w:sz="0" w:space="0" w:color="auto"/>
            <w:bottom w:val="none" w:sz="0" w:space="0" w:color="auto"/>
            <w:right w:val="none" w:sz="0" w:space="0" w:color="auto"/>
          </w:divBdr>
        </w:div>
        <w:div w:id="208230448">
          <w:marLeft w:val="0"/>
          <w:marRight w:val="0"/>
          <w:marTop w:val="0"/>
          <w:marBottom w:val="0"/>
          <w:divBdr>
            <w:top w:val="none" w:sz="0" w:space="0" w:color="auto"/>
            <w:left w:val="none" w:sz="0" w:space="0" w:color="auto"/>
            <w:bottom w:val="none" w:sz="0" w:space="0" w:color="auto"/>
            <w:right w:val="none" w:sz="0" w:space="0" w:color="auto"/>
          </w:divBdr>
        </w:div>
        <w:div w:id="1311835345">
          <w:marLeft w:val="0"/>
          <w:marRight w:val="0"/>
          <w:marTop w:val="0"/>
          <w:marBottom w:val="0"/>
          <w:divBdr>
            <w:top w:val="none" w:sz="0" w:space="0" w:color="auto"/>
            <w:left w:val="none" w:sz="0" w:space="0" w:color="auto"/>
            <w:bottom w:val="none" w:sz="0" w:space="0" w:color="auto"/>
            <w:right w:val="none" w:sz="0" w:space="0" w:color="auto"/>
          </w:divBdr>
        </w:div>
        <w:div w:id="2109545829">
          <w:marLeft w:val="0"/>
          <w:marRight w:val="0"/>
          <w:marTop w:val="0"/>
          <w:marBottom w:val="0"/>
          <w:divBdr>
            <w:top w:val="none" w:sz="0" w:space="0" w:color="auto"/>
            <w:left w:val="none" w:sz="0" w:space="0" w:color="auto"/>
            <w:bottom w:val="none" w:sz="0" w:space="0" w:color="auto"/>
            <w:right w:val="none" w:sz="0" w:space="0" w:color="auto"/>
          </w:divBdr>
        </w:div>
        <w:div w:id="1180974906">
          <w:marLeft w:val="0"/>
          <w:marRight w:val="0"/>
          <w:marTop w:val="0"/>
          <w:marBottom w:val="0"/>
          <w:divBdr>
            <w:top w:val="none" w:sz="0" w:space="0" w:color="auto"/>
            <w:left w:val="none" w:sz="0" w:space="0" w:color="auto"/>
            <w:bottom w:val="none" w:sz="0" w:space="0" w:color="auto"/>
            <w:right w:val="none" w:sz="0" w:space="0" w:color="auto"/>
          </w:divBdr>
        </w:div>
        <w:div w:id="1265261680">
          <w:marLeft w:val="0"/>
          <w:marRight w:val="0"/>
          <w:marTop w:val="0"/>
          <w:marBottom w:val="0"/>
          <w:divBdr>
            <w:top w:val="none" w:sz="0" w:space="0" w:color="auto"/>
            <w:left w:val="none" w:sz="0" w:space="0" w:color="auto"/>
            <w:bottom w:val="none" w:sz="0" w:space="0" w:color="auto"/>
            <w:right w:val="none" w:sz="0" w:space="0" w:color="auto"/>
          </w:divBdr>
        </w:div>
        <w:div w:id="23866758">
          <w:marLeft w:val="0"/>
          <w:marRight w:val="0"/>
          <w:marTop w:val="0"/>
          <w:marBottom w:val="0"/>
          <w:divBdr>
            <w:top w:val="none" w:sz="0" w:space="0" w:color="auto"/>
            <w:left w:val="none" w:sz="0" w:space="0" w:color="auto"/>
            <w:bottom w:val="none" w:sz="0" w:space="0" w:color="auto"/>
            <w:right w:val="none" w:sz="0" w:space="0" w:color="auto"/>
          </w:divBdr>
        </w:div>
      </w:divsChild>
    </w:div>
    <w:div w:id="2093893442">
      <w:bodyDiv w:val="1"/>
      <w:marLeft w:val="0"/>
      <w:marRight w:val="0"/>
      <w:marTop w:val="0"/>
      <w:marBottom w:val="0"/>
      <w:divBdr>
        <w:top w:val="none" w:sz="0" w:space="0" w:color="auto"/>
        <w:left w:val="none" w:sz="0" w:space="0" w:color="auto"/>
        <w:bottom w:val="none" w:sz="0" w:space="0" w:color="auto"/>
        <w:right w:val="none" w:sz="0" w:space="0" w:color="auto"/>
      </w:divBdr>
      <w:divsChild>
        <w:div w:id="1933589403">
          <w:marLeft w:val="0"/>
          <w:marRight w:val="0"/>
          <w:marTop w:val="0"/>
          <w:marBottom w:val="0"/>
          <w:divBdr>
            <w:top w:val="none" w:sz="0" w:space="0" w:color="auto"/>
            <w:left w:val="none" w:sz="0" w:space="0" w:color="auto"/>
            <w:bottom w:val="none" w:sz="0" w:space="0" w:color="auto"/>
            <w:right w:val="none" w:sz="0" w:space="0" w:color="auto"/>
          </w:divBdr>
        </w:div>
        <w:div w:id="2102868778">
          <w:marLeft w:val="0"/>
          <w:marRight w:val="0"/>
          <w:marTop w:val="0"/>
          <w:marBottom w:val="0"/>
          <w:divBdr>
            <w:top w:val="none" w:sz="0" w:space="0" w:color="auto"/>
            <w:left w:val="none" w:sz="0" w:space="0" w:color="auto"/>
            <w:bottom w:val="none" w:sz="0" w:space="0" w:color="auto"/>
            <w:right w:val="none" w:sz="0" w:space="0" w:color="auto"/>
          </w:divBdr>
        </w:div>
        <w:div w:id="619923274">
          <w:marLeft w:val="0"/>
          <w:marRight w:val="0"/>
          <w:marTop w:val="0"/>
          <w:marBottom w:val="0"/>
          <w:divBdr>
            <w:top w:val="none" w:sz="0" w:space="0" w:color="auto"/>
            <w:left w:val="none" w:sz="0" w:space="0" w:color="auto"/>
            <w:bottom w:val="none" w:sz="0" w:space="0" w:color="auto"/>
            <w:right w:val="none" w:sz="0" w:space="0" w:color="auto"/>
          </w:divBdr>
        </w:div>
        <w:div w:id="495340530">
          <w:marLeft w:val="0"/>
          <w:marRight w:val="0"/>
          <w:marTop w:val="0"/>
          <w:marBottom w:val="0"/>
          <w:divBdr>
            <w:top w:val="none" w:sz="0" w:space="0" w:color="auto"/>
            <w:left w:val="none" w:sz="0" w:space="0" w:color="auto"/>
            <w:bottom w:val="none" w:sz="0" w:space="0" w:color="auto"/>
            <w:right w:val="none" w:sz="0" w:space="0" w:color="auto"/>
          </w:divBdr>
        </w:div>
        <w:div w:id="568930235">
          <w:marLeft w:val="0"/>
          <w:marRight w:val="0"/>
          <w:marTop w:val="0"/>
          <w:marBottom w:val="0"/>
          <w:divBdr>
            <w:top w:val="none" w:sz="0" w:space="0" w:color="auto"/>
            <w:left w:val="none" w:sz="0" w:space="0" w:color="auto"/>
            <w:bottom w:val="none" w:sz="0" w:space="0" w:color="auto"/>
            <w:right w:val="none" w:sz="0" w:space="0" w:color="auto"/>
          </w:divBdr>
        </w:div>
        <w:div w:id="1427339454">
          <w:marLeft w:val="0"/>
          <w:marRight w:val="0"/>
          <w:marTop w:val="0"/>
          <w:marBottom w:val="0"/>
          <w:divBdr>
            <w:top w:val="none" w:sz="0" w:space="0" w:color="auto"/>
            <w:left w:val="none" w:sz="0" w:space="0" w:color="auto"/>
            <w:bottom w:val="none" w:sz="0" w:space="0" w:color="auto"/>
            <w:right w:val="none" w:sz="0" w:space="0" w:color="auto"/>
          </w:divBdr>
        </w:div>
        <w:div w:id="2137943917">
          <w:marLeft w:val="0"/>
          <w:marRight w:val="0"/>
          <w:marTop w:val="0"/>
          <w:marBottom w:val="0"/>
          <w:divBdr>
            <w:top w:val="none" w:sz="0" w:space="0" w:color="auto"/>
            <w:left w:val="none" w:sz="0" w:space="0" w:color="auto"/>
            <w:bottom w:val="none" w:sz="0" w:space="0" w:color="auto"/>
            <w:right w:val="none" w:sz="0" w:space="0" w:color="auto"/>
          </w:divBdr>
        </w:div>
        <w:div w:id="1486705285">
          <w:marLeft w:val="0"/>
          <w:marRight w:val="0"/>
          <w:marTop w:val="0"/>
          <w:marBottom w:val="0"/>
          <w:divBdr>
            <w:top w:val="none" w:sz="0" w:space="0" w:color="auto"/>
            <w:left w:val="none" w:sz="0" w:space="0" w:color="auto"/>
            <w:bottom w:val="none" w:sz="0" w:space="0" w:color="auto"/>
            <w:right w:val="none" w:sz="0" w:space="0" w:color="auto"/>
          </w:divBdr>
        </w:div>
        <w:div w:id="1328944184">
          <w:marLeft w:val="0"/>
          <w:marRight w:val="0"/>
          <w:marTop w:val="0"/>
          <w:marBottom w:val="0"/>
          <w:divBdr>
            <w:top w:val="none" w:sz="0" w:space="0" w:color="auto"/>
            <w:left w:val="none" w:sz="0" w:space="0" w:color="auto"/>
            <w:bottom w:val="none" w:sz="0" w:space="0" w:color="auto"/>
            <w:right w:val="none" w:sz="0" w:space="0" w:color="auto"/>
          </w:divBdr>
        </w:div>
        <w:div w:id="17009287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73C890B-C80F-4DF3-A878-2635C1DACB1F}">
  <we:reference id="wa104382081" version="1.55.1.0" store="en-001" storeType="OMEX"/>
  <we:alternateReferences>
    <we:reference id="wa104382081" version="1.55.1.0" store="" storeType="OMEX"/>
  </we:alternateReferences>
  <we:properties>
    <we:property name="MENDELEY_CITATIONS" value="[{&quot;citationID&quot;:&quot;MENDELEY_CITATION_75cb4562-b3d1-47c6-b0a2-3ae434de1f6c&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NzVjYjQ1NjItYjNkMS00N2M2LWIwYTItM2FlNDM0ZGUxZjZjIiwicHJvcGVydGllcyI6eyJub3RlSW5kZXgiOjB9LCJpc0VkaXRlZCI6ZmFsc2UsIm1hbnVhbE92ZXJyaWRlIjp7ImlzTWFudWFsbHlPdmVycmlkZGVuIjpmYWxzZSwiY2l0ZXByb2NUZXh0IjoiPHN1cD4xPC9zdXA+IiwibWFudWFsT3ZlcnJpZGVUZXh0IjoiIn0sImNpdGF0aW9uSXRlbXMiOlt7ImlkIjoiNzBjZWYyOWYtY2Q4My0zYWM5LTg5YzktZmVmZDVhZjg2ZTMwIiwiaXRlbURhdGEiOnsidHlwZSI6ImFydGljbGUtam91cm5hbCIsImlkIjoiNzBjZWYyOWYtY2Q4My0zYWM5LTg5YzktZmVmZDVhZjg2ZTMwIiwidGl0bGUiOiJUaGUgRE5BIHJlcGxpY2F0aW9uIHJlZ3VsYXRvciBNQ002OiBBbiBlbWVyZ2luZyBjYW5jZXIgYmlvbWFya2VyIGFuZCB0YXJnZXQiLCJhdXRob3IiOlt7ImZhbWlseSI6IlplbmciLCJnaXZlbiI6IlRpYW4iLCJwYXJzZS1uYW1lcyI6ZmFsc2UsImRyb3BwaW5nLXBhcnRpY2xlIjoiIiwibm9uLWRyb3BwaW5nLXBhcnRpY2xlIjoiIn0seyJmYW1pbHkiOiJHdWFuIiwiZ2l2ZW4iOiJZYW5nIiwicGFyc2UtbmFtZXMiOmZhbHNlLCJkcm9wcGluZy1wYXJ0aWNsZSI6IiIsIm5vbi1kcm9wcGluZy1wYXJ0aWNsZSI6IiJ9LHsiZmFtaWx5IjoiTGkiLCJnaXZlbiI6Ill1IGt1biIsInBhcnNlLW5hbWVzIjpmYWxzZSwiZHJvcHBpbmctcGFydGljbGUiOiIiLCJub24tZHJvcHBpbmctcGFydGljbGUiOiIifSx7ImZhbWlseSI6Ild1IiwiZ2l2ZW4iOiJRaW5nIiwicGFyc2UtbmFtZXMiOmZhbHNlLCJkcm9wcGluZy1wYXJ0aWNsZSI6IiIsIm5vbi1kcm9wcGluZy1wYXJ0aWNsZSI6IiJ9LHsiZmFtaWx5IjoiVGFuZyIsImdpdmVuIjoiWGlhbyBqdW4iLCJwYXJzZS1uYW1lcyI6ZmFsc2UsImRyb3BwaW5nLXBhcnRpY2xlIjoiIiwibm9uLWRyb3BwaW5nLXBhcnRpY2xlIjoiIn0seyJmYW1pbHkiOiJaZW5nIiwiZ2l2ZW4iOiJYaW4iLCJwYXJzZS1uYW1lcyI6ZmFsc2UsImRyb3BwaW5nLXBhcnRpY2xlIjoiIiwibm9uLWRyb3BwaW5nLXBhcnRpY2xlIjoiIn0seyJmYW1pbHkiOiJMaW5nIiwiZ2l2ZW4iOiJIdWkiLCJwYXJzZS1uYW1lcyI6ZmFsc2UsImRyb3BwaW5nLXBhcnRpY2xlIjoiIiwibm9uLWRyb3BwaW5nLXBhcnRpY2xlIjoiIn0seyJmYW1pbHkiOiJab3UiLCJnaXZlbiI6Ikp1YW4iLCJwYXJzZS1uYW1lcyI6ZmFsc2UsImRyb3BwaW5nLXBhcnRpY2xlIjoiIiwibm9uLWRyb3BwaW5nLXBhcnRpY2xlIjoiIn1dLCJjb250YWluZXItdGl0bGUiOiJDbGluaWNhIENoaW1pY2EgQWN0YSIsImFjY2Vzc2VkIjp7ImRhdGUtcGFydHMiOltbMjAyNCwzLDI2XV19LCJET0kiOiIxMC4xMDE2L0ouQ0NBLjIwMjEuMDIuMDA1IiwiSVNTTiI6IjAwMDktODk4MSIsIlBNSUQiOiIzMzYwOTU1NyIsImlzc3VlZCI6eyJkYXRlLXBhcnRzIjpbWzIwMjEsNiwxXV19LCJwYWdlIjoiOTItOTgiLCJhYnN0cmFjdCI6Ik1DTTYgaXMgYSBzaWduaWZpY2FudCBETkEgcmVwbGljYXRpb24gcmVndWxhdG9yIHRoYXQgcGxheXMgYSBjcnVjaWFsIHJvbGUgaW4gc3VzdGFpbmluZyB0aGUgY2VsbCBjeWNsZS4gSW4gbWFueSBjYW5jZXIgY2VsbHMsIE1DTTYgZXhwcmVzc2lvbiBpcyBlbmhhbmNlZC4gRm9yIGV4YW1wbGUsIHBlcnNpc3RlbnRseSBpbmNyZWFzZWQgZXhwcmVzc2lvbiBvZiBNQ002IHByb21vdGVzIHRoZSBmb3JtYXRpb24sIGRldmVsb3BtZW50IGFuZCBwcm9ncmVzc2lvbiBvZiBoZXBhdG9jZWxsdWxhciBjYXJjaW5vbWEgKEhDQykuIFVwLSBhbmQgZG93bi1yZWd1bGF0aW9uIHN0dWRpZXMgaGF2ZSBpbmRpY2F0ZWQgdGhhdCBNQ002IHJlZ3VsYXRlcyBjZWxsIGN5Y2xlLCBwcm9saWZlcmF0aW9uLCBtZXRhc3Rhc2lzLCBpbW11bmUgcmVzcG9uc2UgYW5kIHRoZSBtYWludGVuYW5jZSBvZiB0aGUgRE5BIHJlcGxpY2F0aW9uIHN5c3RlbS4gTUNNNiBjYW4gYWxzbyByZWd1bGF0ZSBkb3duc3RyZWFtIHNpZ25hbGluZyBzdWNoIGFzIE1FSy9FUksgdGh1cyBwcm9tb3RpbmcgY2FyY2lub2dlbmVzaXMuIEFjY29yZGluZ2x5LCBNQ002IG1heSByZXByZXNlbnQgYSBzZW5zaXRpdmUgYW5kIHNwZWNpZmljIGJpb21hcmtlciB0byBwcmVkaWN0IGFkdmVyc2UgcHJvZ3Jlc3Npb24gYW5kIHBvb3Igb3V0Y29tZS4gRnVydGhlcm1vcmUsIGluaGliaXRpb24gb2YgTUNNNiBtYXkgYmUgYW4gZWZmZWN0aXZlIGNhbmNlciB0cmVhdG1lbnQuIFRoZSBwcmVzZW50IHJldmlldyBzdW1tYXJpemVzIHRoZSBsYXRlc3QgcmVzdWx0cyBvbiB0aGUgaW5hY3RpdmF0aW5nIGFuZCBhY3RpdmF0aW5nIGZ1bmN0aW9ucyBvZiBNQ002LCB1bmRlcmxpbmluZyBpdHMgZnVuY3Rpb24gaW4gY2FyY2lub2dlbmVzaXMuIEZ1cnRoZXIgc3R1ZGllcyBvZiB0aGUgY2FyY2lub2dlbmljIGZ1bmN0aW9ucyBvZiBNQ002IG1heSBwcm92aWRlIG5vdmVsIGluc2lnaHQgaW50byBjYW5jZXIgYmlvbG9neSBhbmQgc2hlZCBsaWdodCBvbiBuZXcgYXBwcm9hY2hlcyBmb3IgY2FuY2VyIGRpYWdub3NpcyBhbmQgdHJlYXRtZW50LiIsInB1Ymxpc2hlciI6IkVsc2V2aWVyIiwidm9sdW1lIjoiNTE3IiwiY29udGFpbmVyLXRpdGxlLXNob3J0IjoiIn0sImlzVGVtcG9yYXJ5IjpmYWxzZX1dfQ==&quot;,&quot;citationItems&quot;:[{&quot;id&quot;:&quot;70cef29f-cd83-3ac9-89c9-fefd5af86e30&quot;,&quot;itemData&quot;:{&quot;type&quot;:&quot;article-journal&quot;,&quot;id&quot;:&quot;70cef29f-cd83-3ac9-89c9-fefd5af86e30&quot;,&quot;title&quot;:&quot;The DNA replication regulator MCM6: An emerging cancer biomarker and target&quot;,&quot;author&quot;:[{&quot;family&quot;:&quot;Zeng&quot;,&quot;given&quot;:&quot;Tian&quot;,&quot;parse-names&quot;:false,&quot;dropping-particle&quot;:&quot;&quot;,&quot;non-dropping-particle&quot;:&quot;&quot;},{&quot;family&quot;:&quot;Guan&quot;,&quot;given&quot;:&quot;Yang&quot;,&quot;parse-names&quot;:false,&quot;dropping-particle&quot;:&quot;&quot;,&quot;non-dropping-particle&quot;:&quot;&quot;},{&quot;family&quot;:&quot;Li&quot;,&quot;given&quot;:&quot;Yu kun&quot;,&quot;parse-names&quot;:false,&quot;dropping-particle&quot;:&quot;&quot;,&quot;non-dropping-particle&quot;:&quot;&quot;},{&quot;family&quot;:&quot;Wu&quot;,&quot;given&quot;:&quot;Qing&quot;,&quot;parse-names&quot;:false,&quot;dropping-particle&quot;:&quot;&quot;,&quot;non-dropping-particle&quot;:&quot;&quot;},{&quot;family&quot;:&quot;Tang&quot;,&quot;given&quot;:&quot;Xiao jun&quot;,&quot;parse-names&quot;:false,&quot;dropping-particle&quot;:&quot;&quot;,&quot;non-dropping-particle&quot;:&quot;&quot;},{&quot;family&quot;:&quot;Zeng&quot;,&quot;given&quot;:&quot;Xin&quot;,&quot;parse-names&quot;:false,&quot;dropping-particle&quot;:&quot;&quot;,&quot;non-dropping-particle&quot;:&quot;&quot;},{&quot;family&quot;:&quot;Ling&quot;,&quot;given&quot;:&quot;Hui&quot;,&quot;parse-names&quot;:false,&quot;dropping-particle&quot;:&quot;&quot;,&quot;non-dropping-particle&quot;:&quot;&quot;},{&quot;family&quot;:&quot;Zou&quot;,&quot;given&quot;:&quot;Juan&quot;,&quot;parse-names&quot;:false,&quot;dropping-particle&quot;:&quot;&quot;,&quot;non-dropping-particle&quot;:&quot;&quot;}],&quot;container-title&quot;:&quot;Clinica Chimica Acta&quot;,&quot;accessed&quot;:{&quot;date-parts&quot;:[[2024,3,26]]},&quot;DOI&quot;:&quot;10.1016/J.CCA.2021.02.005&quot;,&quot;ISSN&quot;:&quot;0009-8981&quot;,&quot;PMID&quot;:&quot;33609557&quot;,&quot;issued&quot;:{&quot;date-parts&quot;:[[2021,6,1]]},&quot;page&quot;:&quot;92-98&quot;,&quot;abstract&quot;:&quot;MCM6 is a significant DNA replication regulator that plays a crucial role in sustaining the cell cycle. In many cancer cells, MCM6 expression is enhanced. For example, persistently increased expression of MCM6 promotes the formation, development and progression of hepatocellular carcinoma (HCC). Up- and down-regulation studies have indicated that MCM6 regulates cell cycle, proliferation, metastasis, immune response and the maintenance of the DNA replication system. MCM6 can also regulate downstream signaling such as MEK/ERK thus promoting carcinogenesis. Accordingly, MCM6 may represent a sensitive and specific biomarker to predict adverse progression and poor outcome. Furthermore, inhibition of MCM6 may be an effective cancer treatment. The present review summarizes the latest results on the inactivating and activating functions of MCM6, underlining its function in carcinogenesis. Further studies of the carcinogenic functions of MCM6 may provide novel insight into cancer biology and shed light on new approaches for cancer diagnosis and treatment.&quot;,&quot;publisher&quot;:&quot;Elsevier&quot;,&quot;volume&quot;:&quot;517&quot;,&quot;container-title-short&quot;:&quot;&quot;},&quot;isTemporary&quot;:false}]},{&quot;citationID&quot;:&quot;MENDELEY_CITATION_7fbc89a4-570c-49c0-a0ad-4855f5237d71&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2ZiYzg5YTQtNTcwYy00OWMwLWEwYWQtNDg1NWY1MjM3ZDcxIiwicHJvcGVydGllcyI6eyJub3RlSW5kZXgiOjB9LCJpc0VkaXRlZCI6ZmFsc2UsIm1hbnVhbE92ZXJyaWRlIjp7ImlzTWFudWFsbHlPdmVycmlkZGVuIjpmYWxzZSwiY2l0ZXByb2NUZXh0IjoiPHN1cD4yPC9zdXA+IiwibWFudWFsT3ZlcnJpZGVUZXh0IjoiIn0sImNpdGF0aW9uSXRlbXMiOlt7ImlkIjoiNzI2ZmE3NzItZDFjNS0zOTc5LThjMjAtZmRjM2Y0MzgwNDBhIiwiaXRlbURhdGEiOnsidHlwZSI6ImFydGljbGUtam91cm5hbCIsImlkIjoiNzI2ZmE3NzItZDFjNS0zOTc5LThjMjAtZmRjM2Y0MzgwNDBhIiwidGl0bGUiOiJUaGUgcm9sZSBvZiBDZGM2IGluIGVuc3VyaW5nIGNvbXBsZXRlIGdlbm9tZSBsaWNlbnNpbmcgYW5kIFMgcGhhc2UgY2hlY2twb2ludCBhY3RpdmF0aW9uIiwiYXV0aG9yIjpbeyJmYW1pbHkiOiJPZWhsbWFubiIsImdpdmVuIjoiTWFyZW4iLCJwYXJzZS1uYW1lcyI6ZmFsc2UsImRyb3BwaW5nLXBhcnRpY2xlIjoiIiwibm9uLWRyb3BwaW5nLXBhcnRpY2xlIjoiIn0seyJmYW1pbHkiOiJTY29yZSIsImdpdmVuIjoiQWxhbiBKLiIsInBhcnNlLW5hbWVzIjpmYWxzZSwiZHJvcHBpbmctcGFydGljbGUiOiIiLCJub24tZHJvcHBpbmctcGFydGljbGUiOiIifSx7ImZhbWlseSI6IkJsb3ciLCJnaXZlbiI6IkouIEp1bGlhbiIsInBhcnNlLW5hbWVzIjpmYWxzZSwiZHJvcHBpbmctcGFydGljbGUiOiIiLCJub24tZHJvcHBpbmctcGFydGljbGUiOiIifV0sImNvbnRhaW5lci10aXRsZSI6IlRoZSBKb3VybmFsIG9mIENlbGwgQmlvbG9neSIsImNvbnRhaW5lci10aXRsZS1zaG9ydCI6IkogQ2VsbCBCaW9sIiwiYWNjZXNzZWQiOnsiZGF0ZS1wYXJ0cyI6W1syMDI0LDMsMjZdXX0sIkRPSSI6IjEwLjEwODMvSkNCLjIwMDMxMTA0NCIsIklTU04iOiIwMDIxOTUyNSIsIlBNSUQiOiIxNTA5NjUyNiIsIlVSTCI6Ii9wbWMvYXJ0aWNsZXMvUE1DMjE3MjAzMS8iLCJpc3N1ZWQiOnsiZGF0ZS1wYXJ0cyI6W1syMDA0LDQsNF1dfSwicGFnZSI6IjE4MSIsImFic3RyYWN0IjoiQmVmb3JlIFMgcGhhc2UsIGNlbGxzIGxpY2Vuc2UgcmVwbGljYXRpb24gb3JpZ2lucyBmb3IgaW5pdGlhdGlvbiBieSBsb2FkaW5nIHRoZW0gd2l0aCBNY20yLTcgaGV0ZXJvaGV4YW1lcnMuIFRoaXMgcHJvY2VzcyBpcyBkZXBlbmRlbnQgb24gQ2RjNiwgd2hpY2ggaXMgcmVjcnVpdGVkIHRvIHVubGljZW5zZWQgb3JpZ2lucy4gVXNpbmcgWGVub3B1cyBlZ2cgZXh0cmFjdHMgd2Ugc2hvdyB0aGF0IGFsdGhvdWdoIGVhY2ggb3JpZ2luIGNhbiBsb2FkIG1hbnkgTWNtMi03IGhleGFtZXJzLCB0aGUgYWZmaW5pdHkgb2YgQ2RjNiBmb3IgZWFjaCBvcmlnaW5zIGRyb3BzIG9uY2UgaXQgaGFzIGJlZW4gbGljZW5zZWQgYnkgbG9hZGluZyB0aGUgZmlyc3QgaGV4YW1lcnMuIFRoaXMgZW5jb3VyYWdlcyB0aGUgZGlzdHJpYnV0aW9uIG9mIGF0IGxlYXN0IG9uZSBNY20yLTcgaGV4YW1lciB0byBlYWNoIG9yaWdpbiwgYW5kIHRoZXJlYnkgaGVscHMgdG8gZW5zdXJlIHRoYXQgYWxsIG9yaWdpbnMgYXJlIGxpY2Vuc2VkLiBBbHRob3VnaCBDZGM2IGlzIG5vdCBlc3NlbnRpYWwgZm9yIEROQSByZXBsaWNhdGlvbiBvbmNlIGxpY2Vuc2luZyBpcyBjb21wbGV0ZSwgQ2RjNiByZWdhaW5zIGEgaGlnaCBhZmZpbml0eSBmb3Igb3JpZ2lucyBvbmNlIHJlcGxpY2F0aW9uIGZvcmtzIGFyZSBpbml0aWF0ZWQgYW5kIE1jbTItNyBoYXMgYmVlbiBkaXNwbGFjZWQgZnJvbSB0aGUgb3JpZ2luIEROQS4gV2Ugc2hvdyB0aGF0IHRoZSBwcmVzZW5jZSBvZiBDZGM2IGR1cmluZyBTIHBoYXNlIGlzIGVzc2VudGlhbCBmb3IgdGhlIGNoZWNrcG9pbnQga2luYXNlIENoazEgdG8gYmVjb21lIGFjdGl2YXRlZCBpbiByZXNwb25zZSB0byByZXBsaWNhdGlvbiBpbmhpYml0aW9uLiBUaGVzZSByZXN1bHRzIHNob3cgdGhhdCBDZGM2IHBsYXlzIG11bHRpcGxlIHJvbGVzIGluIGVuc3VyaW5nIHByZWNpc2UgY2hyb21vc29tZSBkdXBsaWNhdGlvbi4iLCJwdWJsaXNoZXIiOiJUaGUgUm9ja2VmZWxsZXIgVW5pdmVyc2l0eSBQcmVzcyIsImlzc3VlIjoiMiIsInZvbHVtZSI6IjE2NSJ9LCJpc1RlbXBvcmFyeSI6ZmFsc2V9XX0=&quot;,&quot;citationItems&quot;:[{&quot;id&quot;:&quot;726fa772-d1c5-3979-8c20-fdc3f438040a&quot;,&quot;itemData&quot;:{&quot;type&quot;:&quot;article-journal&quot;,&quot;id&quot;:&quot;726fa772-d1c5-3979-8c20-fdc3f438040a&quot;,&quot;title&quot;:&quot;The role of Cdc6 in ensuring complete genome licensing and S phase checkpoint activation&quot;,&quot;author&quot;:[{&quot;family&quot;:&quot;Oehlmann&quot;,&quot;given&quot;:&quot;Maren&quot;,&quot;parse-names&quot;:false,&quot;dropping-particle&quot;:&quot;&quot;,&quot;non-dropping-particle&quot;:&quot;&quot;},{&quot;family&quot;:&quot;Score&quot;,&quot;given&quot;:&quot;Alan J.&quot;,&quot;parse-names&quot;:false,&quot;dropping-particle&quot;:&quot;&quot;,&quot;non-dropping-particle&quot;:&quot;&quot;},{&quot;family&quot;:&quot;Blow&quot;,&quot;given&quot;:&quot;J. Julian&quot;,&quot;parse-names&quot;:false,&quot;dropping-particle&quot;:&quot;&quot;,&quot;non-dropping-particle&quot;:&quot;&quot;}],&quot;container-title&quot;:&quot;The Journal of Cell Biology&quot;,&quot;container-title-short&quot;:&quot;J Cell Biol&quot;,&quot;accessed&quot;:{&quot;date-parts&quot;:[[2024,3,26]]},&quot;DOI&quot;:&quot;10.1083/JCB.200311044&quot;,&quot;ISSN&quot;:&quot;00219525&quot;,&quot;PMID&quot;:&quot;15096526&quot;,&quot;URL&quot;:&quot;/pmc/articles/PMC2172031/&quot;,&quot;issued&quot;:{&quot;date-parts&quot;:[[2004,4,4]]},&quot;page&quot;:&quot;181&quot;,&quot;abstract&quot;:&quot;Before S phase, cells license replication origins for initiation by loading them with Mcm2-7 heterohexamers. This process is dependent on Cdc6, which is recruited to unlicensed origins. Using Xenopus egg extracts we show that although each origin can load many Mcm2-7 hexamers, the affinity of Cdc6 for each origins drops once it has been licensed by loading the first hexamers. This encourages the distribution of at least one Mcm2-7 hexamer to each origin, and thereby helps to ensure that all origins are licensed. Although Cdc6 is not essential for DNA replication once licensing is complete, Cdc6 regains a high affinity for origins once replication forks are initiated and Mcm2-7 has been displaced from the origin DNA. We show that the presence of Cdc6 during S phase is essential for the checkpoint kinase Chk1 to become activated in response to replication inhibition. These results show that Cdc6 plays multiple roles in ensuring precise chromosome duplication.&quot;,&quot;publisher&quot;:&quot;The Rockefeller University Press&quot;,&quot;issue&quot;:&quot;2&quot;,&quot;volume&quot;:&quot;165&quot;},&quot;isTemporary&quot;:false}]},{&quot;citationID&quot;:&quot;MENDELEY_CITATION_c4be6cb2-940a-43ba-92e9-7af8f1a57473&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YzRiZTZjYjItOTQwYS00M2JhLTkyZTktN2FmOGYxYTU3NDczIiwicHJvcGVydGllcyI6eyJub3RlSW5kZXgiOjB9LCJpc0VkaXRlZCI6ZmFsc2UsIm1hbnVhbE92ZXJyaWRlIjp7ImlzTWFudWFsbHlPdmVycmlkZGVuIjpmYWxzZSwiY2l0ZXByb2NUZXh0IjoiPHN1cD4zPC9zdXA+IiwibWFudWFsT3ZlcnJpZGVUZXh0IjoiIn0sImNpdGF0aW9uSXRlbXMiOlt7ImlkIjoiMjUxYzMyNzMtNDM3ZC0zMDNjLTk2NzYtNDgwMGU1ZmNlYzE2IiwiaXRlbURhdGEiOnsidHlwZSI6ImFydGljbGUtam91cm5hbCIsImlkIjoiMjUxYzMyNzMtNDM3ZC0zMDNjLTk2NzYtNDgwMGU1ZmNlYzE2IiwidGl0bGUiOiJUaGUgcm9sZSBvZiBNQ001IGV4cHJlc3Npb24gaW4gY2VydmljYWwgY2FuY2VyOiBDb3JyZWxhdGlvbiB3aXRoIHByb2dyZXNzaW9uIGFuZCBwcm9nbm9zaXMiLCJhdXRob3IiOlt7ImZhbWlseSI6IldhbmciLCJnaXZlbiI6IkRhbiIsInBhcnNlLW5hbWVzIjpmYWxzZSwiZHJvcHBpbmctcGFydGljbGUiOiIiLCJub24tZHJvcHBpbmctcGFydGljbGUiOiIifSx7ImZhbWlseSI6IkxpIiwiZ2l2ZW4iOiJRaWFuIiwicGFyc2UtbmFtZXMiOmZhbHNlLCJkcm9wcGluZy1wYXJ0aWNsZSI6IiIsIm5vbi1kcm9wcGluZy1wYXJ0aWNsZSI6IiJ9LHsiZmFtaWx5IjoiTGkiLCJnaXZlbiI6IllpY2h1biIsInBhcnNlLW5hbWVzIjpmYWxzZSwiZHJvcHBpbmctcGFydGljbGUiOiIiLCJub24tZHJvcHBpbmctcGFydGljbGUiOiIifSx7ImZhbWlseSI6IldhbmciLCJnaXZlbiI6Ikhvbmd5YW4iLCJwYXJzZS1uYW1lcyI6ZmFsc2UsImRyb3BwaW5nLXBhcnRpY2xlIjoiIiwibm9uLWRyb3BwaW5nLXBhcnRpY2xlIjoiIn1dLCJjb250YWluZXItdGl0bGUiOiJCaW9tZWRpY2luZSAmIFBoYXJtYWNvdGhlcmFweSIsImFjY2Vzc2VkIjp7ImRhdGUtcGFydHMiOltbMjAyNCwzLDI2XV19LCJET0kiOiIxMC4xMDE2L0ouQklPUEhBLjIwMTcuMTIuMDA2IiwiSVNTTiI6IjA3NTMtMzMyMiIsIlBNSUQiOiIyOTI1Mzc2NCIsImlzc3VlZCI6eyJkYXRlLXBhcnRzIjpbWzIwMTgsMiwxXV19LCJwYWdlIjoiMTY1LTE3MiIsImFic3RyYWN0IjoiTWluaWNocm9tb3NvbWUgbWFpbnRlbmFuY2UgcHJvdGVpbiA1IChNQ001KSBoYXMgYmVlbiBzdWdnZXN0ZWQgb3ZlcmV4cHJlc3NlZCBpbiBjZXJ2aWNhbCBjYW5jZXIsIGJ1dCB0aGUgY2xpbmljYWwgdmFsdWUgYW5kIGJpb2xvZ2ljYWwgZnVuY3Rpb24gb2YgTUNNNSBpbiBjZXJ2aWNhbCBjYW5jZXIgaXMgc3RpbGwgdW5rbm93bi4gSW4gb3VyIHN0dWR5LCBNQ001IG1STkEgYW5kIHByb3RlaW4gd2VyZSBzaWduaWZpY2FudGx5IG92ZXJleHByZXNzZWQgaW4gY2VydmljYWwgY2FuY2VyIHRpc3N1ZXMgYW5kIGNlbGwgbGluZXMgY29tcGFyZWQgd2l0aCBub3JtYWwgY2VydmljYWwgdGlzc3VlcyBhbmQgY2VsbCBsaW5lcywgYW5kIHdlcmUgb2J2aW91c2x5IGluY3JlYXNlZCBpbiBjZXJ2aWNhbCBhZGVub2NhcmNpbm9tYSB0aXNzdWVzIGFuZCBjZWxsIGxpbmVzIGluIGNvbXBhcmlzb24gdG8gY2VydmljYWwgc3F1YW1vdXMgY2VsbCBjYXJjaW5vbWEgdGlzc3VlcyBhbmQgY2VsbCBsaW5lcy4gSW4gY2VydmljYWwgYWRlbm9jYXJjaW5vbWEgcGF0aWVudHMsIHdlIGZpcnN0bHkgZm91bmQgdGhhdCBNQ001IGV4cHJlc3Npb24gd2FzIGNsb3NlbHkgY29ycmVsYXRlZCB3aXRoIGNsaW5pY2FsIHN0YWdlLCBseW1waCBub2RlIG1ldGFzdGFzaXMsIGRpc3RhbnQgbWV0YXN0YXNpcyBhbmQgaGlzdG9sb2dpY2FsIGdyYWRlLiBVbml2YXJpYXRlIGFuZCBtdWx0aXZhcmlhdGUgYW5hbHlzaXMgc2hvd2VkIE1DTTUgaGlnaC1leHByZXNzaW9uIHdhcyBhbiBpbmRlcGVuZGVudCB1bmZhdm9yYWJsZSBwcm9nbm9zdGljIGZhY3Rvci4gSW4gY29uY2x1c2lvbiwgTUNNNSBpcyBhc3NvY2lhdGVkIHdpdGggdGhlIG1hbGlnbmFudCBzdGF0dXMgYW5kIHBvb3IgcHJvZ25vc2lzIGluIGNlcnZpY2FsIGFkZW5vY2FyY2lub21hIHBhdGllbnRzLCBhbmQgbW9kdWxhdGVzIGNlcnZpY2FsIGFkZW5vY2FyY2lub21hIGNlbGxzIHByb2xpZmVyYXRpb24uIiwicHVibGlzaGVyIjoiRWxzZXZpZXIgTWFzc29uIiwidm9sdW1lIjoiOTgiLCJjb250YWluZXItdGl0bGUtc2hvcnQiOiIifSwiaXNUZW1wb3JhcnkiOmZhbHNlfV19&quot;,&quot;citationItems&quot;:[{&quot;id&quot;:&quot;251c3273-437d-303c-9676-4800e5fcec16&quot;,&quot;itemData&quot;:{&quot;type&quot;:&quot;article-journal&quot;,&quot;id&quot;:&quot;251c3273-437d-303c-9676-4800e5fcec16&quot;,&quot;title&quot;:&quot;The role of MCM5 expression in cervical cancer: Correlation with progression and prognosis&quot;,&quot;author&quot;:[{&quot;family&quot;:&quot;Wang&quot;,&quot;given&quot;:&quot;Dan&quot;,&quot;parse-names&quot;:false,&quot;dropping-particle&quot;:&quot;&quot;,&quot;non-dropping-particle&quot;:&quot;&quot;},{&quot;family&quot;:&quot;Li&quot;,&quot;given&quot;:&quot;Qian&quot;,&quot;parse-names&quot;:false,&quot;dropping-particle&quot;:&quot;&quot;,&quot;non-dropping-particle&quot;:&quot;&quot;},{&quot;family&quot;:&quot;Li&quot;,&quot;given&quot;:&quot;Yichun&quot;,&quot;parse-names&quot;:false,&quot;dropping-particle&quot;:&quot;&quot;,&quot;non-dropping-particle&quot;:&quot;&quot;},{&quot;family&quot;:&quot;Wang&quot;,&quot;given&quot;:&quot;Hongyan&quot;,&quot;parse-names&quot;:false,&quot;dropping-particle&quot;:&quot;&quot;,&quot;non-dropping-particle&quot;:&quot;&quot;}],&quot;container-title&quot;:&quot;Biomedicine &amp; Pharmacotherapy&quot;,&quot;accessed&quot;:{&quot;date-parts&quot;:[[2024,3,26]]},&quot;DOI&quot;:&quot;10.1016/J.BIOPHA.2017.12.006&quot;,&quot;ISSN&quot;:&quot;0753-3322&quot;,&quot;PMID&quot;:&quot;29253764&quot;,&quot;issued&quot;:{&quot;date-parts&quot;:[[2018,2,1]]},&quot;page&quot;:&quot;165-172&quot;,&quot;abstract&quot;:&quot;Minichromosome maintenance protein 5 (MCM5) has been suggested overexpressed in cervical cancer, but the clinical value and biological function of MCM5 in cervical cancer is still unknown. In our study, MCM5 mRNA and protein were significantly overexpressed in cervical cancer tissues and cell lines compared with normal cervical tissues and cell lines, and were obviously increased in cervical adenocarcinoma tissues and cell lines in comparison to cervical squamous cell carcinoma tissues and cell lines. In cervical adenocarcinoma patients, we firstly found that MCM5 expression was closely correlated with clinical stage, lymph node metastasis, distant metastasis and histological grade. Univariate and multivariate analysis showed MCM5 high-expression was an independent unfavorable prognostic factor. In conclusion, MCM5 is associated with the malignant status and poor prognosis in cervical adenocarcinoma patients, and modulates cervical adenocarcinoma cells proliferation.&quot;,&quot;publisher&quot;:&quot;Elsevier Masson&quot;,&quot;volume&quot;:&quot;98&quot;,&quot;container-title-short&quot;:&quot;&quot;},&quot;isTemporary&quot;:false}]},{&quot;citationID&quot;:&quot;MENDELEY_CITATION_5b38b218-c952-49d3-90de-34c64f6c3624&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NWIzOGIyMTgtYzk1Mi00OWQzLTkwZGUtMzRjNjRmNmMzNjI0IiwicHJvcGVydGllcyI6eyJub3RlSW5kZXgiOjB9LCJpc0VkaXRlZCI6ZmFsc2UsIm1hbnVhbE92ZXJyaWRlIjp7ImlzTWFudWFsbHlPdmVycmlkZGVuIjpmYWxzZSwiY2l0ZXByb2NUZXh0IjoiPHN1cD40PC9zdXA+IiwibWFudWFsT3ZlcnJpZGVUZXh0IjoiIn0sImNpdGF0aW9uSXRlbXMiOlt7ImlkIjoiMTM5NjNkODMtYmJlNi0zZTdjLWE3MDQtNDdiYjM0MzZlMzYzIiwiaXRlbURhdGEiOnsidHlwZSI6ImFydGljbGUtam91cm5hbCIsImlkIjoiMTM5NjNkODMtYmJlNi0zZTdjLWE3MDQtNDdiYjM0MzZlMzYzIiwidGl0bGUiOiJNQ000IGlzIGEgbm92ZWwgcHJvZ25vc3RpYyBiaW9tYXJrZXIgYW5kIHByb21vdGVzIGNhbmNlciBjZWxsIGdyb3d0aCBpbiBnbGlvbWEiLCJhdXRob3IiOlt7ImZhbWlseSI6IllhbmciLCJnaXZlbiI6IlNodSIsInBhcnNlLW5hbWVzIjpmYWxzZSwiZHJvcHBpbmctcGFydGljbGUiOiIiLCJub24tZHJvcHBpbmctcGFydGljbGUiOiIifSx7ImZhbWlseSI6Ill1YW4iLCJnaXZlbiI6IllpeGlhbyIsInBhcnNlLW5hbWVzIjpmYWxzZSwiZHJvcHBpbmctcGFydGljbGUiOiIiLCJub24tZHJvcHBpbmctcGFydGljbGUiOiIifSx7ImZhbWlseSI6IlJlbiIsImdpdmVuIjoiV2VuanVuIiwicGFyc2UtbmFtZXMiOmZhbHNlLCJkcm9wcGluZy1wYXJ0aWNsZSI6IiIsIm5vbi1kcm9wcGluZy1wYXJ0aWNsZSI6IiJ9LHsiZmFtaWx5IjoiV2FuZyIsImdpdmVuIjoiSGFpeXUiLCJwYXJzZS1uYW1lcyI6ZmFsc2UsImRyb3BwaW5nLXBhcnRpY2xlIjoiIiwibm9uLWRyb3BwaW5nLXBhcnRpY2xlIjoiIn0seyJmYW1pbHkiOiJaaGFvIiwiZ2l2ZW4iOiJaaG9uZyIsInBhcnNlLW5hbWVzIjpmYWxzZSwiZHJvcHBpbmctcGFydGljbGUiOiIiLCJub24tZHJvcHBpbmctcGFydGljbGUiOiIifSx7ImZhbWlseSI6IlpoYW8iLCJnaXZlbiI6IkhlbmciLCJwYXJzZS1uYW1lcyI6ZmFsc2UsImRyb3BwaW5nLXBhcnRpY2xlIjoiIiwibm9uLWRyb3BwaW5nLXBhcnRpY2xlIjoiIn0seyJmYW1pbHkiOiJaaGFvIiwiZ2l2ZW4iOiJRaXpoZSIsInBhcnNlLW5hbWVzIjpmYWxzZSwiZHJvcHBpbmctcGFydGljbGUiOiIiLCJub24tZHJvcHBpbmctcGFydGljbGUiOiIifSx7ImZhbWlseSI6IkNoZW4iLCJnaXZlbiI6IlhpIiwicGFyc2UtbmFtZXMiOmZhbHNlLCJkcm9wcGluZy1wYXJ0aWNsZSI6IiIsIm5vbi1kcm9wcGluZy1wYXJ0aWNsZSI6IiJ9LHsiZmFtaWx5IjoiSmlhbmciLCJnaXZlbiI6IlhpdWxpbiIsInBhcnNlLW5hbWVzIjpmYWxzZSwiZHJvcHBpbmctcGFydGljbGUiOiIiLCJub24tZHJvcHBpbmctcGFydGljbGUiOiIifSx7ImZhbWlseSI6IlpoYW5nIiwiZ2l2ZW4iOiJMZWkiLCJwYXJzZS1uYW1lcyI6ZmFsc2UsImRyb3BwaW5nLXBhcnRpY2xlIjoiIiwibm9uLWRyb3BwaW5nLXBhcnRpY2xlIjoiIn1dLCJjb250YWluZXItdGl0bGUiOiJGcm9udGllcnMgaW4gT25jb2xvZ3kiLCJjb250YWluZXItdGl0bGUtc2hvcnQiOiJGcm9udCBPbmNvbCIsImFjY2Vzc2VkIjp7ImRhdGUtcGFydHMiOltbMjAyNCwzLDI2XV19LCJET0kiOiIxMC4zMzg5L0ZPTkMuMjAyMi4xMDA0MzI0L0ZVTEwiLCJJU1NOIjoiMjIzNDk0M1giLCJVUkwiOiIvcG1jL2FydGljbGVzL1BNQzk3MTMyNTEvIiwiaXNzdWVkIjp7ImRhdGUtcGFydHMiOltbMjAyMiwxMSwxN11dfSwiYWJzdHJhY3QiOiJCYWNrZ3JvdW5kOiBHbGlvbWFzIGFjY291bnQgZm9yIDc1JSBvZiBhbGwgcHJpbWFyeSBtYWxpZ25hbnQgYnJhaW4gdHVtb3JzIGluIGFkdWx0cyBhbmQgcmVzdWx0IGluIGhpZ2ggbW9ydGFsaXR5LiBBY2N1bXVsYXRlZCBldmlkZW5jZSBoYXMgZGVjbGFyZWQgdGhlIG1pbmljaHJvbW9zb21lIG1haW50ZW5hbmNlIHByb3RlaW4gY29tcGxleCAoTUNNKSBnZW5lIGZhbWlseSBwbGF5cyBhIGNyaXRpY2FsIHJvbGUgaW4gbW9kdWxhdGluZyB0aGUgY2VsbCBjeWNsZSBhbmQgRE5BIHJlcGxpY2F0aW9uIHN0cmVzcy4gSG93ZXZlciwgdGhlIGJpb2xvZ2ljYWwgZnVuY3Rpb24gYW5kIGNsaW5pYyBjaGFyYWN0ZXJpemF0aW9uIG9mIG5pbmUgTUNNIG1lbWJlcnMgaW4gbG93LWdyYWRlIGdsaW9tYSBhcmUgbm90IHlldCBjbGFyaWZpZWQuIE1ldGhvZHM6IEluIHRoaXMgc3R1ZHksIHdlIHV0aWxpemVkIGRpdmVyc2UgcHVibGljIGRhdGFiYXNlcywgaW5jbHVkaW5nIFRoZSBDYW5jZXIgR2Vub21lIEF0bGFzIChUQ0dBKSwgQ2hpbmVzZSBHbGlvbWEgR2Vub21lIEF0bGFzIChDR0dBKSwgUmVtYnJhbmR0LCBIdW1hbiBQcm90ZWluIEF0bGFzIChIUEEpLCBMaW5rZWRvbWljcywgY2Jpb3BvcnRhbCwgVHVtb3IgYW5kIEltbXVuZSBTeXN0ZW0gSW50ZXJhY3Rpb24gRGF0YWJhc2UgKFRJU0lEQiksIHNpbmdsZS1zYW1wbGUgR1NFQSAoc3NHU0VBKSwgVHVtb3IgSW1tdW5lIEVzdGltYXRpb24gUmVzb3VyY2UgKFRJTUVSKSwgR2Vub21pY3Mgb2YgRHJ1ZyBTZW5zaXRpdml0eSBpbiBDYW5jZXIgKEdEU0MpIGFuZCBDYW5jZXIgVGhlcmFwZXV0aWNzIFJlc3BvbnNlIFBvcnRhbCBkYXRhYmFzZXMgdG8gZXhwbG9yZSB0aGUgbVJOQSBhbmQgcHJvdGVpbiBleHByZXNzaW9uIHByb2ZpbGVzLCBnZW5lIG11dGF0aW9uLCBjbGluaWNhbCBmZWF0dXJlcywgZGlhZ25vc2lzLCBwcm9nbm9zaXMsIHNpZ25hbGluZyBwYXRod2F5LCB0dW1vciBtdXRhdGlvbmFsIGJ1cmRlbiAoVE1CKSwgaW1tdW5lIHN1YnR5cGUsIGltbXVuZSBjZWxsIGluZmlsdHJhdGlvbiwgaW1tdW5lIG1vZHVsYXRvciBhbmQgZHJ1ZyBzZW5zaXRpdml0eSBvZiBuaW5lIE1DTXMuIEFmdGVyd2FyZCwgcVJULVBDUiB3YXMgdXRpbGl6ZWQgdG8gZGV0ZWN0IHRoZSBleHByZXNzaW9uIG9mIHRoZSBNQ00gZmFtaWx5IGluIGdsaW9ibGFzdG9tYSBtdWx0aWZvcm1lIChHQk0pIGNlbGwgbGluZXMuIFRoZSBvbmUtLCB0aHJlZS0sIG9yIGZpdmUteWVhciBzdXJ2aXZhbCByYXRlIHdhcyBwcmVkaWN0ZWQgYnkgdXRpbGl6aW5nIGEgbm9tb2dyYW0gZXN0YWJsaXNoZWQgYnkgY294IHByb3BvcnRpb25hbCBoYXphcmQgcmVncmVzc2lvbi4gUmVzdWx0czogSW4gdGhpcyBzdHVkeSwgd2UgZm91bmQgdGhhdCBuaW5lIE1DTXMgd2VyZSBjb25zaXN0ZW50bHkgdXAtcmVndWxhdGVkIGluIGdsaW9tYSB0aXNzdWVzIGFuZCBnbGlvbWEgY2VsbCBsaW5lcy4gRWxldmF0ZWQgbmluZSBNQ01zIGV4cHJlc3Npb25zIHdlcmUgc2lnbmlmaWNhbnRseSBjb3JyZWxhdGVkIHdpdGggYSBoaWdoZXIgdHVtb3Igc3RhZ2UsIGlzb2NpdHJhdGUgZGVoeWRyb2dlbmFzZSAoSURIKSBtdXRhdGVzLCAxcC8xOXEgY29kZWxldGlvbiwgaGlzdG9sb2dpY2FsIHR5cGUsIGFuZCBwcmltYXJ5IHRoZXJhcHkgb3V0Y29tZS4gU3Vydml2YWwgYW5hbHlzZXMgc2hvd2VkIHRoYXQgaGlnaGVyIGV4cHJlc3Npb24gb2YgTUNNMi1NQ004IChtaW5pY2hyb21vc29tZSBtYWludGVuYW5jZSBwcm90ZWluMi04KSBhbmQgTUNNMTAgKG1pbmljaHJvbW9zb21lIG1haW50ZW5hbmNlIHByb3RlaW4gMTApIHdlcmUgbGlua2VkIHdpdGggcG9vciBvdmVyYWxsIHN1cnZpdmFsIChPUykgYW5kIHByb2dyZXNzaW9uLWZyZWUgc3Vydml2YWwgKFBGUykgaW4gZ2xpb21hIHBhdGllbnRzLiBPbiB0aGUgb3RoZXIgaGFuZCwgdXAtcmVndWxhdGVkIE1DTTItTUNNOCBhbmQgTUNNMTAgd2VyZSBzaWduaWZpY2FudGx5IGFzc29jaWF0ZWQgd2l0aCBzaG9ydGVyIGRpc2Vhc2Utc3BlY2lmaWMgc3Vydml2YWwgKERTUykgaW4gZ2xpb21hIHBhdGllbnRzLiBVbml2YXJpYXRlIGFuZCBtdWx0aXZhcmlhdGUgYW5hbHlzZXMgcmV2ZWFsZWQgdGhhdCBNQ00yIChtaW5pY2hyb21vc29tZSBtYWludGVuYW5jZSBwcm90ZWluMiksIE1DTTQgKG1pbmljaHJvbW9zb21lIG1haW50ZW5hbmNlIHByb3RlaW4gNCksIE1DTTYgKG1pbmljaHJvbW9zb21lIG1haW50ZW5hbmNlIHByb3RlaW4gNiksIE1DTTcgKG1pbmljaHJvbW9zb21lIG1haW50ZW5hbmNlIHByb3RlaW4gNykgZXhwcmVzc2lvbiBhbmQgdHVtb3IgZ3JhZGUsIDFwLzE5cSBjb2RlbGV0aW9uLCBhZ2UsIGFuZCBwcmltYXJ5IHRoZXJhcHkgb3V0Y29tZSB3ZXJlIGluZGVwZW5kZW50IGZhY3RvcnMgY29ycmVsYXRlZCB3aXRoIHRoZSBjbGluaWNhbCBvdXRjb21lIG9mIGdsaW9tYSBwYXRpZW50cy4gTW9yZSBpbXBvcnRhbnRseSwgYSBwcm9nbm9zdGljIE1DTXMgbW9kZWwgY29uc3RydWN0ZWQgdXNpbmcgdGhlIGFib3ZlIGZpdmUgcHJvZ25vc3RpYyBnZW5lcyBjb3VsZCBwcmVkaWN0IHRoZSBvdmVyYWxsIHN1cnZpdmFsIG9mIGdsaW9tYSBwYXRpZW50cyB3aXRoIG1lZGl1bS10by1oaWdoIGFjY3VyYWN5LiBGdXJ0aGVybW9yZSwgZnVuY3Rpb25hbCBlbnJpY2htZW50IGFuYWx5c2lzIGluZGljYXRlZCB0aGF0IE1DTXMgcHJpbmNpcGFsIHBhcnRpY2lwYXRlZCBpbiByZWd1bGF0aW5nIGNlbGwgY3ljbGUgYW5kIEROQSByZXBsaWNhdGlvbi4gRE5BIGNvcHkgbnVtYmVyIHZhcmlhdGlvbiAoQ05WKSBhbmQgRE5BIG1ldGh5bGF0aW9uIHNpZ25pZmljYW50bHkgYWZmZWN0IHRoZSBleHByZXNzaW9uIG9mIE1DTXMuIEZpbmFsbHksIHdlIHVuY292ZXIgdGhhdCBNQ01zIGV4cHJlc3Npb24gaXMgaGlnaGx5IGNvcnJlbGF0ZWQgd2l0aCBpbW11bmUgY2VsbCBpbmZpbHRyYXRpb24sIGltbXVuZSBtb2R1bGF0b3IsIFRNQiwgYW5kIGRydWcgc2Vuc2l0aXZpdHkuIENvbmNsdXNpb25zOiBJbiBzdW1tYXJ5LCB0aGlzIGZpbmRpbmcgY29uZmlybWVkIHRoYXQgTUNNNCBpcyBhIHBvdGVudGlhbCB0YXJnZXQgb2YgcHJlY2lzaW9uIHRoZXJhcHkgZm9yIHBhdGllbnRzIHdpdGggZ2xpb21hLiIsInB1Ymxpc2hlciI6IkZyb250aWVycyBNZWRpYSBTLkEuIiwidm9sdW1lIjoiMTIifSwiaXNUZW1wb3JhcnkiOmZhbHNlfV19&quot;,&quot;citationItems&quot;:[{&quot;id&quot;:&quot;13963d83-bbe6-3e7c-a704-47bb3436e363&quot;,&quot;itemData&quot;:{&quot;type&quot;:&quot;article-journal&quot;,&quot;id&quot;:&quot;13963d83-bbe6-3e7c-a704-47bb3436e363&quot;,&quot;title&quot;:&quot;MCM4 is a novel prognostic biomarker and promotes cancer cell growth in glioma&quot;,&quot;author&quot;:[{&quot;family&quot;:&quot;Yang&quot;,&quot;given&quot;:&quot;Shu&quot;,&quot;parse-names&quot;:false,&quot;dropping-particle&quot;:&quot;&quot;,&quot;non-dropping-particle&quot;:&quot;&quot;},{&quot;family&quot;:&quot;Yuan&quot;,&quot;given&quot;:&quot;Yixiao&quot;,&quot;parse-names&quot;:false,&quot;dropping-particle&quot;:&quot;&quot;,&quot;non-dropping-particle&quot;:&quot;&quot;},{&quot;family&quot;:&quot;Ren&quot;,&quot;given&quot;:&quot;Wenjun&quot;,&quot;parse-names&quot;:false,&quot;dropping-particle&quot;:&quot;&quot;,&quot;non-dropping-particle&quot;:&quot;&quot;},{&quot;family&quot;:&quot;Wang&quot;,&quot;given&quot;:&quot;Haiyu&quot;,&quot;parse-names&quot;:false,&quot;dropping-particle&quot;:&quot;&quot;,&quot;non-dropping-particle&quot;:&quot;&quot;},{&quot;family&quot;:&quot;Zhao&quot;,&quot;given&quot;:&quot;Zhong&quot;,&quot;parse-names&quot;:false,&quot;dropping-particle&quot;:&quot;&quot;,&quot;non-dropping-particle&quot;:&quot;&quot;},{&quot;family&quot;:&quot;Zhao&quot;,&quot;given&quot;:&quot;Heng&quot;,&quot;parse-names&quot;:false,&quot;dropping-particle&quot;:&quot;&quot;,&quot;non-dropping-particle&quot;:&quot;&quot;},{&quot;family&quot;:&quot;Zhao&quot;,&quot;given&quot;:&quot;Qizhe&quot;,&quot;parse-names&quot;:false,&quot;dropping-particle&quot;:&quot;&quot;,&quot;non-dropping-particle&quot;:&quot;&quot;},{&quot;family&quot;:&quot;Chen&quot;,&quot;given&quot;:&quot;Xi&quot;,&quot;parse-names&quot;:false,&quot;dropping-particle&quot;:&quot;&quot;,&quot;non-dropping-particle&quot;:&quot;&quot;},{&quot;family&quot;:&quot;Jiang&quot;,&quot;given&quot;:&quot;Xiulin&quot;,&quot;parse-names&quot;:false,&quot;dropping-particle&quot;:&quot;&quot;,&quot;non-dropping-particle&quot;:&quot;&quot;},{&quot;family&quot;:&quot;Zhang&quot;,&quot;given&quot;:&quot;Lei&quot;,&quot;parse-names&quot;:false,&quot;dropping-particle&quot;:&quot;&quot;,&quot;non-dropping-particle&quot;:&quot;&quot;}],&quot;container-title&quot;:&quot;Frontiers in Oncology&quot;,&quot;container-title-short&quot;:&quot;Front Oncol&quot;,&quot;accessed&quot;:{&quot;date-parts&quot;:[[2024,3,26]]},&quot;DOI&quot;:&quot;10.3389/FONC.2022.1004324/FULL&quot;,&quot;ISSN&quot;:&quot;2234943X&quot;,&quot;URL&quot;:&quot;/pmc/articles/PMC9713251/&quot;,&quot;issued&quot;:{&quot;date-parts&quot;:[[2022,11,17]]},&quot;abstract&quot;:&quot;Background: Gliomas account for 75% of all primary malignant brain tumors in adults and result in high mortality. Accumulated evidence has declared the minichromosome maintenance protein complex (MCM) gene family plays a critical role in modulating the cell cycle and DNA replication stress. However, the biological function and clinic characterization of nine MCM members in low-grade glioma are not yet clarified. Methods: In this study, we utilized diverse public databases, including The Cancer Genome Atlas (TCGA), Chinese Glioma Genome Atlas (CGGA), Rembrandt, Human Protein Atlas (HPA), Linkedomics, cbioportal, Tumor and Immune System Interaction Database (TISIDB), single-sample GSEA (ssGSEA), Tumor Immune Estimation Resource (TIMER), Genomics of Drug Sensitivity in Cancer (GDSC) and Cancer Therapeutics Response Portal databases to explore the mRNA and protein expression profiles, gene mutation, clinical features, diagnosis, prognosis, signaling pathway, tumor mutational burden (TMB), immune subtype, immune cell infiltration, immune modulator and drug sensitivity of nine MCMs. Afterward, qRT-PCR was utilized to detect the expression of the MCM family in glioblastoma multiforme (GBM) cell lines. The one-, three-, or five-year survival rate was predicted by utilizing a nomogram established by cox proportional hazard regression. Results: In this study, we found that nine MCMs were consistently up-regulated in glioma tissues and glioma cell lines. Elevated nine MCMs expressions were significantly correlated with a higher tumor stage, isocitrate dehydrogenase (IDH) mutates, 1p/19q codeletion, histological type, and primary therapy outcome. Survival analyses showed that higher expression of MCM2-MCM8 (minichromosome maintenance protein2-8) and MCM10 (minichromosome maintenance protein 10) were linked with poor overall survival (OS) and progression-free survival (PFS) in glioma patients. On the other hand, up-regulated MCM2-MCM8 and MCM10 were significantly associated with shorter disease-specific survival (DSS) in glioma patients. Univariate and multivariate analyses revealed that MCM2 (minichromosome maintenance protein2), MCM4 (minichromosome maintenance protein 4), MCM6 (minichromosome maintenance protein 6), MCM7 (minichromosome maintenance protein 7) expression and tumor grade, 1p/19q codeletion, age, and primary therapy outcome were independent factors correlated with the clinical outcome of glioma patients. More importantly, a prognostic MCMs model constructed using the above five prognostic genes could predict the overall survival of glioma patients with medium-to-high accuracy. Furthermore, functional enrichment analysis indicated that MCMs principal participated in regulating cell cycle and DNA replication. DNA copy number variation (CNV) and DNA methylation significantly affect the expression of MCMs. Finally, we uncover that MCMs expression is highly correlated with immune cell infiltration, immune modulator, TMB, and drug sensitivity. Conclusions: In summary, this finding confirmed that MCM4 is a potential target of precision therapy for patients with glioma.&quot;,&quot;publisher&quot;:&quot;Frontiers Media S.A.&quot;,&quot;volume&quot;:&quot;12&quot;},&quot;isTemporary&quot;:false}]},{&quot;citationID&quot;:&quot;MENDELEY_CITATION_cc68e653-e60d-4c36-abbe-e7e7a75982a2&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Y2M2OGU2NTMtZTYwZC00YzM2LWFiYmUtZTdlN2E3NTk4MmEyIiwicHJvcGVydGllcyI6eyJub3RlSW5kZXgiOjB9LCJpc0VkaXRlZCI6ZmFsc2UsIm1hbnVhbE92ZXJyaWRlIjp7ImlzTWFudWFsbHlPdmVycmlkZGVuIjpmYWxzZSwiY2l0ZXByb2NUZXh0IjoiPHN1cD41PC9zdXA+IiwibWFudWFsT3ZlcnJpZGVUZXh0IjoiIn0sImNpdGF0aW9uSXRlbXMiOlt7ImlkIjoiYTc0NzQyNWItNWNhOC0zOTNhLTk5Y2MtYmRiNzlmMDVjMDczIiwiaXRlbURhdGEiOnsidHlwZSI6ImFydGljbGUtam91cm5hbCIsImlkIjoiYTc0NzQyNWItNWNhOC0zOTNhLTk5Y2MtYmRiNzlmMDVjMDczIiwidGl0bGUiOiJNQ00yIGluIGh1bWFuIGNhbmNlcjogZnVuY3Rpb25zLCBtZWNoYW5pc21zLCBhbmQgY2xpbmljYWwgc2lnbmlmaWNhbmNlIiwiYXV0aG9yIjpbeyJmYW1pbHkiOiJTdW4iLCJnaXZlbiI6Illhb3FpIiwicGFyc2UtbmFtZXMiOmZhbHNlLCJkcm9wcGluZy1wYXJ0aWNsZSI6IiIsIm5vbi1kcm9wcGluZy1wYXJ0aWNsZSI6IiJ9LHsiZmFtaWx5IjoiQ2hlbmciLCJnaXZlbiI6Ilpob25ncGluZyIsInBhcnNlLW5hbWVzIjpmYWxzZSwiZHJvcHBpbmctcGFydGljbGUiOiIiLCJub24tZHJvcHBpbmctcGFydGljbGUiOiIifSx7ImZhbWlseSI6IkxpdSIsImdpdmVuIjoiU2h1cGVuZyIsInBhcnNlLW5hbWVzIjpmYWxzZSwiZHJvcHBpbmctcGFydGljbGUiOiIiLCJub24tZHJvcHBpbmctcGFydGljbGUiOiIifV0sImNvbnRhaW5lci10aXRsZSI6Ik1vbGVjdWxhciBNZWRpY2luZSAyMDIyIDI4OjEiLCJhY2Nlc3NlZCI6eyJkYXRlLXBhcnRzIjpbWzIwMjQsMywyNl1dfSwiRE9JIjoiMTAuMTE4Ni9TMTAwMjAtMDIyLTAwNTU1LTkiLCJJU1NOIjoiMTUyOC0zNjU4IiwiUE1JRCI6IjM2MzAzMTA1IiwiVVJMIjoiaHR0cHM6Ly9tb2xtZWQuYmlvbWVkY2VudHJhbC5jb20vYXJ0aWNsZXMvMTAuMTE4Ni9zMTAwMjAtMDIyLTAwNTU1LTkiLCJpc3N1ZWQiOnsiZGF0ZS1wYXJ0cyI6W1syMDIyLDEwLDI3XV19LCJwYWdlIjoiMS0xNSIsImFic3RyYWN0IjoiQWJlcnJhbnQgRE5BIHJlcGxpY2F0aW9uIGlzIHRoZSBtYWluIHNvdXJjZSBvZiBnZW5vbWljIGluc3RhYmlsaXR5IHRoYXQgbGVhZHMgdG8gdHVtb3JpZ2VuZXNpcyBhbmQgcHJvZ3Jlc3Npb24uIE1DTTIsIGEgY29yZSBzdWJ1bml0IG9mIGV1a2FyeW90aWMgaGVsaWNhc2UsIHBsYXlzIGEgdml0YWwgcm9sZSBpbiBETkEgcmVwbGljYXRpb24uIFRoZSBkeXNmdW5jdGlvbiBvZiBNQ00yIHJlc3VsdHMgaW4gdGhlIG9jY3VycmVuY2UgYW5kIHByb2dyZXNzaW9uIG9mIG11bHRpcGxlIGNhbmNlcnMgdGhyb3VnaCBpbXBhaXJpbmcgRE5BIHJlcGxpY2F0aW9uIGFuZCBjZWxsIHByb2xpZmVyYXRpb24uIE1DTTIgaXMgYSB2aXRhbCByZWd1bGF0b3IgaW4gRE5BIHJlcGxpY2F0aW9uLiBUaGUgb3ZlcmV4cHJlc3Npb24gb2YgTUNNMiB3YXMgZGV0ZWN0ZWQgaW4gbXVsdGlwbGUgdHlwZXMgb2YgY2FuY2VycywgYW5kIHRoZSBkeXNmdW5jdGlvbiBvZiBNQ00yIHdhcyBjb3JyZWxhdGVkIHdpdGggdGhlIHByb2dyZXNzaW9uIGFuZCBwb29yIHByb2dub3NlcyBvZiBtYWxpZ25hbnQgdHVtb3JzLiBBY2NvcmRpbmcgdG8gdGhlIGFsdGVyZWQgZXhwcmVzc2lvbiBvZiBNQ00yIGFuZCBpdHMgY29ycmVsYXRpb24gd2l0aCBjbGluaWNvcGF0aG9sb2dpY2FsIGZlYXR1cmVzIG9mIGNhbmNlciBwYXRpZW50cywgTUNNMiB3YXMgdGhvdWdodCB0byBiZSBhIHNlbnNpdGl2ZSBiaW9tYXJrZXIgZm9yIGNhbmNlciBkaWFnbm9zaXMsIHByb2dub3NpcywgYW5kIGNoZW1vdGhlcmFweSByZXNwb25zZS4gVGhlIGFudGktdHVtb3IgZWZmZWN0IGluZHVjZWQgYnkgTUNNMiBpbmhpYml0aW9uIGltcGxpZXMgdGhlIHBvdGVudGlhbCBvZiBNQ00yIHRvIGJlIGEgbm92ZWwgdGhlcmFwZXV0aWMgdGFyZ2V0IGZvciBjYW5jZXIgdHJlYXRtZW50LiBTaW5jZSBETkEgcmVwbGljYXRpb24gc3RyZXNzLCB3aGljaCBtYXkgc3RpbXVsYXRlIGFudGktdHVtb3IgaW1tdW5pdHksIGZyZXF1ZW50bHkgb2NjdXJzIGluIE1DTTIgZGVmaWNpZW50IGNlbGxzLCBpdCBhbHNvIHByb3Bvc2VzIHRoZSBwb3NzaWJpbGl0eSB0aGF0IE1DTTIgdGFyZ2V0aW5nIGltcHJvdmVzIHRoZSBlZmZlY3Qgb2YgdHVtb3IgaW1tdW5vdGhlcmFweS4iLCJwdWJsaXNoZXIiOiJCaW9NZWQgQ2VudHJhbCIsImlzc3VlIjoiMSIsInZvbHVtZSI6IjI4IiwiY29udGFpbmVyLXRpdGxlLXNob3J0IjoiIn0sImlzVGVtcG9yYXJ5IjpmYWxzZX1dfQ==&quot;,&quot;citationItems&quot;:[{&quot;id&quot;:&quot;a747425b-5ca8-393a-99cc-bdb79f05c073&quot;,&quot;itemData&quot;:{&quot;type&quot;:&quot;article-journal&quot;,&quot;id&quot;:&quot;a747425b-5ca8-393a-99cc-bdb79f05c073&quot;,&quot;title&quot;:&quot;MCM2 in human cancer: functions, mechanisms, and clinical significance&quot;,&quot;author&quot;:[{&quot;family&quot;:&quot;Sun&quot;,&quot;given&quot;:&quot;Yaoqi&quot;,&quot;parse-names&quot;:false,&quot;dropping-particle&quot;:&quot;&quot;,&quot;non-dropping-particle&quot;:&quot;&quot;},{&quot;family&quot;:&quot;Cheng&quot;,&quot;given&quot;:&quot;Zhongping&quot;,&quot;parse-names&quot;:false,&quot;dropping-particle&quot;:&quot;&quot;,&quot;non-dropping-particle&quot;:&quot;&quot;},{&quot;family&quot;:&quot;Liu&quot;,&quot;given&quot;:&quot;Shupeng&quot;,&quot;parse-names&quot;:false,&quot;dropping-particle&quot;:&quot;&quot;,&quot;non-dropping-particle&quot;:&quot;&quot;}],&quot;container-title&quot;:&quot;Molecular Medicine 2022 28:1&quot;,&quot;accessed&quot;:{&quot;date-parts&quot;:[[2024,3,26]]},&quot;DOI&quot;:&quot;10.1186/S10020-022-00555-9&quot;,&quot;ISSN&quot;:&quot;1528-3658&quot;,&quot;PMID&quot;:&quot;36303105&quot;,&quot;URL&quot;:&quot;https://molmed.biomedcentral.com/articles/10.1186/s10020-022-00555-9&quot;,&quot;issued&quot;:{&quot;date-parts&quot;:[[2022,10,27]]},&quot;page&quot;:&quot;1-15&quot;,&quot;abstract&quot;:&quot;Aberrant DNA replication is the main source of genomic instability that leads to tumorigenesis and progression. MCM2, a core subunit of eukaryotic helicase, plays a vital role in DNA replication. The dysfunction of MCM2 results in the occurrence and progression of multiple cancers through impairing DNA replication and cell proliferation. MCM2 is a vital regulator in DNA replication. The overexpression of MCM2 was detected in multiple types of cancers, and the dysfunction of MCM2 was correlated with the progression and poor prognoses of malignant tumors. According to the altered expression of MCM2 and its correlation with clinicopathological features of cancer patients, MCM2 was thought to be a sensitive biomarker for cancer diagnosis, prognosis, and chemotherapy response. The anti-tumor effect induced by MCM2 inhibition implies the potential of MCM2 to be a novel therapeutic target for cancer treatment. Since DNA replication stress, which may stimulate anti-tumor immunity, frequently occurs in MCM2 deficient cells, it also proposes the possibility that MCM2 targeting improves the effect of tumor immunotherapy.&quot;,&quot;publisher&quot;:&quot;BioMed Central&quot;,&quot;issue&quot;:&quot;1&quot;,&quot;volume&quot;:&quot;28&quot;,&quot;container-title-short&quot;:&quot;&quot;},&quot;isTemporary&quot;:false}]},{&quot;citationID&quot;:&quot;MENDELEY_CITATION_3051c6aa-2817-4158-b45b-21e39cbb150e&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MzA1MWM2YWEtMjgxNy00MTU4LWI0NWItMjFlMzljYmIxNTBlIiwicHJvcGVydGllcyI6eyJub3RlSW5kZXgiOjB9LCJpc0VkaXRlZCI6ZmFsc2UsIm1hbnVhbE92ZXJyaWRlIjp7ImlzTWFudWFsbHlPdmVycmlkZGVuIjpmYWxzZSwiY2l0ZXByb2NUZXh0IjoiPHN1cD42PC9zdXA+IiwibWFudWFsT3ZlcnJpZGVUZXh0IjoiIn0sImNpdGF0aW9uSXRlbXMiOlt7ImlkIjoiY2FmM2FmZjgtYjFiOC0zMzhmLTlhNzQtMjA4ZTlhZTljODgzIiwiaXRlbURhdGEiOnsidHlwZSI6ImFydGljbGUtam91cm5hbCIsImlkIjoiY2FmM2FmZjgtYjFiOC0zMzhmLTlhNzQtMjA4ZTlhZTljODgzIiwidGl0bGUiOiJHSU5TNCBzdXBwcmVzc2VzIGZlcnJvcHRvc2lzIGJ5IGFudGFnb25pemluZyBwNTMgYWNldHlsYXRpb24gd2l0aCBTbmFpbCIsImF1dGhvciI6W3siZmFtaWx5IjoiQ2hlbiIsImdpdmVuIjoiTGluZyIsInBhcnNlLW5hbWVzIjpmYWxzZSwiZHJvcHBpbmctcGFydGljbGUiOiIiLCJub24tZHJvcHBpbmctcGFydGljbGUiOiIifSx7ImZhbWlseSI6IkNhaSIsImdpdmVuIjoiUWlkb25nIiwicGFyc2UtbmFtZXMiOmZhbHNlLCJkcm9wcGluZy1wYXJ0aWNsZSI6IiIsIm5vbi1kcm9wcGluZy1wYXJ0aWNsZSI6IiJ9LHsiZmFtaWx5IjoiWWFuZyIsImdpdmVuIjoiUnVpIiwicGFyc2UtbmFtZXMiOmZhbHNlLCJkcm9wcGluZy1wYXJ0aWNsZSI6IiIsIm5vbi1kcm9wcGluZy1wYXJ0aWNsZSI6IiJ9LHsiZmFtaWx5IjoiV2FuZyIsImdpdmVuIjoiSGFpeWFuIiwicGFyc2UtbmFtZXMiOmZhbHNlLCJkcm9wcGluZy1wYXJ0aWNsZSI6IiIsIm5vbi1kcm9wcGluZy1wYXJ0aWNsZSI6IiJ9LHsiZmFtaWx5IjoiTGluZyIsImdpdmVuIjoiSHVsaSIsInBhcnNlLW5hbWVzIjpmYWxzZSwiZHJvcHBpbmctcGFydGljbGUiOiIiLCJub24tZHJvcHBpbmctcGFydGljbGUiOiIifSx7ImZhbWlseSI6IkxpIiwiZ2l2ZW4iOiJUaWFuc2hlbmciLCJwYXJzZS1uYW1lcyI6ZmFsc2UsImRyb3BwaW5nLXBhcnRpY2xlIjoiIiwibm9uLWRyb3BwaW5nLXBhcnRpY2xlIjoiIn0seyJmYW1pbHkiOiJMaXUiLCJnaXZlbiI6Ik5hIiwicGFyc2UtbmFtZXMiOmZhbHNlLCJkcm9wcGluZy1wYXJ0aWNsZSI6IiIsIm5vbi1kcm9wcGluZy1wYXJ0aWNsZSI6IiJ9LHsiZmFtaWx5IjoiV2FuZyIsImdpdmVuIjoiWnVsaSIsInBhcnNlLW5hbWVzIjpmYWxzZSwiZHJvcHBpbmctcGFydGljbGUiOiIiLCJub24tZHJvcHBpbmctcGFydGljbGUiOiIifSx7ImZhbWlseSI6IlN1biIsImdpdmVuIjoiSmluZ3l1ZSIsInBhcnNlLW5hbWVzIjpmYWxzZSwiZHJvcHBpbmctcGFydGljbGUiOiIiLCJub24tZHJvcHBpbmctcGFydGljbGUiOiIifSx7ImZhbWlseSI6IlRhbyIsImdpdmVuIjoiVGFuaWEiLCJwYXJzZS1uYW1lcyI6ZmFsc2UsImRyb3BwaW5nLXBhcnRpY2xlIjoiIiwibm9uLWRyb3BwaW5nLXBhcnRpY2xlIjoiIn0seyJmYW1pbHkiOiJTaGkiLCJnaXZlbiI6IllpbmciLCJwYXJzZS1uYW1lcyI6ZmFsc2UsImRyb3BwaW5nLXBhcnRpY2xlIjoiIiwibm9uLWRyb3BwaW5nLXBhcnRpY2xlIjoiIn0seyJmYW1pbHkiOiJDYW8iLCJnaXZlbiI6IllhIiwicGFyc2UtbmFtZXMiOmZhbHNlLCJkcm9wcGluZy1wYXJ0aWNsZSI6IiIsIm5vbi1kcm9wcGluZy1wYXJ0aWNsZSI6IiJ9LHsiZmFtaWx5IjoiV2FuZyIsImdpdmVuIjoiWGlhbmciLCJwYXJzZS1uYW1lcyI6ZmFsc2UsImRyb3BwaW5nLXBhcnRpY2xlIjoiIiwibm9uLWRyb3BwaW5nLXBhcnRpY2xlIjoiIn0seyJmYW1pbHkiOiJYaWFvIiwiZ2l2ZW4iOiJEZXNoZW5nIiwicGFyc2UtbmFtZXMiOmZhbHNlLCJkcm9wcGluZy1wYXJ0aWNsZSI6IiIsIm5vbi1kcm9wcGluZy1wYXJ0aWNsZSI6IiJ9LHsiZmFtaWx5IjoiTGl1IiwiZ2l2ZW4iOiJTaHVhbmciLCJwYXJzZS1uYW1lcyI6ZmFsc2UsImRyb3BwaW5nLXBhcnRpY2xlIjoiIiwibm9uLWRyb3BwaW5nLXBhcnRpY2xlIjoiIn0seyJmYW1pbHkiOiJUYW8iLCJnaXZlbiI6IllvbmdndWFuZyIsInBhcnNlLW5hbWVzIjpmYWxzZSwiZHJvcHBpbmctcGFydGljbGUiOiIiLCJub24tZHJvcHBpbmctcGFydGljbGUiOiIifV0sImNvbnRhaW5lci10aXRsZSI6IlByb2NlZWRpbmdzIG9mIHRoZSBOYXRpb25hbCBBY2FkZW15IG9mIFNjaWVuY2VzIG9mIHRoZSBVbml0ZWQgU3RhdGVzIG9mIEFtZXJpY2EiLCJjb250YWluZXItdGl0bGUtc2hvcnQiOiJQcm9jIE5hdGwgQWNhZCBTY2kgVSBTIEEiLCJhY2Nlc3NlZCI6eyJkYXRlLXBhcnRzIjpbWzIwMjQsMywyNl1dfSwiRE9JIjoiMTAuMTA3My9QTkFTLjIyMTk1ODUxMjAvU1VQUExfRklMRS9QTkFTLjIyMTk1ODUxMjAuU0FQUC5QREYiLCJJU1NOIjoiMTA5MTY0OTAiLCJQTUlEIjoiMzcwMTgxOTgiLCJVUkwiOiJodHRwczovL3d3dy5wbmFzLm9yZy9kb2kvYWJzLzEwLjEwNzMvcG5hcy4yMjE5NTg1MTIwIiwiaXNzdWVkIjp7ImRhdGUtcGFydHMiOltbMjAyMyw0LDExXV19LCJwYWdlIjoiZTIyMTk1ODUxMjAiLCJhYnN0cmFjdCI6IkZlcnJvcHRvc2lzIGlzIGFuIGlyb24tZGVwZW5kZW50IG94aWRhdGl2ZSwgbm9uYXBvcHRvdGljIGZvcm0gb2YgcmVndWxhdGVkIGNlbGwgZGVhdGggY2F1c2VkIGJ5IHRoZSBkZXN0cnVjdGlvbiBvZiByZWRveCBob21lb3N0YXNpcy4gUmVjZW50IHN0dWRpZXMgaGF2ZSB1bmNvdmVyZWQgY29tcGxleCBjZWxsdWxhciBuZXR3b3JrcyB0aGF0IHJlZ3VsYXRlIGZlcnJvcHRvc2lzLiBHSU5TNCBpcyBhIHByb21vdGVyIG9mIGV1a2FyeW90aWMgRzEvUy1jZWxsIGN5Y2xlIGFzIGEgcmVndWxhdG9yIG9mIGluaXRpYXRpb24gYW5kIGVsb25nYXRpb24gb2YgRE5BIHJlcGxpY2F0aW9uLCBidXQgbGl0dGxlIGlzIGtub3duIGFib3V0IGl0cyBpbXBhY3Qgb24gZmVycm9wdG9zaXMuIEhlcmUsIHdlIGZvdW5kIHRoYXQgR0lOUzQgd2FzIGludm9sdmVkIGluIHRoZSByZWd1bGF0aW9uIG9mIGZlcnJvcHRvc2lzIGluIGx1bmcgYWRlbm9jYXJjaW5vbWEgKExVQUQpLiBDUklTUFIvQ2FzOS1tZWRpYXRlZCBHSU5TNCBLTyBmYWNpbGl0YXRlZCBmZXJyb3B0b3Npcy4gSW50ZXJlc3RpbmdseSwgZGVwbGV0aW9uIG9mIEdJTlM0IGNvdWxkIGVmZmVjdGl2ZWx5IGluZHVjZSBHMSwgRzEvUywgUywgYW5kIEcyL00gY2VsbHMgdG8gZmVycm9wdG9zaXMsIGVzcGVjaWFsbHkgZm9yIEcyL00gY2VsbHMuIE1lY2hhbmlzdGljYWxseSwgR0lOUzQgc3VwcHJlc3NlZCBwNTMgc3RhYmlsaXR5IHRocm91Z2ggYWN0aXZhdGluZyBTbmFpbCB0aGF0IGFudGFnb25pemVkIHRoZSBhY2V0eWxhdGlvbiBvZiBwNTMsIGFuZCBwNTMgbHlzaW5lIHJlc2lkdWUgMzUxIChLMzUxIGZvciBodW1hbiBwNTMpIHdhcyB0aGUga2V5IHNpdGUgZm9yIEdJTlM0LXN1cHByZXNzZWQgcDUzLW1lZGlhdGVkIGZlcnJvcHRvc2lzLiBUb2dldGhlciwgb3VyIGRhdGEgZGVtb25zdHJhdGUgdGhhdCBHSU5TNCBpcyBhIHBvdGVudGlhbCBvbmNvZ2VuZSBpbiBMVUFEIHRoYXQgZnVuY3Rpb25zIHRvIGRlc3RhYmlsaXplIHA1MyBhbmQgdGhlbiBpbmhpYml0cyBmZXJyb3B0b3NpcywgcHJvdmlkaW5nIGEgcG90ZW50aWFsIHRoZXJhcGV1dGljIHRhcmdldCBmb3IgTFVBRC4iLCJwdWJsaXNoZXIiOiJOYXRpb25hbCBBY2FkZW15IG9mIFNjaWVuY2VzIiwiaXNzdWUiOiIxNSIsInZvbHVtZSI6IjEyMCJ9LCJpc1RlbXBvcmFyeSI6ZmFsc2V9XX0=&quot;,&quot;citationItems&quot;:[{&quot;id&quot;:&quot;caf3aff8-b1b8-338f-9a74-208e9ae9c883&quot;,&quot;itemData&quot;:{&quot;type&quot;:&quot;article-journal&quot;,&quot;id&quot;:&quot;caf3aff8-b1b8-338f-9a74-208e9ae9c883&quot;,&quot;title&quot;:&quot;GINS4 suppresses ferroptosis by antagonizing p53 acetylation with Snail&quot;,&quot;author&quot;:[{&quot;family&quot;:&quot;Chen&quot;,&quot;given&quot;:&quot;Ling&quot;,&quot;parse-names&quot;:false,&quot;dropping-particle&quot;:&quot;&quot;,&quot;non-dropping-particle&quot;:&quot;&quot;},{&quot;family&quot;:&quot;Cai&quot;,&quot;given&quot;:&quot;Qidong&quot;,&quot;parse-names&quot;:false,&quot;dropping-particle&quot;:&quot;&quot;,&quot;non-dropping-particle&quot;:&quot;&quot;},{&quot;family&quot;:&quot;Yang&quot;,&quot;given&quot;:&quot;Rui&quot;,&quot;parse-names&quot;:false,&quot;dropping-particle&quot;:&quot;&quot;,&quot;non-dropping-particle&quot;:&quot;&quot;},{&quot;family&quot;:&quot;Wang&quot;,&quot;given&quot;:&quot;Haiyan&quot;,&quot;parse-names&quot;:false,&quot;dropping-particle&quot;:&quot;&quot;,&quot;non-dropping-particle&quot;:&quot;&quot;},{&quot;family&quot;:&quot;Ling&quot;,&quot;given&quot;:&quot;Huli&quot;,&quot;parse-names&quot;:false,&quot;dropping-particle&quot;:&quot;&quot;,&quot;non-dropping-particle&quot;:&quot;&quot;},{&quot;family&quot;:&quot;Li&quot;,&quot;given&quot;:&quot;Tiansheng&quot;,&quot;parse-names&quot;:false,&quot;dropping-particle&quot;:&quot;&quot;,&quot;non-dropping-particle&quot;:&quot;&quot;},{&quot;family&quot;:&quot;Liu&quot;,&quot;given&quot;:&quot;Na&quot;,&quot;parse-names&quot;:false,&quot;dropping-particle&quot;:&quot;&quot;,&quot;non-dropping-particle&quot;:&quot;&quot;},{&quot;family&quot;:&quot;Wang&quot;,&quot;given&quot;:&quot;Zuli&quot;,&quot;parse-names&quot;:false,&quot;dropping-particle&quot;:&quot;&quot;,&quot;non-dropping-particle&quot;:&quot;&quot;},{&quot;family&quot;:&quot;Sun&quot;,&quot;given&quot;:&quot;Jingyue&quot;,&quot;parse-names&quot;:false,&quot;dropping-particle&quot;:&quot;&quot;,&quot;non-dropping-particle&quot;:&quot;&quot;},{&quot;family&quot;:&quot;Tao&quot;,&quot;given&quot;:&quot;Tania&quot;,&quot;parse-names&quot;:false,&quot;dropping-particle&quot;:&quot;&quot;,&quot;non-dropping-particle&quot;:&quot;&quot;},{&quot;family&quot;:&quot;Shi&quot;,&quot;given&quot;:&quot;Ying&quot;,&quot;parse-names&quot;:false,&quot;dropping-particle&quot;:&quot;&quot;,&quot;non-dropping-particle&quot;:&quot;&quot;},{&quot;family&quot;:&quot;Cao&quot;,&quot;given&quot;:&quot;Ya&quot;,&quot;parse-names&quot;:false,&quot;dropping-particle&quot;:&quot;&quot;,&quot;non-dropping-particle&quot;:&quot;&quot;},{&quot;family&quot;:&quot;Wang&quot;,&quot;given&quot;:&quot;Xiang&quot;,&quot;parse-names&quot;:false,&quot;dropping-particle&quot;:&quot;&quot;,&quot;non-dropping-particle&quot;:&quot;&quot;},{&quot;family&quot;:&quot;Xiao&quot;,&quot;given&quot;:&quot;Desheng&quot;,&quot;parse-names&quot;:false,&quot;dropping-particle&quot;:&quot;&quot;,&quot;non-dropping-particle&quot;:&quot;&quot;},{&quot;family&quot;:&quot;Liu&quot;,&quot;given&quot;:&quot;Shuang&quot;,&quot;parse-names&quot;:false,&quot;dropping-particle&quot;:&quot;&quot;,&quot;non-dropping-particle&quot;:&quot;&quot;},{&quot;family&quot;:&quot;Tao&quot;,&quot;given&quot;:&quot;Yongguang&quot;,&quot;parse-names&quot;:false,&quot;dropping-particle&quot;:&quot;&quot;,&quot;non-dropping-particle&quot;:&quot;&quot;}],&quot;container-title&quot;:&quot;Proceedings of the National Academy of Sciences of the United States of America&quot;,&quot;container-title-short&quot;:&quot;Proc Natl Acad Sci U S A&quot;,&quot;accessed&quot;:{&quot;date-parts&quot;:[[2024,3,26]]},&quot;DOI&quot;:&quot;10.1073/PNAS.2219585120/SUPPL_FILE/PNAS.2219585120.SAPP.PDF&quot;,&quot;ISSN&quot;:&quot;10916490&quot;,&quot;PMID&quot;:&quot;37018198&quot;,&quot;URL&quot;:&quot;https://www.pnas.org/doi/abs/10.1073/pnas.2219585120&quot;,&quot;issued&quot;:{&quot;date-parts&quot;:[[2023,4,11]]},&quot;page&quot;:&quot;e2219585120&quot;,&quot;abstract&quot;:&quot;Ferroptosis is an iron-dependent oxidative, nonapoptotic form of regulated cell death caused by the destruction of redox homeostasis. Recent studies have uncovered complex cellular networks that regulate ferroptosis. GINS4 is a promoter of eukaryotic G1/S-cell cycle as a regulator of initiation and elongation of DNA replication, but little is known about its impact on ferroptosis. Here, we found that GINS4 was involved in the regulation of ferroptosis in lung adenocarcinoma (LUAD). CRISPR/Cas9-mediated GINS4 KO facilitated ferroptosis. Interestingly, depletion of GINS4 could effectively induce G1, G1/S, S, and G2/M cells to ferroptosis, especially for G2/M cells. Mechanistically, GINS4 suppressed p53 stability through activating Snail that antagonized the acetylation of p53, and p53 lysine residue 351 (K351 for human p53) was the key site for GINS4-suppressed p53-mediated ferroptosis. Together, our data demonstrate that GINS4 is a potential oncogene in LUAD that functions to destabilize p53 and then inhibits ferroptosis, providing a potential therapeutic target for LUAD.&quot;,&quot;publisher&quot;:&quot;National Academy of Sciences&quot;,&quot;issue&quot;:&quot;15&quot;,&quot;volume&quot;:&quot;120&quot;},&quot;isTemporary&quot;:false}]},{&quot;citationID&quot;:&quot;MENDELEY_CITATION_912ea156-9839-4f8a-847e-2bc8aa8812ec&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OTEyZWExNTYtOTgzOS00ZjhhLTg0N2UtMmJjOGFhODgxMmVjIiwicHJvcGVydGllcyI6eyJub3RlSW5kZXgiOjB9LCJpc0VkaXRlZCI6ZmFsc2UsIm1hbnVhbE92ZXJyaWRlIjp7ImlzTWFudWFsbHlPdmVycmlkZGVuIjpmYWxzZSwiY2l0ZXByb2NUZXh0IjoiPHN1cD43PC9zdXA+IiwibWFudWFsT3ZlcnJpZGVUZXh0IjoiIn0sImNpdGF0aW9uSXRlbXMiOlt7ImlkIjoiNGM4YzQyZGYtMTY5My0zMTFkLTkyZDMtYWIyZjNiMTlmODU1IiwiaXRlbURhdGEiOnsidHlwZSI6ImFydGljbGUtam91cm5hbCIsImlkIjoiNGM4YzQyZGYtMTY5My0zMTFkLTkyZDMtYWIyZjNiMTlmODU1IiwidGl0bGUiOiJSZWd1bGF0aW9uIGFuZCBGdW5jdGlvbiBvZiBDZHQxOyBBIEtleSBGYWN0b3IgaW4gQ2VsbCBQcm9saWZlcmF0aW9uIGFuZCBHZW5vbWUgU3RhYmlsaXR5IiwiYXV0aG9yIjpbeyJmYW1pbHkiOiJQb3pvIiwiZ2l2ZW4iOiJQZWRybyBOLiIsInBhcnNlLW5hbWVzIjpmYWxzZSwiZHJvcHBpbmctcGFydGljbGUiOiIiLCJub24tZHJvcHBpbmctcGFydGljbGUiOiIifSx7ImZhbWlseSI6IkNvb2siLCJnaXZlbiI6IkplYW5ldHRlIEdvd2VuIiwicGFyc2UtbmFtZXMiOmZhbHNlLCJkcm9wcGluZy1wYXJ0aWNsZSI6IiIsIm5vbi1kcm9wcGluZy1wYXJ0aWNsZSI6IiJ9XSwiY29udGFpbmVyLXRpdGxlIjoiR2VuZXMiLCJjb250YWluZXItdGl0bGUtc2hvcnQiOiJHZW5lcyAoQmFzZWwpIiwiYWNjZXNzZWQiOnsiZGF0ZS1wYXJ0cyI6W1syMDI0LDMsMjZdXX0sIkRPSSI6IjEwLjMzOTAvR0VORVM4MDEwMDAyIiwiSVNTTiI6IjIwNzMtNDQyNSIsIlBNSUQiOiIyODAyNTUyNiIsIlVSTCI6Ii9wbWMvYXJ0aWNsZXMvUE1DNTI5NDk5Ny8iLCJpc3N1ZWQiOnsiZGF0ZS1wYXJ0cyI6W1syMDE3LDEyLDIyXV19LCJwYWdlIjoiMiIsImFic3RyYWN0IjoiU3VjY2Vzc2Z1bCBjZWxsIHByb2xpZmVyYXRpb24gcmVxdWlyZXMgZWZmaWNpZW50IGFuZCBwcmVjaXNlIGdlbm9tZSBkdXBsaWNhdGlvbiBmb2xsb3dlZCBieSBhY2N1cmF0ZSBjaHJvbW9zb21lIHNlZ3JlZ2F0aW9uLiBUaGUgQ2RjMTAtZGVwZW5kZW50IHRyYW5zY3JpcHQgMSBwcm90ZWluIChDZHQxKSBpcyByZXF1aXJlZCBmb3IgdGhlIGZpcnN0IHN0ZXAgaW4gRE5BIHJlcGxpY2F0aW9uLCBhbmQgaW4gaHVtYW4gY2VsbHMgQ2R0MSBpcyBhbHNvIHJlcXVpcmVkIGR1cmluZyBtaXRvc2lzLiBUaWdodCBjZWxsIGN5Y2xlIGNvbnRyb2xzIG92ZXIgQ2R0MSBhYnVuZGFuY2UgYW5kIGFjdGl2aXR5IGFyZSBjcml0aWNhbCB0byBub3JtYWwgZGV2ZWxvcG1lbnQgYW5kIGdlbm9tZSBzdGFiaWxpdHkuIFdlIHJldmlldyBoZXJlIHJlY2VudCBhZHZhbmNlcyBpbiBlbHVjaWRhdGluZyBDZHQxIG1vbGVjdWxhciBmdW5jdGlvbnMgaW4gYm90aCBvcmlnaW4gbGljZW5zaW5nIGFuZCBraW5ldG9jaG9yZS1taWNyb3R1YnVsZSBhdHRhY2htZW50LCBhbmQgd2UgZGVzY3JpYmUgdGhlIGN1cnJlbnQgdW5kZXJzdGFuZGluZyBvZiBodW1hbiBDZHQxIHJlZ3VsYXRpb24uIiwicHVibGlzaGVyIjoiTXVsdGlkaXNjaXBsaW5hcnkgRGlnaXRhbCBQdWJsaXNoaW5nIEluc3RpdHV0ZSAgKE1EUEkpIiwiaXNzdWUiOiIxIiwidm9sdW1lIjoiOCJ9LCJpc1RlbXBvcmFyeSI6ZmFsc2V9XX0=&quot;,&quot;citationItems&quot;:[{&quot;id&quot;:&quot;4c8c42df-1693-311d-92d3-ab2f3b19f855&quot;,&quot;itemData&quot;:{&quot;type&quot;:&quot;article-journal&quot;,&quot;id&quot;:&quot;4c8c42df-1693-311d-92d3-ab2f3b19f855&quot;,&quot;title&quot;:&quot;Regulation and Function of Cdt1; A Key Factor in Cell Proliferation and Genome Stability&quot;,&quot;author&quot;:[{&quot;family&quot;:&quot;Pozo&quot;,&quot;given&quot;:&quot;Pedro N.&quot;,&quot;parse-names&quot;:false,&quot;dropping-particle&quot;:&quot;&quot;,&quot;non-dropping-particle&quot;:&quot;&quot;},{&quot;family&quot;:&quot;Cook&quot;,&quot;given&quot;:&quot;Jeanette Gowen&quot;,&quot;parse-names&quot;:false,&quot;dropping-particle&quot;:&quot;&quot;,&quot;non-dropping-particle&quot;:&quot;&quot;}],&quot;container-title&quot;:&quot;Genes&quot;,&quot;container-title-short&quot;:&quot;Genes (Basel)&quot;,&quot;accessed&quot;:{&quot;date-parts&quot;:[[2024,3,26]]},&quot;DOI&quot;:&quot;10.3390/GENES8010002&quot;,&quot;ISSN&quot;:&quot;2073-4425&quot;,&quot;PMID&quot;:&quot;28025526&quot;,&quot;URL&quot;:&quot;/pmc/articles/PMC5294997/&quot;,&quot;issued&quot;:{&quot;date-parts&quot;:[[2017,12,22]]},&quot;page&quot;:&quot;2&quot;,&quot;abstract&quot;:&quot;Successful cell proliferation requires efficient and precise genome duplication followed by accurate chromosome segregation. The Cdc10-dependent transcript 1 protein (Cdt1) is required for the first step in DNA replication, and in human cells Cdt1 is also required during mitosis. Tight cell cycle controls over Cdt1 abundance and activity are critical to normal development and genome stability. We review here recent advances in elucidating Cdt1 molecular functions in both origin licensing and kinetochore-microtubule attachment, and we describe the current understanding of human Cdt1 regulation.&quot;,&quot;publisher&quot;:&quot;Multidisciplinary Digital Publishing Institute  (MDPI)&quot;,&quot;issue&quot;:&quot;1&quot;,&quot;volume&quot;:&quot;8&quot;},&quot;isTemporary&quot;:false}]},{&quot;citationID&quot;:&quot;MENDELEY_CITATION_53f41842-feeb-44c3-8c4d-de64493eae70&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NTNmNDE4NDItZmVlYi00NGMzLThjNGQtZGU2NDQ5M2VhZTcwIiwicHJvcGVydGllcyI6eyJub3RlSW5kZXgiOjB9LCJpc0VkaXRlZCI6ZmFsc2UsIm1hbnVhbE92ZXJyaWRlIjp7ImlzTWFudWFsbHlPdmVycmlkZGVuIjpmYWxzZSwiY2l0ZXByb2NUZXh0IjoiPHN1cD44PC9zdXA+IiwibWFudWFsT3ZlcnJpZGVUZXh0IjoiIn0sImNpdGF0aW9uSXRlbXMiOlt7ImlkIjoiYzJkZjNlMzktMzlmZC0zZTI5LTllNWQtOGNjMGY2M2I5ODZhIiwiaXRlbURhdGEiOnsidHlwZSI6ImFydGljbGUtam91cm5hbCIsImlkIjoiYzJkZjNlMzktMzlmZC0zZTI5LTllNWQtOGNjMGY2M2I5ODZhIiwidGl0bGUiOiJNQ003IHByb21vdGVzIGNhbmNlciBwcm9ncmVzc2lvbiB0aHJvdWdoIGN5Y2xpbiBEMS1kZXBlbmRlbnQgc2lnbmFsaW5nIGFuZCBzZXJ2ZXMgYXMgYSBwcm9nbm9zdGljIG1hcmtlciBmb3IgcGF0aWVudHMgd2l0aCBoZXBhdG9jZWxsdWxhciBjYXJjaW5vbWEiLCJhdXRob3IiOlt7ImZhbWlseSI6IlF1IiwiZ2l2ZW4iOiJLYWkiLCJwYXJzZS1uYW1lcyI6ZmFsc2UsImRyb3BwaW5nLXBhcnRpY2xlIjoiIiwibm9uLWRyb3BwaW5nLXBhcnRpY2xlIjoiIn0seyJmYW1pbHkiOiJXYW5nIiwiZ2l2ZW4iOiJaaGl4aW4iLCJwYXJzZS1uYW1lcyI6ZmFsc2UsImRyb3BwaW5nLXBhcnRpY2xlIjoiIiwibm9uLWRyb3BwaW5nLXBhcnRpY2xlIjoiIn0seyJmYW1pbHkiOiJGYW4iLCJnaXZlbiI6IkhhaW5pbmciLCJwYXJzZS1uYW1lcyI6ZmFsc2UsImRyb3BwaW5nLXBhcnRpY2xlIjoiIiwibm9uLWRyb3BwaW5nLXBhcnRpY2xlIjoiIn0seyJmYW1pbHkiOiJMaSIsImdpdmVuIjoiSnVhbiIsInBhcnNlLW5hbWVzIjpmYWxzZSwiZHJvcHBpbmctcGFydGljbGUiOiIiLCJub24tZHJvcHBpbmctcGFydGljbGUiOiIifSx7ImZhbWlseSI6IkxpdSIsImdpdmVuIjoiSmllIiwicGFyc2UtbmFtZXMiOmZhbHNlLCJkcm9wcGluZy1wYXJ0aWNsZSI6IiIsIm5vbi1kcm9wcGluZy1wYXJ0aWNsZSI6IiJ9LHsiZmFtaWx5IjoiTGkiLCJnaXZlbiI6IlBpbmdwaW5nIiwicGFyc2UtbmFtZXMiOmZhbHNlLCJkcm9wcGluZy1wYXJ0aWNsZSI6IiIsIm5vbi1kcm9wcGluZy1wYXJ0aWNsZSI6IiJ9LHsiZmFtaWx5IjoiTGlhbmciLCJnaXZlbiI6IlpoZXlvbmciLCJwYXJzZS1uYW1lcyI6ZmFsc2UsImRyb3BwaW5nLXBhcnRpY2xlIjoiIiwibm9uLWRyb3BwaW5nLXBhcnRpY2xlIjoiIn0seyJmYW1pbHkiOiJBbiIsImdpdmVuIjoiSG9uZ2xpIiwicGFyc2UtbmFtZXMiOmZhbHNlLCJkcm9wcGluZy1wYXJ0aWNsZSI6IiIsIm5vbi1kcm9wcGluZy1wYXJ0aWNsZSI6IiJ9LHsiZmFtaWx5IjoiSmlhbmciLCJnaXZlbiI6IllpbmEiLCJwYXJzZS1uYW1lcyI6ZmFsc2UsImRyb3BwaW5nLXBhcnRpY2xlIjoiIiwibm9uLWRyb3BwaW5nLXBhcnRpY2xlIjoiIn0seyJmYW1pbHkiOiJMaW4iLCJnaXZlbiI6IlFpdXNoaSIsInBhcnNlLW5hbWVzIjpmYWxzZSwiZHJvcHBpbmctcGFydGljbGUiOiIiLCJub24tZHJvcHBpbmctcGFydGljbGUiOiIifSx7ImZhbWlseSI6IkRvbmciLCJnaXZlbiI6IlhpYW9xdW4iLCJwYXJzZS1uYW1lcyI6ZmFsc2UsImRyb3BwaW5nLXBhcnRpY2xlIjoiIiwibm9uLWRyb3BwaW5nLXBhcnRpY2xlIjoiIn0seyJmYW1pbHkiOiJMaXUiLCJnaXZlbiI6IlBlaWp1biIsInBhcnNlLW5hbWVzIjpmYWxzZSwiZHJvcHBpbmctcGFydGljbGUiOiIiLCJub24tZHJvcHBpbmctcGFydGljbGUiOiIifSx7ImZhbWlseSI6IkxpdSIsImdpdmVuIjoiQ2hhbmciLCJwYXJzZS1uYW1lcyI6ZmFsc2UsImRyb3BwaW5nLXBhcnRpY2xlIjoiIiwibm9uLWRyb3BwaW5nLXBhcnRpY2xlIjoiIn1dLCJjb250YWluZXItdGl0bGUiOiJDZWxsIERlYXRoICYgRGlzZWFzZSAyMDE3IDg6MiIsImFjY2Vzc2VkIjp7ImRhdGUtcGFydHMiOltbMjAyNCwzLDI2XV19LCJET0kiOiIxMC4xMDM4L2NkZGlzLjIwMTYuMzUyIiwiSVNTTiI6IjIwNDEtNDg4OSIsIlBNSUQiOiIyODE4MjAxNSIsIlVSTCI6Imh0dHBzOi8vd3d3Lm5hdHVyZS5jb20vYXJ0aWNsZXMvY2RkaXMyMDE2MzUyIiwiaXNzdWVkIjp7ImRhdGUtcGFydHMiOltbMjAxNywyLDldXX0sInBhZ2UiOiJlMjYwMy1lMjYwMyIsImFic3RyYWN0IjoiRE5BIHJlcGxpY2F0aW9uIGlzIGEgY2VudHJhbCBwcm9jZWR1cmUgb2YgY2VsbCBwcm9saWZlcmF0aW9uLCB3aGVyZWFzIGFiZXJyYW50IEROQSByZXBsaWNhdGlvbiBpcyBpbmRpY2F0ZWQgdG8gYmUgYSBkcml2aW5nIGZvcmNlIG9mIG9uY29nZW5lc2lzLiBNaW5pY2hyb21vc29tZSBtYWludGVuYW5jZSBjb21wbGV4IGNvbXBvbmVudCA3IChNQ003KSBwbGF5cyBhbiBlc3NlbnRpYWwgcm9sZSBpbiBpbml0aWF0aW5nIEROQSByZXBsaWNhdGlvbi4gVG8gaW52ZXN0aWdhdGUgdGhlIHBvdGVudGlhbCBvbmNvZ2VuaWMgcHJvcGVydGllcyBhbmQgcHJvZ25vc3RpYyB2YWx1ZSBvZiBNQ003IGluIGhlcGF0b2NlbGx1bGFyIGNhcmNpbm9tYSAoSENDKSwgd2UgY29uZHVjdGVkIGltbXVub2hpc3RvY2hlbWlzdHJ5IHN0YWluaW5nIG9mIE1DTTcgaW4gMTUzIEhDQyBzYW1wbGVzIGFuZCBmb3VuZCB0aGF0IE1DTTcgaGlnaCBleHByZXNzaW9uIGxldmVsIHdhcyBhc3NvY2lhdGVkIHdpdGggd29yc2Ugb3ZlcmFsbCBzdXJ2aXZhbCAoT1MpIG9mIEhDQyBwYXRpZW50cy4gTWVjaGFuaXN0aWNhbGx5LCBrbm9ja2Rvd24gb2YgTUNNNyBzaWduaWZpY2FudGx5IGluaGliaXRlZCBjZWxsdWxhciBwcm9saWZlcmF0aW9uIGluIHZpdHJvIGFuZCBIQ0MgdHVtb3JpZ2VuaWNpdHkgaW4gdml2by4gQ3ljbGluIEQxIHdhcyBwcm92ZWQgdG8gYmUgcmVndWxhdGVkIGJ5IE1DTTfigJNNQVBLIHNpZ25hbGluZyBwYXRod2F5LiBDbGluaWNhbGx5LCBoaWdoIGV4cHJlc3Npb24gb2YgYm90aCBNQ003IGFuZCBjeWNsaW4gRDEgZXhoaWJpdGVkIGEgcmVsYXRpdmVseSBoaWdoIHNlbnNpdGl2aXR5IGFuZCBzcGVjaWZpY2l0eSB0byBwcmVkaWN0IHdvcnNlIG91dGNvbWUgb2YgSENDIHBhdGllbnRzLiBUYWtlbiB0b2dldGhlciwgb3VyIHJlc3VsdHMgc3VnZ2VzdCB0aGF0IE1DTTfigJNjeWNsaW4gRDEgcGF0aHdheSBtYXkgcGFydGljaXBhdGUgaW4gY2FuY2VyIHByb2dyZXNzaW9uIGFuZCBzZXJ2ZSBhcyBhIGJpb21hcmtlciBmb3IgcHJvZ25vc2lzIGluIEhDQy4iLCJwdWJsaXNoZXIiOiJOYXR1cmUgUHVibGlzaGluZyBHcm91cCIsImlzc3VlIjoiMiIsInZvbHVtZSI6IjgiLCJjb250YWluZXItdGl0bGUtc2hvcnQiOiIifSwiaXNUZW1wb3JhcnkiOmZhbHNlfV19&quot;,&quot;citationItems&quot;:[{&quot;id&quot;:&quot;c2df3e39-39fd-3e29-9e5d-8cc0f63b986a&quot;,&quot;itemData&quot;:{&quot;type&quot;:&quot;article-journal&quot;,&quot;id&quot;:&quot;c2df3e39-39fd-3e29-9e5d-8cc0f63b986a&quot;,&quot;title&quot;:&quot;MCM7 promotes cancer progression through cyclin D1-dependent signaling and serves as a prognostic marker for patients with hepatocellular carcinoma&quot;,&quot;author&quot;:[{&quot;family&quot;:&quot;Qu&quot;,&quot;given&quot;:&quot;Kai&quot;,&quot;parse-names&quot;:false,&quot;dropping-particle&quot;:&quot;&quot;,&quot;non-dropping-particle&quot;:&quot;&quot;},{&quot;family&quot;:&quot;Wang&quot;,&quot;given&quot;:&quot;Zhixin&quot;,&quot;parse-names&quot;:false,&quot;dropping-particle&quot;:&quot;&quot;,&quot;non-dropping-particle&quot;:&quot;&quot;},{&quot;family&quot;:&quot;Fan&quot;,&quot;given&quot;:&quot;Haining&quot;,&quot;parse-names&quot;:false,&quot;dropping-particle&quot;:&quot;&quot;,&quot;non-dropping-particle&quot;:&quot;&quot;},{&quot;family&quot;:&quot;Li&quot;,&quot;given&quot;:&quot;Juan&quot;,&quot;parse-names&quot;:false,&quot;dropping-particle&quot;:&quot;&quot;,&quot;non-dropping-particle&quot;:&quot;&quot;},{&quot;family&quot;:&quot;Liu&quot;,&quot;given&quot;:&quot;Jie&quot;,&quot;parse-names&quot;:false,&quot;dropping-particle&quot;:&quot;&quot;,&quot;non-dropping-particle&quot;:&quot;&quot;},{&quot;family&quot;:&quot;Li&quot;,&quot;given&quot;:&quot;Pingping&quot;,&quot;parse-names&quot;:false,&quot;dropping-particle&quot;:&quot;&quot;,&quot;non-dropping-particle&quot;:&quot;&quot;},{&quot;family&quot;:&quot;Liang&quot;,&quot;given&quot;:&quot;Zheyong&quot;,&quot;parse-names&quot;:false,&quot;dropping-particle&quot;:&quot;&quot;,&quot;non-dropping-particle&quot;:&quot;&quot;},{&quot;family&quot;:&quot;An&quot;,&quot;given&quot;:&quot;Hongli&quot;,&quot;parse-names&quot;:false,&quot;dropping-particle&quot;:&quot;&quot;,&quot;non-dropping-particle&quot;:&quot;&quot;},{&quot;family&quot;:&quot;Jiang&quot;,&quot;given&quot;:&quot;Yina&quot;,&quot;parse-names&quot;:false,&quot;dropping-particle&quot;:&quot;&quot;,&quot;non-dropping-particle&quot;:&quot;&quot;},{&quot;family&quot;:&quot;Lin&quot;,&quot;given&quot;:&quot;Qiushi&quot;,&quot;parse-names&quot;:false,&quot;dropping-particle&quot;:&quot;&quot;,&quot;non-dropping-particle&quot;:&quot;&quot;},{&quot;family&quot;:&quot;Dong&quot;,&quot;given&quot;:&quot;Xiaoqun&quot;,&quot;parse-names&quot;:false,&quot;dropping-particle&quot;:&quot;&quot;,&quot;non-dropping-particle&quot;:&quot;&quot;},{&quot;family&quot;:&quot;Liu&quot;,&quot;given&quot;:&quot;Peijun&quot;,&quot;parse-names&quot;:false,&quot;dropping-particle&quot;:&quot;&quot;,&quot;non-dropping-particle&quot;:&quot;&quot;},{&quot;family&quot;:&quot;Liu&quot;,&quot;given&quot;:&quot;Chang&quot;,&quot;parse-names&quot;:false,&quot;dropping-particle&quot;:&quot;&quot;,&quot;non-dropping-particle&quot;:&quot;&quot;}],&quot;container-title&quot;:&quot;Cell Death &amp; Disease 2017 8:2&quot;,&quot;accessed&quot;:{&quot;date-parts&quot;:[[2024,3,26]]},&quot;DOI&quot;:&quot;10.1038/cddis.2016.352&quot;,&quot;ISSN&quot;:&quot;2041-4889&quot;,&quot;PMID&quot;:&quot;28182015&quot;,&quot;URL&quot;:&quot;https://www.nature.com/articles/cddis2016352&quot;,&quot;issued&quot;:{&quot;date-parts&quot;:[[2017,2,9]]},&quot;page&quot;:&quot;e2603-e2603&quot;,&quot;abstract&quot;:&quot;DNA replication is a central procedure of cell proliferation, whereas aberrant DNA replication is indicated to be a driving force of oncogenesis. Minichromosome maintenance complex component 7 (MCM7) plays an essential role in initiating DNA replication. To investigate the potential oncogenic properties and prognostic value of MCM7 in hepatocellular carcinoma (HCC), we conducted immunohistochemistry staining of MCM7 in 153 HCC samples and found that MCM7 high expression level was associated with worse overall survival (OS) of HCC patients. Mechanistically, knockdown of MCM7 significantly inhibited cellular proliferation in vitro and HCC tumorigenicity in vivo. Cyclin D1 was proved to be regulated by MCM7–MAPK signaling pathway. Clinically, high expression of both MCM7 and cyclin D1 exhibited a relatively high sensitivity and specificity to predict worse outcome of HCC patients. Taken together, our results suggest that MCM7–cyclin D1 pathway may participate in cancer progression and serve as a biomarker for prognosis in HCC.&quot;,&quot;publisher&quot;:&quot;Nature Publishing Group&quot;,&quot;issue&quot;:&quot;2&quot;,&quot;volume&quot;:&quot;8&quot;,&quot;container-title-short&quot;:&quot;&quot;},&quot;isTemporary&quot;:false}]},{&quot;citationID&quot;:&quot;MENDELEY_CITATION_8e50a126-0d12-4f9a-bfd9-0e5f811b15ab&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OGU1MGExMjYtMGQxMi00ZjlhLWJmZDktMGU1ZjgxMWIxNWFiIiwicHJvcGVydGllcyI6eyJub3RlSW5kZXgiOjB9LCJpc0VkaXRlZCI6ZmFsc2UsIm1hbnVhbE92ZXJyaWRlIjp7ImlzTWFudWFsbHlPdmVycmlkZGVuIjpmYWxzZSwiY2l0ZXByb2NUZXh0IjoiPHN1cD45PC9zdXA+IiwibWFudWFsT3ZlcnJpZGVUZXh0IjoiIn0sImNpdGF0aW9uSXRlbXMiOlt7ImlkIjoiMjM1MDI3MzctNDFhNi0zNzk0LTg1MTctODU5ZWFlNTlmMjBhIiwiaXRlbURhdGEiOnsidHlwZSI6ImFydGljbGUtam91cm5hbCIsImlkIjoiMjM1MDI3MzctNDFhNi0zNzk0LTg1MTctODU5ZWFlNTlmMjBhIiwidGl0bGUiOiJSZWd1bGF0aW9uIGFuZCByb2xlcyBvZiBDZGM3IGtpbmFzZSB1bmRlciByZXBsaWNhdGlvbiBzdHJlc3MiLCJhdXRob3IiOlt7ImZhbWlseSI6IllhbWFkYSIsImdpdmVuIjoiTWFzYXl1a2kiLCJwYXJzZS1uYW1lcyI6ZmFsc2UsImRyb3BwaW5nLXBhcnRpY2xlIjoiIiwibm9uLWRyb3BwaW5nLXBhcnRpY2xlIjoiIn0seyJmYW1pbHkiOiJNYXNhaSIsImdpdmVuIjoiSGlzYW8iLCJwYXJzZS1uYW1lcyI6ZmFsc2UsImRyb3BwaW5nLXBhcnRpY2xlIjoiIiwibm9uLWRyb3BwaW5nLXBhcnRpY2xlIjoiIn0seyJmYW1pbHkiOiJCYXJ0ZWsiLCJnaXZlbiI6IkppcmkiLCJwYXJzZS1uYW1lcyI6ZmFsc2UsImRyb3BwaW5nLXBhcnRpY2xlIjoiIiwibm9uLWRyb3BwaW5nLXBhcnRpY2xlIjoiIn1dLCJjb250YWluZXItdGl0bGUiOiJDZWxsIEN5Y2xlIiwiYWNjZXNzZWQiOnsiZGF0ZS1wYXJ0cyI6W1syMDI0LDMsMjZdXX0sIkRPSSI6IjEwLjQxNjEvQ0MuMjkyNTEiLCJJU1NOIjoiMTU1MTQwMDUiLCJQTUlEIjoiMjQ4NDE5OTIiLCJVUkwiOiIvcG1jL2FydGljbGVzL1BNQzQxMTE3NDkvIiwiaXNzdWVkIjp7ImRhdGUtcGFydHMiOltbMjAxNCw2LDZdXX0sInBhZ2UiOiIxODU5IiwiYWJzdHJhY3QiOiJDZGM3IChjZWxsIGRpdmlzaW9uIGN5Y2xlIDcpIGtpbmFzZSB0b2dldGhlciB3aXRoIGl0cyBhY3RpdmF0aW9uIHN1YnVuaXQgQVNLIChhbHNvIGtub3duIGFzIERiZjQpIHBsYXkgcGl2b3RhbCByb2xlcyBpbiBETkEgcmVwbGljYXRpb24gYW5kIGNvbnRyaWJ1dGUgYWxzbyB0byBvdGhlciBhc3BlY3RzIG9mIEROQSBtZXRhYm9saXNtIHN1Y2ggYXMgRE5BIHJlcGFpciBhbmQgcmVjb21iaW5hdGlvbi4gV2hpbGUgdGhlIGJpb2xvZ2ljYWwgc2lnbmlmaWNhbmNlIG9mIENkYzcgaXMgd2lkZWx5IGFwcHJlY2lhdGVkLCB0aGUgbW9sZWN1bGFyIG1lY2hhbmlzbXMgdGhyb3VnaCB3aGljaCBDZGM3IGtpbmFzZSByZWd1bGF0ZXMgdGhlc2UgdmFyaW91cyBETkEgdHJhbnNhY3Rpb25zIHJlbWFpbiBsYXJnZWx5IG9ic2N1cmUsIGluY2x1ZGluZyB0aGUgcm9sZSBvZiBDZGM3LUFTSy9EYmY0IHVuZGVyIHJlcGxpY2F0aW9uIHN0cmVzcywgYSBjb25kaXRpb24gYXNzb2NpYXRlZCB3aXRoIGRpdmVyc2UgKHBhdGhvKXBoeXNpb2xvZ2ljYWwgc2NlbmFyaW9zLiBJbiB0aGlzIHJldmlldywgd2UgZmlyc3QgaGlnaGxpZ2h0IHRoZSByZWNlbnQgZmluZGluZ3Mgb24gYSBub3ZlbCBwYXRod2F5IHRoYXQgcmVndWxhdGVzIHRoZSBzdGFiaWxpdHkgb2YgdGhlIGh1bWFuIENkYzctQVNLL0RiZjQgY29tcGxleCB1bmRlciByZXBsaWNhdGlvbiBzdHJlc3MsIGl0cyBpbnRlcnBsYXkgd2l0aCBBVFItQ2hrMSBzaWduYWxpbmcsIGFuZCBzaWduaWZpY2FuY2UgaW4gdGhlIFJBRDE4LWRlcGVuZGVudCBETkEgZGFtYWdlIGJ5cGFzcyBwYXRod2F5LiBXZSBhbHNvIGNvbnNpZGVyIENkYzcgZnVuY3Rpb24gaW4gYSBicm9hZGVyIGNvbnRleHQsIGNvbnNpZGVyaW5nIGJvdGggcGh5c2lvbG9naWNhbCBjb25kaXRpb25zIGFuZCBwYXRob2xvZ2llcyBhc3NvY2lhdGVkIHdpdGggZW5oYW5jZWQgcmVwbGljYXRpb24gc3RyZXNzLCBwYXJ0aWN1bGFybHkgb25jb2dlbmljIHRyYW5zZm9ybWF0aW9uIGFuZCB0dW1vcmlnZW5lc2lzLiBGdXJ0aGVybW9yZSwgd2UgaW50ZWdyYXRlIHRoZSBlbWVyZ2luZyBldmlkZW5jZSBhbmQgcHJvcG9zZSBhIGNvbmNlcHQgb2YgQ2RjNy1BU0svRGJmNCBjb250cmlidXRpbmcgdG8gZ2Vub21lIGludGVncml0eSBtYWludGVuYW5jZSwgdGhyb3VnaCBpbnRlcnBsYXkgd2l0aCBSQUQxOCB0aGF0IGNhbiBzZXJ2ZSBhcyBhIG1vbGVjdWxhciBzd2l0Y2ggdG8gZGljdGF0ZSBETkEgcmVwYWlyIHBhdGh3YXkgY2hvaWNlLiBGaW5hbGx5LCB3ZSBkaXNjdXNzIHRoZSBwb3NzaWJpbGl0eSBvZiB0YXJnZXRpbmcgQ2RjNywgcGFydGljdWxhcmx5IGluIHRoZSBjb250ZXh0IG9mIHRoZSBDZGM3L1JBRDE4LWRlcGVuZGVudCB0cmFuc2xlc2lvbiBzeW50aGVzaXMsIGFzIGEgcG90ZW50aWFsIGlubm92YXRpdmUgc3RyYXRlZ3kgZm9yIHRyZWF0bWVudCBvZiBjYW5jZXIuIMKpIDIwMTQgTGFuZGVzIEJpb3NjaWVuY2UuIiwicHVibGlzaGVyIjoiVGF5bG9yICYgRnJhbmNpcyIsImlzc3VlIjoiMTIiLCJ2b2x1bWUiOiIxMyIsImNvbnRhaW5lci10aXRsZS1zaG9ydCI6IiJ9LCJpc1RlbXBvcmFyeSI6ZmFsc2V9XX0=&quot;,&quot;citationItems&quot;:[{&quot;id&quot;:&quot;23502737-41a6-3794-8517-859eae59f20a&quot;,&quot;itemData&quot;:{&quot;type&quot;:&quot;article-journal&quot;,&quot;id&quot;:&quot;23502737-41a6-3794-8517-859eae59f20a&quot;,&quot;title&quot;:&quot;Regulation and roles of Cdc7 kinase under replication stress&quot;,&quot;author&quot;:[{&quot;family&quot;:&quot;Yamada&quot;,&quot;given&quot;:&quot;Masayuki&quot;,&quot;parse-names&quot;:false,&quot;dropping-particle&quot;:&quot;&quot;,&quot;non-dropping-particle&quot;:&quot;&quot;},{&quot;family&quot;:&quot;Masai&quot;,&quot;given&quot;:&quot;Hisao&quot;,&quot;parse-names&quot;:false,&quot;dropping-particle&quot;:&quot;&quot;,&quot;non-dropping-particle&quot;:&quot;&quot;},{&quot;family&quot;:&quot;Bartek&quot;,&quot;given&quot;:&quot;Jiri&quot;,&quot;parse-names&quot;:false,&quot;dropping-particle&quot;:&quot;&quot;,&quot;non-dropping-particle&quot;:&quot;&quot;}],&quot;container-title&quot;:&quot;Cell Cycle&quot;,&quot;accessed&quot;:{&quot;date-parts&quot;:[[2024,3,26]]},&quot;DOI&quot;:&quot;10.4161/CC.29251&quot;,&quot;ISSN&quot;:&quot;15514005&quot;,&quot;PMID&quot;:&quot;24841992&quot;,&quot;URL&quot;:&quot;/pmc/articles/PMC4111749/&quot;,&quot;issued&quot;:{&quot;date-parts&quot;:[[2014,6,6]]},&quot;page&quot;:&quot;1859&quot;,&quot;abstract&quot;:&quot;Cdc7 (cell division cycle 7) kinase together with its activation subunit ASK (also known as Dbf4) play pivotal roles in DNA replication and contribute also to other aspects of DNA metabolism such as DNA repair and recombination. While the biological significance of Cdc7 is widely appreciated, the molecular mechanisms through which Cdc7 kinase regulates these various DNA transactions remain largely obscure, including the role of Cdc7-ASK/Dbf4 under replication stress, a condition associated with diverse (patho)physiological scenarios. In this review, we first highlight the recent findings on a novel pathway that regulates the stability of the human Cdc7-ASK/Dbf4 complex under replication stress, its interplay with ATR-Chk1 signaling, and significance in the RAD18-dependent DNA damage bypass pathway. We also consider Cdc7 function in a broader context, considering both physiological conditions and pathologies associated with enhanced replication stress, particularly oncogenic transformation and tumorigenesis. Furthermore, we integrate the emerging evidence and propose a concept of Cdc7-ASK/Dbf4 contributing to genome integrity maintenance, through interplay with RAD18 that can serve as a molecular switch to dictate DNA repair pathway choice. Finally, we discuss the possibility of targeting Cdc7, particularly in the context of the Cdc7/RAD18-dependent translesion synthesis, as a potential innovative strategy for treatment of cancer. © 2014 Landes Bioscience.&quot;,&quot;publisher&quot;:&quot;Taylor &amp; Francis&quot;,&quot;issue&quot;:&quot;12&quot;,&quot;volume&quot;:&quot;13&quot;,&quot;container-title-short&quot;:&quot;&quot;},&quot;isTemporary&quot;:false}]},{&quot;citationID&quot;:&quot;MENDELEY_CITATION_e11cfe82-c559-49c5-b380-8f5daf837ac4&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ZTExY2ZlODItYzU1OS00OWM1LWIzODAtOGY1ZGFmODM3YWM0IiwicHJvcGVydGllcyI6eyJub3RlSW5kZXgiOjB9LCJpc0VkaXRlZCI6ZmFsc2UsIm1hbnVhbE92ZXJyaWRlIjp7ImlzTWFudWFsbHlPdmVycmlkZGVuIjpmYWxzZSwiY2l0ZXByb2NUZXh0IjoiPHN1cD4xMDwvc3VwPiIsIm1hbnVhbE92ZXJyaWRlVGV4dCI6IiJ9LCJjaXRhdGlvbkl0ZW1zIjpbeyJpZCI6IjUyMTBjOGYyLTkxMzQtMzRmNy04OWI1LWJmOGQ0MDY1NTA5MiIsIml0ZW1EYXRhIjp7InR5cGUiOiJhcnRpY2xlLWpvdXJuYWwiLCJpZCI6IjUyMTBjOGYyLTkxMzQtMzRmNy04OWI1LWJmOGQ0MDY1NTA5MiIsInRpdGxlIjoiQ29tcHJlaGVuc2l2ZSBhbmFseXNpcyBvZiBHSU5TIHN1YnVuaXRzIHByb2dub3N0aWMgdmFsdWUgYW5kIGNlUk5BIG5ldHdvcmsgaW4gc2FyY29tYSIsImF1dGhvciI6W3siZmFtaWx5IjoiWmhvdSIsImdpdmVuIjoiQ2h1cWlhbyIsInBhcnNlLW5hbWVzIjpmYWxzZSwiZHJvcHBpbmctcGFydGljbGUiOiIiLCJub24tZHJvcHBpbmctcGFydGljbGUiOiIifSx7ImZhbWlseSI6IkNoZW4iLCJnaXZlbiI6IlpodW95dWFuIiwicGFyc2UtbmFtZXMiOmZhbHNlLCJkcm9wcGluZy1wYXJ0aWNsZSI6IiIsIm5vbi1kcm9wcGluZy1wYXJ0aWNsZSI6IiJ9LHsiZmFtaWx5IjoiWGlhbyIsImdpdmVuIjoiQm8iLCJwYXJzZS1uYW1lcyI6ZmFsc2UsImRyb3BwaW5nLXBhcnRpY2xlIjoiIiwibm9uLWRyb3BwaW5nLXBhcnRpY2xlIjoiIn0seyJmYW1pbHkiOiJYaWFuZyIsImdpdmVuIjoiQ2hlbmciLCJwYXJzZS1uYW1lcyI6ZmFsc2UsImRyb3BwaW5nLXBhcnRpY2xlIjoiIiwibm9uLWRyb3BwaW5nLXBhcnRpY2xlIjoiIn0seyJmYW1pbHkiOiJMaSIsImdpdmVuIjoiQW95dSIsInBhcnNlLW5hbWVzIjpmYWxzZSwiZHJvcHBpbmctcGFydGljbGUiOiIiLCJub24tZHJvcHBpbmctcGFydGljbGUiOiIifSx7ImZhbWlseSI6IlpoYW8iLCJnaXZlbiI6IlppeXVlIiwicGFyc2UtbmFtZXMiOmZhbHNlLCJkcm9wcGluZy1wYXJ0aWNsZSI6IiIsIm5vbi1kcm9wcGluZy1wYXJ0aWNsZSI6IiJ9LHsiZmFtaWx5IjoiTGkiLCJnaXZlbiI6Ikh1aSIsInBhcnNlLW5hbWVzIjpmYWxzZSwiZHJvcHBpbmctcGFydGljbGUiOiIiLCJub24tZHJvcHBpbmctcGFydGljbGUiOiIifV0sImNvbnRhaW5lci10aXRsZSI6IkZyb250aWVycyBpbiBDZWxsIGFuZCBEZXZlbG9wbWVudGFsIEJpb2xvZ3kiLCJjb250YWluZXItdGl0bGUtc2hvcnQiOiJGcm9udCBDZWxsIERldiBCaW9sIiwiYWNjZXNzZWQiOnsiZGF0ZS1wYXJ0cyI6W1syMDI0LDMsMjZdXX0sIkRPSSI6IjEwLjMzODkvRkNFTEwuMjAyMi45NTEzNjMvQklCVEVYIiwiSVNTTiI6IjIyOTY2MzRYIiwiaXNzdWVkIjp7ImRhdGUtcGFydHMiOltbMjAyMiw4LDI2XV19LCJwYWdlIjoiOTUxMzYzIiwiYWJzdHJhY3QiOiJCYWNrZ3JvdW5kOiBUaGUgR0lOUyBjb21wbGV4LCBjb21wb3NlZCBvZiBHSU5TMS8yLzMvNCBzdWJ1bml0cywgaXMgYW4gZXNzZW50aWFsIHN0cnVjdHVyZSBvZiBDZGM0NS1NQ00tR0lOUyAoQ01HKSBoZWxpY2FzZSBhbmQgcGxheXMgYSB2aXRhbCByb2xlIGluIGVzdGFibGlzaGluZyB0aGUgRE5BIHJlcGxpY2F0aW9uIGZvcmsgYW5kIGNocm9tb3NvbWUgcmVwbGljYXRpb24uIE1lYW53aGlsZSwgR0lOUyBnZW5lcyBoYXZlIGJlZW4gYXNzb2NpYXRlZCB3aXRoIHRoZSBwb29yIHByb2dub3NpcyBvZiB2YXJpb3VzIG1hbGlnbmFuY2llcy4gSG93ZXZlciwgdGhlIGFibm9ybWFsIGV4cHJlc3Npb24gb2YgR0lOUyBnZW5lcyBhbmQgdGhlaXIgZGlhZ25vc3RpYyBhbmQgcHJvZ25vc3RpYyB2YWx1ZSBpbiBzYXJjb21hcyAoU0FSQykgcmVtYWluIHVuY2xlYXIuIE1ldGhvZHM6IE9uY29taW5lLCBHZW5lIEV4cHJlc3Npb24gUHJvZmlsaW5nIEludGVyYWN0aXZlIEFuYWx5c2lzIChHRVBJQSksIEthcGxhbi1NZWllciBQbG90dGVyLCBDYW5jZXIgY2VsbCBsaW5lIGVuY3ljbG9wZWRpYSAoQ0NMRSksIFRoZSBVbml2ZXJzaXR5IG9mIEFsYWJhbWEgYXQgQmlybWluZ2hhbSBDYW5jZXIgRGF0YSBBbmFseXNpcyBQb3J0YWwgKFVBTENBTiksIFIgc3R1ZGlvLCBhbmQgVHVtb3IgSW1tdW5lIEVzdGltYXRpb24gUmVzb3VyY2UgKFRJTUVSKSB3ZXJlIHVzZWQgdG8gYW5hbHl6ZSB0aGUgZXhwcmVzc2lvbiBwcm9maWxlcywgcHJvZ25vc3RpYyB2YWx1ZSwgYmlvbG9naWNhbCBmdW5jdGlvbiwgY2VSTkEsIGFuZCBpbW11bmUgaW5maWx0cmF0aW9uIGFzc29jaWF0ZWQgd2l0aCBHSU5TIGdlbmVzIGluIHNhcmNvbWFzLiBSZXN1bHRzOiBXZSBmb3VuZCB0aGF0IEdJTlMxLzIvMy80IGdlbmVzIGV4aGliaXRlZCBzaWduaWZpY2FudGx5IHVwcmVndWxhdGVkIHRyYW5zY3JpcHRpb24gbGV2ZWxzIGluIFNBUkMgc2FtcGxlcyBjb21wYXJlZCB0byBub24tdHVtb3IgdGlzc3VlcyBhbmQgZXhoaWJpdGVkIGhpZ2ggZXhwcmVzc2lvbiBsZXZlbHMgaW4gc2FyY29tYSBjZWxsIGxpbmVzLiBJbiBhZGRpdGlvbiwgU0FSQyBwYXRpZW50cyB3aXRoIGluY3JlYXNlZCBleHByZXNzaW9uIGxldmVscyBvZiBHSU5TMS8yLzMvNCBzaG93ZWQgcG9vcmVyIHN1cnZpdmFsIHJhdGVzLiBJbW11bmUgaW5maWx0cmF0aW9uIGFuYWx5c2lzIHNob3dlZCB0aGF0IEdJTlMgc3VidW5pdHMgd2VyZSBjbG9zZWx5IGFzc29jaWF0ZWQgd2l0aCB0aGUgaW5maWx0cmF0aW9uIG9mIGltbXVuZSBjZWxscyBpbiBzYXJjb21hcy4gQ29uY2x1c2lvbjogT3VyIHJlc2VhcmNoIGlkZW50aWZpZWQgR0lOUyBzdWJ1bml0cyBhcyBwb3RlbnRpYWwgZGlhZ25vc3RpYyBhbmQgcHJvZ25vc3RpYyBiaW9sb2dpY2FsIHRhcmdldHMgaW4gU0FSQyBhbmQgZWx1Y2lkYXRlZCB0aGVpciB1bmRlcmx5aW5nIGVmZmVjdHMgaW4gdGhlIGdlbmVzaXMgYW5kIHByb2dyZXNzaW9uIG9mIFNBUkMuIFRoZXNlIHJlc3VsdHMgbWF5IHByb3ZpZGUgbmV3IG9wcG9ydHVuaXRpZXMgYW5kIHJlc2VhcmNoIGRpcmVjdGlvbnMgZm9yIHRhcmdldGVkIHNhcmNvbWEgdGhlcmFweS4iLCJwdWJsaXNoZXIiOiJGcm9udGllcnMgTWVkaWEgUy5BLiIsInZvbHVtZSI6IjEwIn0sImlzVGVtcG9yYXJ5IjpmYWxzZX1dfQ==&quot;,&quot;citationItems&quot;:[{&quot;id&quot;:&quot;5210c8f2-9134-34f7-89b5-bf8d40655092&quot;,&quot;itemData&quot;:{&quot;type&quot;:&quot;article-journal&quot;,&quot;id&quot;:&quot;5210c8f2-9134-34f7-89b5-bf8d40655092&quot;,&quot;title&quot;:&quot;Comprehensive analysis of GINS subunits prognostic value and ceRNA network in sarcoma&quot;,&quot;author&quot;:[{&quot;family&quot;:&quot;Zhou&quot;,&quot;given&quot;:&quot;Chuqiao&quot;,&quot;parse-names&quot;:false,&quot;dropping-particle&quot;:&quot;&quot;,&quot;non-dropping-particle&quot;:&quot;&quot;},{&quot;family&quot;:&quot;Chen&quot;,&quot;given&quot;:&quot;Zhuoyuan&quot;,&quot;parse-names&quot;:false,&quot;dropping-particle&quot;:&quot;&quot;,&quot;non-dropping-particle&quot;:&quot;&quot;},{&quot;family&quot;:&quot;Xiao&quot;,&quot;given&quot;:&quot;Bo&quot;,&quot;parse-names&quot;:false,&quot;dropping-particle&quot;:&quot;&quot;,&quot;non-dropping-particle&quot;:&quot;&quot;},{&quot;family&quot;:&quot;Xiang&quot;,&quot;given&quot;:&quot;Cheng&quot;,&quot;parse-names&quot;:false,&quot;dropping-particle&quot;:&quot;&quot;,&quot;non-dropping-particle&quot;:&quot;&quot;},{&quot;family&quot;:&quot;Li&quot;,&quot;given&quot;:&quot;Aoyu&quot;,&quot;parse-names&quot;:false,&quot;dropping-particle&quot;:&quot;&quot;,&quot;non-dropping-particle&quot;:&quot;&quot;},{&quot;family&quot;:&quot;Zhao&quot;,&quot;given&quot;:&quot;Ziyue&quot;,&quot;parse-names&quot;:false,&quot;dropping-particle&quot;:&quot;&quot;,&quot;non-dropping-particle&quot;:&quot;&quot;},{&quot;family&quot;:&quot;Li&quot;,&quot;given&quot;:&quot;Hui&quot;,&quot;parse-names&quot;:false,&quot;dropping-particle&quot;:&quot;&quot;,&quot;non-dropping-particle&quot;:&quot;&quot;}],&quot;container-title&quot;:&quot;Frontiers in Cell and Developmental Biology&quot;,&quot;container-title-short&quot;:&quot;Front Cell Dev Biol&quot;,&quot;accessed&quot;:{&quot;date-parts&quot;:[[2024,3,26]]},&quot;DOI&quot;:&quot;10.3389/FCELL.2022.951363/BIBTEX&quot;,&quot;ISSN&quot;:&quot;2296634X&quot;,&quot;issued&quot;:{&quot;date-parts&quot;:[[2022,8,26]]},&quot;page&quot;:&quot;951363&quot;,&quot;abstract&quot;:&quot;Background: The GINS complex, composed of GINS1/2/3/4 subunits, is an essential structure of Cdc45-MCM-GINS (CMG) helicase and plays a vital role in establishing the DNA replication fork and chromosome replication. Meanwhile, GINS genes have been associated with the poor prognosis of various malignancies. However, the abnormal expression of GINS genes and their diagnostic and prognostic value in sarcomas (SARC) remain unclear. Methods: Oncomine, Gene Expression Profiling Interactive Analysis (GEPIA), Kaplan-Meier Plotter, Cancer cell line encyclopedia (CCLE), The University of Alabama at Birmingham Cancer Data Analysis Portal (UALCAN), R studio, and Tumor Immune Estimation Resource (TIMER) were used to analyze the expression profiles, prognostic value, biological function, ceRNA, and immune infiltration associated with GINS genes in sarcomas. Results: We found that GINS1/2/3/4 genes exhibited significantly upregulated transcription levels in SARC samples compared to non-tumor tissues and exhibited high expression levels in sarcoma cell lines. In addition, SARC patients with increased expression levels of GINS1/2/3/4 showed poorer survival rates. Immune infiltration analysis showed that GINS subunits were closely associated with the infiltration of immune cells in sarcomas. Conclusion: Our research identified GINS subunits as potential diagnostic and prognostic biological targets in SARC and elucidated their underlying effects in the genesis and progression of SARC. These results may provide new opportunities and research directions for targeted sarcoma therapy.&quot;,&quot;publisher&quot;:&quot;Frontiers Media S.A.&quot;,&quot;volume&quot;:&quot;10&quot;},&quot;isTemporary&quot;:false}]},{&quot;citationID&quot;:&quot;MENDELEY_CITATION_8b61a555-8bd8-4d00-a3da-0506af3291a6&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OGI2MWE1NTUtOGJkOC00ZDAwLWEzZGEtMDUwNmFmMzI5MWE2IiwicHJvcGVydGllcyI6eyJub3RlSW5kZXgiOjB9LCJpc0VkaXRlZCI6ZmFsc2UsIm1hbnVhbE92ZXJyaWRlIjp7ImlzTWFudWFsbHlPdmVycmlkZGVuIjpmYWxzZSwiY2l0ZXByb2NUZXh0IjoiPHN1cD4xMTwvc3VwPiIsIm1hbnVhbE92ZXJyaWRlVGV4dCI6IiJ9LCJjaXRhdGlvbkl0ZW1zIjpbeyJpZCI6ImMzNTg3ZTNiLTUzOTAtMzBiMi1hMmVlLTBiYzdlYTcyNDFkMSIsIml0ZW1EYXRhIjp7InR5cGUiOiJhcnRpY2xlLWpvdXJuYWwiLCJpZCI6ImMzNTg3ZTNiLTUzOTAtMzBiMi1hMmVlLTBiYzdlYTcyNDFkMSIsInRpdGxlIjoiU3RydWN0dXJlIG9mIGh1bWFuIENkYzQ1IGFuZCBpbXBsaWNhdGlvbnMgZm9yIENNRyBoZWxpY2FzZSBmdW5jdGlvbiIsImF1dGhvciI6W3siZmFtaWx5IjoiU2ltb24iLCJnaXZlbiI6IkFsaW5lIEMuIiwicGFyc2UtbmFtZXMiOmZhbHNlLCJkcm9wcGluZy1wYXJ0aWNsZSI6IiIsIm5vbi1kcm9wcGluZy1wYXJ0aWNsZSI6IiJ9LHsiZmFtaWx5IjoiU2FubmlubyIsImdpdmVuIjoiVmluY2Vuem8iLCJwYXJzZS1uYW1lcyI6ZmFsc2UsImRyb3BwaW5nLXBhcnRpY2xlIjoiIiwibm9uLWRyb3BwaW5nLXBhcnRpY2xlIjoiIn0seyJmYW1pbHkiOiJDb3N0YW56byIsImdpdmVuIjoiVmluY2Vuem8iLCJwYXJzZS1uYW1lcyI6ZmFsc2UsImRyb3BwaW5nLXBhcnRpY2xlIjoiIiwibm9uLWRyb3BwaW5nLXBhcnRpY2xlIjoiIn0seyJmYW1pbHkiOiJQZWxsZWdyaW5pIiwiZ2l2ZW4iOiJMdWNhIiwicGFyc2UtbmFtZXMiOmZhbHNlLCJkcm9wcGluZy1wYXJ0aWNsZSI6IiIsIm5vbi1kcm9wcGluZy1wYXJ0aWNsZSI6IiJ9XSwiY29udGFpbmVyLXRpdGxlIjoiTmF0dXJlIENvbW11bmljYXRpb25zIDIwMTYgNzoxIiwiYWNjZXNzZWQiOnsiZGF0ZS1wYXJ0cyI6W1syMDI0LDMsMjZdXX0sIkRPSSI6IjEwLjEwMzgvbmNvbW1zMTE2MzgiLCJJU1NOIjoiMjA0MS0xNzIzIiwiUE1JRCI6IjI3MTg5MTg3IiwiVVJMIjoiaHR0cHM6Ly93d3cubmF0dXJlLmNvbS9hcnRpY2xlcy9uY29tbXMxMTYzOCIsImlzc3VlZCI6eyJkYXRlLXBhcnRzIjpbWzIwMTYsNSwxOF1dfSwicGFnZSI6IjEtMTUiLCJhYnN0cmFjdCI6IkNlbGwgZGl2aXNpb24gY3ljbGUgcHJvdGVpbiA0NSAoQ2RjNDUpIGlzIHJlcXVpcmVkIGZvciBETkEgc3ludGhlc2lzIGR1cmluZyBnZW5vbWUgZHVwbGljYXRpb24sIGFzIGEgY29tcG9uZW50IG9mIHRoZSBDZGM0NS1NQ00tR0lOUyAoQ01HKSBoZWxpY2FzZS4gRGVzcGl0ZSBpdHMgZXNzZW50aWFsIGJpb2xvZ2ljYWwgZnVuY3Rpb24sIGl0cyBiaW9jaGVtaWNhbCByb2xlIGluIEROQSByZXBsaWNhdGlvbiBoYXMgcmVtYWluZWQgZWx1c2l2ZS4gSGVyZSB3ZSByZXBvcnQgdGhlIDIuMS3DhSBjcnlzdGFsIHN0cnVjdHVyZSBvZiBodW1hbiBDZGM0NSwgd2hpY2ggY29uZmlybXMgaXRzIGV2b2x1dGlvbmFyeSBsaW5rIHdpdGggdGhlIGJhY3RlcmlhbCBSZWNKIG51Y2xlYXNlIGFuZCByZXZlYWxzIHNldmVyYWwgdW5leHBlY3RlZCBmZWF0dXJlcyB0aGF0IHVuZGVycGluIGl0cyBmdW5jdGlvbiBpbiBldWthcnlvdGljIEROQSByZXBsaWNhdGlvbi4gVGhlc2UgaW5jbHVkZSBhIGxvbmctcmFuZ2UgaW50ZXJhY3Rpb24gYmV0d2VlbiBOLSBhbmQgQy10ZXJtaW5hbCBESEggZG9tYWlucywgYmxvY2tpbmcgYWNjZXNzIHRvIHRoZSBETkEtYmluZGluZyBncm9vdmUgb2YgaXRzIFJlY0otbGlrZSBmb2xkLCBhbmQgYSBoZWxpY2FsIGluc2VydGlvbiBpbiBpdHMgTi10ZXJtaW5hbCBESEggZG9tYWluLCB3aGljaCBhcHBlYXJzIHBvaXNlZCBmb3IgcmVwbGlzb21lIGludGVyYWN0aW9ucy4gSW4gY29tYmluYXRpb24gd2l0aCBhdmFpbGFibGUgZWxlY3Ryb24gbWljcm9zY29weSBkYXRhLCB3ZSB2YWxpZGF0ZSBieSBtdXRhdGlvbmFsIGFuYWx5c2lzIHRoZSBtZWNoYW5pc20gb2YgQ2RjNDUgYXNzb2NpYXRpb24gd2l0aCB0aGUgTUNNIHJpbmcgYW5kIEdJTlMgY28tYWN0aXZhdG9yLCBjcml0aWNhbCBmb3IgQ01HIGFzc2VtYmx5LiBUaGVzZSBmaW5kaW5ncyBwcm92aWRlIGFuIGluZGlzcGVuc2FibGUgbW9sZWN1bGFyIGJhc2lzIHRvIHJhdGlvbmFsaXplIHRoZSBlc3NlbnRpYWwgcm9sZSBvZiBDZGM0NSBpbiBnZW5vbWljIGR1cGxpY2F0aW9uLiBUaGUgY2VsbCBjeWNsZSBkaXZpc2lvbiBwcm90ZWluIENkYzQ1IGlzIHJlcXVpcmVkIGZvciBnZW5vbWUgZHVwbGljYXRpb24gaW4gZXVrYXJ5b3Rlcy4gSGVyZSwgdGhlIGF1dGhvcnMgZGV0ZXJtaW5lIHRoZSBjcnlzdGFsIHN0cnVjdHVyZSBvZiBodW1hbiBDZGM0NSBhbmQgY29tYmluZSBpdCB3aXRoIGZ1bmN0aW9uYWwgZGF0YSB0byBpbXByb3ZlIG91ciB1bmRlcnN0YW5kaW5nIG9mIGl0cyByb2xlIGluIEROQSByZXBsaWNhdGlvbi4iLCJwdWJsaXNoZXIiOiJOYXR1cmUgUHVibGlzaGluZyBHcm91cCIsImlzc3VlIjoiMSIsInZvbHVtZSI6IjciLCJjb250YWluZXItdGl0bGUtc2hvcnQiOiIifSwiaXNUZW1wb3JhcnkiOmZhbHNlfV19&quot;,&quot;citationItems&quot;:[{&quot;id&quot;:&quot;c3587e3b-5390-30b2-a2ee-0bc7ea7241d1&quot;,&quot;itemData&quot;:{&quot;type&quot;:&quot;article-journal&quot;,&quot;id&quot;:&quot;c3587e3b-5390-30b2-a2ee-0bc7ea7241d1&quot;,&quot;title&quot;:&quot;Structure of human Cdc45 and implications for CMG helicase function&quot;,&quot;author&quot;:[{&quot;family&quot;:&quot;Simon&quot;,&quot;given&quot;:&quot;Aline C.&quot;,&quot;parse-names&quot;:false,&quot;dropping-particle&quot;:&quot;&quot;,&quot;non-dropping-particle&quot;:&quot;&quot;},{&quot;family&quot;:&quot;Sannino&quot;,&quot;given&quot;:&quot;Vincenzo&quot;,&quot;parse-names&quot;:false,&quot;dropping-particle&quot;:&quot;&quot;,&quot;non-dropping-particle&quot;:&quot;&quot;},{&quot;family&quot;:&quot;Costanzo&quot;,&quot;given&quot;:&quot;Vincenzo&quot;,&quot;parse-names&quot;:false,&quot;dropping-particle&quot;:&quot;&quot;,&quot;non-dropping-particle&quot;:&quot;&quot;},{&quot;family&quot;:&quot;Pellegrini&quot;,&quot;given&quot;:&quot;Luca&quot;,&quot;parse-names&quot;:false,&quot;dropping-particle&quot;:&quot;&quot;,&quot;non-dropping-particle&quot;:&quot;&quot;}],&quot;container-title&quot;:&quot;Nature Communications 2016 7:1&quot;,&quot;accessed&quot;:{&quot;date-parts&quot;:[[2024,3,26]]},&quot;DOI&quot;:&quot;10.1038/ncomms11638&quot;,&quot;ISSN&quot;:&quot;2041-1723&quot;,&quot;PMID&quot;:&quot;27189187&quot;,&quot;URL&quot;:&quot;https://www.nature.com/articles/ncomms11638&quot;,&quot;issued&quot;:{&quot;date-parts&quot;:[[2016,5,18]]},&quot;page&quot;:&quot;1-15&quot;,&quot;abstract&quot;:&quot;Cell division cycle protein 45 (Cdc45) is required for DNA synthesis during genome duplication, as a component of the Cdc45-MCM-GINS (CMG) helicase. Despite its essential biological function, its biochemical role in DNA replication has remained elusive. Here we report the 2.1-Å crystal structure of human Cdc45, which confirms its evolutionary link with the bacterial RecJ nuclease and reveals several unexpected features that underpin its function in eukaryotic DNA replication. These include a long-range interaction between N- and C-terminal DHH domains, blocking access to the DNA-binding groove of its RecJ-like fold, and a helical insertion in its N-terminal DHH domain, which appears poised for replisome interactions. In combination with available electron microscopy data, we validate by mutational analysis the mechanism of Cdc45 association with the MCM ring and GINS co-activator, critical for CMG assembly. These findings provide an indispensable molecular basis to rationalize the essential role of Cdc45 in genomic duplication. The cell cycle division protein Cdc45 is required for genome duplication in eukaryotes. Here, the authors determine the crystal structure of human Cdc45 and combine it with functional data to improve our understanding of its role in DNA replication.&quot;,&quot;publisher&quot;:&quot;Nature Publishing Group&quot;,&quot;issue&quot;:&quot;1&quot;,&quot;volume&quot;:&quot;7&quot;,&quot;container-title-short&quot;:&quot;&quot;},&quot;isTemporary&quot;:false}]}]"/>
    <we:property name="MENDELEY_CITATIONS_LOCALE_CODE" value="&quot;en-GB&quot;"/>
    <we:property name="MENDELEY_CITATIONS_STYLE" value="{&quot;id&quot;:&quot;https://www.zotero.org/styles/scientific-reports&quot;,&quot;title&quot;:&quot;Scientific Reports&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452730-049A-48C9-B4E0-6BFF96E3C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482</Words>
  <Characters>2751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 Mostafa Kamal</dc:creator>
  <cp:keywords/>
  <dc:description/>
  <cp:lastModifiedBy>170501025</cp:lastModifiedBy>
  <cp:revision>3</cp:revision>
  <dcterms:created xsi:type="dcterms:W3CDTF">2024-11-09T09:04:00Z</dcterms:created>
  <dcterms:modified xsi:type="dcterms:W3CDTF">2024-11-09T09:10:00Z</dcterms:modified>
</cp:coreProperties>
</file>