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C0111" w14:textId="53C2982F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 w:rsidRPr="004D3EB3">
        <w:rPr>
          <w:rFonts w:ascii="Times New Roman" w:eastAsia="Times New Roman" w:hAnsi="Times New Roman" w:cs="Times New Roman" w:hint="eastAsia"/>
          <w:b/>
          <w:bCs/>
          <w:sz w:val="18"/>
          <w:szCs w:val="18"/>
        </w:rPr>
        <w:t>S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1. The flow chart.</w:t>
      </w:r>
    </w:p>
    <w:p w14:paraId="21F1C8B6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WGCNA: weighted gene co-expression network analysis; </w:t>
      </w:r>
      <w:proofErr w:type="spellStart"/>
      <w:proofErr w:type="gramStart"/>
      <w:r w:rsidRPr="00471D02">
        <w:rPr>
          <w:rFonts w:ascii="Times New Roman" w:eastAsia="Times New Roman" w:hAnsi="Times New Roman" w:cs="Times New Roman"/>
          <w:sz w:val="18"/>
          <w:szCs w:val="18"/>
        </w:rPr>
        <w:t>cforest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:Conditional</w:t>
      </w:r>
      <w:proofErr w:type="gram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Inference Random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Forest;LASSO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least absolute shrinkage and selection operator; NB: naive Bayes; GBM: gradient boosting machine;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avNNet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model averaged neural network;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pda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>: penalized discriminant analysis; PPI: protein-protein interaction.</w:t>
      </w:r>
    </w:p>
    <w:p w14:paraId="53ADB84C" w14:textId="6B552826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 w:rsidRPr="004D3EB3">
        <w:rPr>
          <w:rFonts w:ascii="Times New Roman" w:eastAsia="Times New Roman" w:hAnsi="Times New Roman" w:cs="Times New Roman" w:hint="eastAsia"/>
          <w:b/>
          <w:bCs/>
          <w:sz w:val="18"/>
          <w:szCs w:val="18"/>
        </w:rPr>
        <w:t>S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2. ESTIMATE analysis in the sepsis dataset</w:t>
      </w:r>
    </w:p>
    <w:p w14:paraId="4A840EB4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t>(A)Distribution heat map of matrix score, immune score, ESTIMATE score and tumor purity in the sepsis dataset, purple represents high score and blue represents low score;(</w:t>
      </w:r>
      <w:proofErr w:type="gramStart"/>
      <w:r w:rsidRPr="00471D02">
        <w:rPr>
          <w:rFonts w:ascii="Times New Roman" w:eastAsia="Times New Roman" w:hAnsi="Times New Roman" w:cs="Times New Roman"/>
          <w:sz w:val="18"/>
          <w:szCs w:val="18"/>
        </w:rPr>
        <w:t>B)Distribution</w:t>
      </w:r>
      <w:proofErr w:type="gram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of stromal scores between sepsis and non-sepsis patients; (C) distribution of tumor purity between sepsis and non-sepsis patients; (D) distribution of estimated scores between patients with sepsis and those without sepsis; (E) Distribution of immune scores between patients with sepsis and those without sepsis.</w:t>
      </w:r>
    </w:p>
    <w:p w14:paraId="4734FA17" w14:textId="33D90E33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 w:rsidRPr="004D3EB3">
        <w:rPr>
          <w:rFonts w:ascii="Times New Roman" w:eastAsia="Times New Roman" w:hAnsi="Times New Roman" w:cs="Times New Roman" w:hint="eastAsia"/>
          <w:b/>
          <w:bCs/>
          <w:sz w:val="18"/>
          <w:szCs w:val="18"/>
        </w:rPr>
        <w:t>S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3. WGCNA analysis in sepsis dataset</w:t>
      </w:r>
    </w:p>
    <w:p w14:paraId="566B1102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t>(A)Soft threshold display in scale-free network; (B) the average connectivity of different soft thresholds in scale-free networks; (C) gene-gene clustering tree; WGCNA, weighted gene correlation network analysis.</w:t>
      </w:r>
    </w:p>
    <w:p w14:paraId="7A61A1C2" w14:textId="68C00943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 w:rsidRPr="004D3EB3">
        <w:rPr>
          <w:rFonts w:ascii="Times New Roman" w:eastAsia="Times New Roman" w:hAnsi="Times New Roman" w:cs="Times New Roman" w:hint="eastAsia"/>
          <w:b/>
          <w:bCs/>
          <w:sz w:val="18"/>
          <w:szCs w:val="18"/>
        </w:rPr>
        <w:t>S4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. Functional enrichment analysis of GO and KEGG</w:t>
      </w:r>
    </w:p>
    <w:p w14:paraId="0E877FF3" w14:textId="77777777" w:rsidR="00930B83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(A)</w:t>
      </w:r>
      <w:r w:rsidRPr="00471D02">
        <w:rPr>
          <w:rFonts w:ascii="Times New Roman" w:eastAsia="Times New Roman" w:hAnsi="Times New Roman" w:cs="Times New Roman"/>
          <w:sz w:val="18"/>
          <w:szCs w:val="18"/>
        </w:rPr>
        <w:t>KEGG functional enrichment analysis based on the sepsis dataset; And (B) GO functional enrichment analysis based on the sepsis dataset. KEGG: Kyoto Encyclopedia of Genes and Genomes; GO: Gene Ontology.</w:t>
      </w:r>
    </w:p>
    <w:p w14:paraId="30F73F04" w14:textId="7FFA17E3" w:rsidR="00930B83" w:rsidRPr="00471D02" w:rsidRDefault="00930B83" w:rsidP="00930B8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bookmarkStart w:id="0" w:name="OLE_LINK15"/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S5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a. Contribution of different features to predicted values in different models based on the sepsis training dataset</w:t>
      </w:r>
    </w:p>
    <w:p w14:paraId="18395193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(A) Contribution of 11 IIRGs to the predicted value in the NB model; (B) the contribution of 11 IIRGs to the predicted value in the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LogiBoost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(C) the contribution of 11 IIRGs to the predicted value in GBM model; (D) the contribution of 11 IIRGs to predicted value in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cforest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(E) the contribution of 11 IIRGs to predicted value in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avNNet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And (F) the contribution of 11 IIRGs to the predicted value in the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pda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model. </w:t>
      </w:r>
      <w:proofErr w:type="spellStart"/>
      <w:proofErr w:type="gramStart"/>
      <w:r w:rsidRPr="00471D02">
        <w:rPr>
          <w:rFonts w:ascii="Times New Roman" w:eastAsia="Times New Roman" w:hAnsi="Times New Roman" w:cs="Times New Roman"/>
          <w:sz w:val="18"/>
          <w:szCs w:val="18"/>
        </w:rPr>
        <w:t>IIRGs:important</w:t>
      </w:r>
      <w:proofErr w:type="spellEnd"/>
      <w:proofErr w:type="gram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immune-related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genes;NB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naive Bayes; GBM: gradient boosting machine;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avNNet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model averaged neural network;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pda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>: penalized discriminant analysis.</w:t>
      </w:r>
    </w:p>
    <w:bookmarkEnd w:id="0"/>
    <w:p w14:paraId="69FB3510" w14:textId="23F956A7" w:rsidR="00930B83" w:rsidRPr="00471D02" w:rsidRDefault="00930B83" w:rsidP="00930B8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S5</w:t>
      </w:r>
      <w:r w:rsidRPr="00471D02">
        <w:rPr>
          <w:rFonts w:ascii="Times New Roman" w:eastAsia="Times New Roman" w:hAnsi="Times New Roman" w:cs="Times New Roman"/>
          <w:b/>
          <w:bCs/>
          <w:sz w:val="18"/>
          <w:szCs w:val="18"/>
        </w:rPr>
        <w:t>b. Contribution of different features to the predicted value in different models based on the sepsis training dataset</w:t>
      </w:r>
    </w:p>
    <w:p w14:paraId="652F9DA6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(A) Contribution of 11 IIRGs to the predicted value in the NB model; (B) the contribution of 11 IIRGs to the predicted value in the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LogiBoost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(C) the contribution of 11 IIRGs to the predicted value in GBM model; (D) the contribution of 11 IIRGs to predicted value in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cforest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(E) the contribution of 11 IIRGs to predicted value in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avNNet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model; And (F) the contribution of 11 IIRGs to the predicted value in the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pda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model. </w:t>
      </w:r>
      <w:proofErr w:type="spellStart"/>
      <w:proofErr w:type="gramStart"/>
      <w:r w:rsidRPr="00471D02">
        <w:rPr>
          <w:rFonts w:ascii="Times New Roman" w:eastAsia="Times New Roman" w:hAnsi="Times New Roman" w:cs="Times New Roman"/>
          <w:sz w:val="18"/>
          <w:szCs w:val="18"/>
        </w:rPr>
        <w:t>IIRGs:important</w:t>
      </w:r>
      <w:proofErr w:type="spellEnd"/>
      <w:proofErr w:type="gram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immune-related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genes;NB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naive Bayes; GBM: gradient boosting machine;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avNNet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: model averaged neural network;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pda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>: penalized discriminant analysis.</w:t>
      </w:r>
    </w:p>
    <w:p w14:paraId="6E651BD6" w14:textId="587432C8" w:rsidR="00930B83" w:rsidRPr="00FC28BC" w:rsidRDefault="00930B83" w:rsidP="00930B8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C28B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S6</w:t>
      </w:r>
      <w:r w:rsidRPr="00FC28BC">
        <w:rPr>
          <w:rFonts w:ascii="Times New Roman" w:eastAsia="Times New Roman" w:hAnsi="Times New Roman" w:cs="Times New Roman"/>
          <w:b/>
          <w:bCs/>
          <w:sz w:val="18"/>
          <w:szCs w:val="18"/>
        </w:rPr>
        <w:t>. Correlation analysis of expression of 11 IIRGs in the sepsis dataset and immune infiltration in patients</w:t>
      </w:r>
    </w:p>
    <w:p w14:paraId="37E9D867" w14:textId="77777777" w:rsidR="00930B83" w:rsidRPr="00471D02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(A) Correlation analysis between the expression of 11 IIRGs and immune cell infiltration in 22 of CIBERSORT algorithm; (B) Correlation analysis between the expression of 11 IIRGs and immune cell infiltration in 24 in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ssGSEA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 xml:space="preserve"> algorithm. </w:t>
      </w:r>
      <w:proofErr w:type="spellStart"/>
      <w:r w:rsidRPr="00471D02">
        <w:rPr>
          <w:rFonts w:ascii="Times New Roman" w:eastAsia="Times New Roman" w:hAnsi="Times New Roman" w:cs="Times New Roman"/>
          <w:sz w:val="18"/>
          <w:szCs w:val="18"/>
        </w:rPr>
        <w:t>ssGSEA</w:t>
      </w:r>
      <w:proofErr w:type="spellEnd"/>
      <w:r w:rsidRPr="00471D02">
        <w:rPr>
          <w:rFonts w:ascii="Times New Roman" w:eastAsia="Times New Roman" w:hAnsi="Times New Roman" w:cs="Times New Roman"/>
          <w:sz w:val="18"/>
          <w:szCs w:val="18"/>
        </w:rPr>
        <w:t>: single sample Gene Set Enrichment Analysis; Blue for negative correlation, purple for positive correlation. IIRGs: important immune-related genes.</w:t>
      </w:r>
    </w:p>
    <w:p w14:paraId="36B2BA68" w14:textId="62FD7594" w:rsidR="00930B83" w:rsidRPr="00FC28BC" w:rsidRDefault="00930B83" w:rsidP="004D3EB3">
      <w:pPr>
        <w:pStyle w:val="a9"/>
        <w:widowControl/>
        <w:spacing w:line="360" w:lineRule="auto"/>
        <w:ind w:left="360" w:rightChars="242" w:right="532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C28B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Figure </w:t>
      </w:r>
      <w:r w:rsidRPr="004D3EB3">
        <w:rPr>
          <w:rFonts w:ascii="Times New Roman" w:eastAsia="Times New Roman" w:hAnsi="Times New Roman" w:cs="Times New Roman" w:hint="eastAsia"/>
          <w:b/>
          <w:bCs/>
          <w:sz w:val="18"/>
          <w:szCs w:val="18"/>
        </w:rPr>
        <w:t>S7</w:t>
      </w:r>
      <w:r w:rsidRPr="00FC28BC">
        <w:rPr>
          <w:rFonts w:ascii="Times New Roman" w:eastAsia="Times New Roman" w:hAnsi="Times New Roman" w:cs="Times New Roman"/>
          <w:b/>
          <w:bCs/>
          <w:sz w:val="18"/>
          <w:szCs w:val="18"/>
        </w:rPr>
        <w:t>. PPI analysis of 11 IIRGs</w:t>
      </w:r>
    </w:p>
    <w:p w14:paraId="01A5F915" w14:textId="77777777" w:rsidR="00930B83" w:rsidRPr="00FC28BC" w:rsidRDefault="00930B83" w:rsidP="004D3EB3">
      <w:pPr>
        <w:pStyle w:val="a9"/>
        <w:widowControl/>
        <w:spacing w:line="360" w:lineRule="auto"/>
        <w:ind w:left="360" w:rightChars="242" w:right="53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C28BC">
        <w:rPr>
          <w:rFonts w:ascii="Times New Roman" w:eastAsia="Times New Roman" w:hAnsi="Times New Roman" w:cs="Times New Roman"/>
          <w:sz w:val="18"/>
          <w:szCs w:val="18"/>
        </w:rPr>
        <w:t>PPI</w:t>
      </w:r>
      <w:r w:rsidRPr="00FC28BC">
        <w:rPr>
          <w:rFonts w:ascii="Times New Roman" w:eastAsia="Times New Roman" w:hAnsi="Times New Roman" w:cs="Times New Roman" w:hint="eastAsia"/>
          <w:sz w:val="18"/>
          <w:szCs w:val="18"/>
        </w:rPr>
        <w:t xml:space="preserve"> analysis of 11 </w:t>
      </w:r>
      <w:r w:rsidRPr="00FC28BC">
        <w:rPr>
          <w:rFonts w:ascii="Times New Roman" w:eastAsia="Times New Roman" w:hAnsi="Times New Roman" w:cs="Times New Roman"/>
          <w:sz w:val="18"/>
          <w:szCs w:val="18"/>
        </w:rPr>
        <w:t>IIRGs</w:t>
      </w:r>
      <w:r w:rsidRPr="00FC28BC">
        <w:rPr>
          <w:rFonts w:ascii="Times New Roman" w:eastAsia="Times New Roman" w:hAnsi="Times New Roman" w:cs="Times New Roman" w:hint="eastAsia"/>
          <w:sz w:val="18"/>
          <w:szCs w:val="18"/>
        </w:rPr>
        <w:t xml:space="preserve"> </w:t>
      </w:r>
      <w:r w:rsidRPr="00FC28BC">
        <w:rPr>
          <w:rFonts w:ascii="Times New Roman" w:eastAsia="Times New Roman" w:hAnsi="Times New Roman" w:cs="Times New Roman"/>
          <w:sz w:val="18"/>
          <w:szCs w:val="18"/>
        </w:rPr>
        <w:t>in STRING database</w:t>
      </w:r>
      <w:r w:rsidRPr="00FC28BC">
        <w:rPr>
          <w:rFonts w:ascii="Times New Roman" w:eastAsia="Times New Roman" w:hAnsi="Times New Roman" w:cs="Times New Roman" w:hint="eastAsia"/>
          <w:sz w:val="18"/>
          <w:szCs w:val="18"/>
        </w:rPr>
        <w:t xml:space="preserve">. PPI, </w:t>
      </w:r>
      <w:r w:rsidRPr="00FC28BC">
        <w:rPr>
          <w:rFonts w:ascii="Times New Roman" w:eastAsia="Times New Roman" w:hAnsi="Times New Roman" w:cs="Times New Roman"/>
          <w:sz w:val="18"/>
          <w:szCs w:val="18"/>
        </w:rPr>
        <w:t>protein-protein</w:t>
      </w:r>
      <w:r w:rsidRPr="00FC28BC">
        <w:rPr>
          <w:rFonts w:ascii="Times New Roman" w:eastAsia="Times New Roman" w:hAnsi="Times New Roman" w:cs="Times New Roman" w:hint="eastAsia"/>
          <w:sz w:val="18"/>
          <w:szCs w:val="18"/>
        </w:rPr>
        <w:t xml:space="preserve"> interaction.</w:t>
      </w:r>
      <w:r w:rsidRPr="00FC28BC">
        <w:rPr>
          <w:rFonts w:ascii="Times New Roman" w:eastAsia="Times New Roman" w:hAnsi="Times New Roman" w:cs="Times New Roman"/>
          <w:sz w:val="18"/>
          <w:szCs w:val="18"/>
        </w:rPr>
        <w:t xml:space="preserve"> IIRGs: important immune-related genes</w:t>
      </w:r>
    </w:p>
    <w:p w14:paraId="70D9B723" w14:textId="77777777" w:rsidR="00930B83" w:rsidRDefault="00930B83" w:rsidP="00930B83">
      <w:pPr>
        <w:rPr>
          <w:rFonts w:hint="eastAsia"/>
        </w:rPr>
      </w:pPr>
    </w:p>
    <w:p w14:paraId="6132DD6E" w14:textId="77777777" w:rsidR="00930B83" w:rsidRPr="00551EBE" w:rsidRDefault="00930B83" w:rsidP="00930B83">
      <w:pPr>
        <w:rPr>
          <w:rFonts w:hint="eastAsia"/>
        </w:rPr>
      </w:pPr>
    </w:p>
    <w:p w14:paraId="0DA483C5" w14:textId="70759885" w:rsidR="005F79F5" w:rsidRPr="00930B83" w:rsidRDefault="005F79F5">
      <w:pPr>
        <w:rPr>
          <w:rFonts w:hint="eastAsia"/>
        </w:rPr>
      </w:pPr>
    </w:p>
    <w:sectPr w:rsidR="005F79F5" w:rsidRPr="00930B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A0D7" w14:textId="77777777" w:rsidR="00D154EC" w:rsidRDefault="00D154EC" w:rsidP="00930B8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11506C" w14:textId="77777777" w:rsidR="00D154EC" w:rsidRDefault="00D154EC" w:rsidP="00930B8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77D60" w14:textId="77777777" w:rsidR="00D154EC" w:rsidRDefault="00D154EC" w:rsidP="00930B8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D94B8FA" w14:textId="77777777" w:rsidR="00D154EC" w:rsidRDefault="00D154EC" w:rsidP="00930B8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D3"/>
    <w:rsid w:val="00143895"/>
    <w:rsid w:val="004D3EB3"/>
    <w:rsid w:val="005E2063"/>
    <w:rsid w:val="005E24D3"/>
    <w:rsid w:val="005F79F5"/>
    <w:rsid w:val="00835FBC"/>
    <w:rsid w:val="00930B83"/>
    <w:rsid w:val="009E1C3D"/>
    <w:rsid w:val="00D1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7E400"/>
  <w15:chartTrackingRefBased/>
  <w15:docId w15:val="{6B26ADE0-4EA1-4920-BAC0-F065360F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24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5E24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4D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4D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4D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4D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4D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4D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24D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2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rsid w:val="005E2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24D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24D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E24D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24D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24D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24D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24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2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4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24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2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24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24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24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2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24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24D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30B8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30B8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30B8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30B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weichuan xiong</dc:creator>
  <cp:keywords/>
  <dc:description/>
  <cp:lastModifiedBy>weichuan xiong</cp:lastModifiedBy>
  <cp:revision>3</cp:revision>
  <dcterms:created xsi:type="dcterms:W3CDTF">2025-02-06T05:09:00Z</dcterms:created>
  <dcterms:modified xsi:type="dcterms:W3CDTF">2025-02-06T05:26:00Z</dcterms:modified>
</cp:coreProperties>
</file>