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0"/>
      </w:tblGrid>
      <w:tr w14:paraId="537A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4" w:hRule="atLeast"/>
        </w:trPr>
        <w:tc>
          <w:tcPr>
            <w:tcW w:w="7720" w:type="dxa"/>
          </w:tcPr>
          <w:p w14:paraId="3B8AE762">
            <w:pPr>
              <w:spacing w:beforeLines="50" w:line="288" w:lineRule="auto"/>
              <w:rPr>
                <w:rFonts w:hint="eastAsia" w:eastAsia="宋体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 w14:paraId="14715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7720" w:type="dxa"/>
          </w:tcPr>
          <w:p w14:paraId="6872701E">
            <w:pPr>
              <w:snapToGrid w:val="0"/>
              <w:spacing w:line="480" w:lineRule="exact"/>
              <w:jc w:val="both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val="en-US" w:eastAsia="zh-CN"/>
              </w:rPr>
              <w:t>Supplementary Figures 1 .Calibration plots for 3-year, 5-year, and 10-year survival predictions.</w:t>
            </w:r>
          </w:p>
          <w:p w14:paraId="0794C450">
            <w:pPr>
              <w:snapToGrid w:val="0"/>
              <w:spacing w:line="48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val="en-US" w:eastAsia="zh-CN"/>
              </w:rPr>
              <w:t>(A-C) Calibration plots for all-cause mortality , demonstrating the agreement between predicted probabilities and observed outcomes.</w:t>
            </w: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val="en-US" w:eastAsia="zh-CN"/>
              </w:rPr>
              <w:t>(D-F) Calibration plots for cardiovascular disease (CVD) mortality, assessing the alignment of predicted and observed survival probabilities.</w:t>
            </w:r>
          </w:p>
        </w:tc>
      </w:tr>
    </w:tbl>
    <w:p w14:paraId="044248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A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2025-02-28T13:40:36Z</dcterms:created>
  <dc:creator>hua</dc:creator>
  <cp:lastModifiedBy>ArztDecin</cp:lastModifiedBy>
  <dcterms:modified xsi:type="dcterms:W3CDTF">2025-02-28T13:40:47Z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eyJoZGlkIjoiYzRmZWQxOTljNGNlZTczY2YzMjBkYmNiOTllNzZhZDEiLCJ1c2VySWQiOiI1MzIwMjc3MDIifQ==</vt:lpwstr>
  </property>
  <property fmtid="{D5CDD505-2E9C-101B-9397-08002B2CF9AE}" pid="4" name="ICV">
    <vt:lpwstr>651A4CD59556413CBEBDB02CEF935491_12</vt:lpwstr>
  </property>
</Properties>
</file>