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77AB69" w14:textId="77777777" w:rsidR="00085E86" w:rsidRPr="00140B99" w:rsidRDefault="00085E86" w:rsidP="00085E86">
      <w:pPr>
        <w:spacing w:after="120" w:line="480" w:lineRule="auto"/>
        <w:rPr>
          <w:rFonts w:ascii="Times New Roman" w:eastAsia="Calibri" w:hAnsi="Times New Roman" w:cs="Times New Roman"/>
          <w:b/>
          <w:bCs/>
          <w:sz w:val="24"/>
          <w:szCs w:val="24"/>
        </w:rPr>
      </w:pPr>
      <w:bookmarkStart w:id="0" w:name="_GoBack"/>
      <w:r>
        <w:rPr>
          <w:rFonts w:ascii="Times New Roman" w:eastAsia="Calibri" w:hAnsi="Times New Roman" w:cs="Times New Roman"/>
          <w:b/>
          <w:bCs/>
          <w:sz w:val="24"/>
          <w:szCs w:val="24"/>
        </w:rPr>
        <w:t>S</w:t>
      </w:r>
      <w:r w:rsidRPr="00140B99">
        <w:rPr>
          <w:rFonts w:ascii="Times New Roman" w:eastAsia="Calibri" w:hAnsi="Times New Roman" w:cs="Times New Roman"/>
          <w:b/>
          <w:bCs/>
          <w:sz w:val="24"/>
          <w:szCs w:val="24"/>
        </w:rPr>
        <w:t>upplementary Information</w:t>
      </w:r>
    </w:p>
    <w:p w14:paraId="67F7CE15" w14:textId="77777777" w:rsidR="00085E86" w:rsidRPr="00E84658" w:rsidRDefault="00085E86" w:rsidP="00085E86">
      <w:pPr>
        <w:spacing w:after="0" w:line="480" w:lineRule="auto"/>
        <w:jc w:val="both"/>
        <w:rPr>
          <w:rFonts w:ascii="Times New Roman" w:eastAsia="Calibri" w:hAnsi="Times New Roman" w:cs="Times New Roman"/>
          <w:sz w:val="24"/>
          <w:szCs w:val="24"/>
        </w:rPr>
      </w:pPr>
      <w:r>
        <w:rPr>
          <w:rFonts w:ascii="Times New Roman" w:eastAsia="Calibri" w:hAnsi="Times New Roman" w:cs="Times New Roman"/>
          <w:b/>
          <w:bCs/>
          <w:sz w:val="24"/>
          <w:szCs w:val="24"/>
        </w:rPr>
        <w:t xml:space="preserve">Supplementary </w:t>
      </w:r>
      <w:r w:rsidRPr="00E84658">
        <w:rPr>
          <w:rFonts w:ascii="Times New Roman" w:eastAsia="Calibri" w:hAnsi="Times New Roman" w:cs="Times New Roman"/>
          <w:b/>
          <w:bCs/>
          <w:sz w:val="24"/>
          <w:szCs w:val="24"/>
        </w:rPr>
        <w:t xml:space="preserve">Table </w:t>
      </w:r>
      <w:r>
        <w:rPr>
          <w:rFonts w:ascii="Times New Roman" w:eastAsia="Calibri" w:hAnsi="Times New Roman" w:cs="Times New Roman"/>
          <w:b/>
          <w:bCs/>
          <w:sz w:val="24"/>
          <w:szCs w:val="24"/>
        </w:rPr>
        <w:t>S</w:t>
      </w:r>
      <w:r w:rsidRPr="00E84658">
        <w:rPr>
          <w:rFonts w:ascii="Times New Roman" w:eastAsia="Calibri" w:hAnsi="Times New Roman" w:cs="Times New Roman"/>
          <w:b/>
          <w:bCs/>
          <w:sz w:val="24"/>
          <w:szCs w:val="24"/>
        </w:rPr>
        <w:t>1</w:t>
      </w:r>
      <w:r>
        <w:rPr>
          <w:rFonts w:ascii="Times New Roman" w:eastAsia="Calibri" w:hAnsi="Times New Roman" w:cs="Times New Roman"/>
          <w:b/>
          <w:bCs/>
          <w:sz w:val="24"/>
          <w:szCs w:val="24"/>
        </w:rPr>
        <w:t xml:space="preserve">: </w:t>
      </w:r>
      <w:r w:rsidRPr="00E84658">
        <w:rPr>
          <w:rFonts w:ascii="Times New Roman" w:eastAsia="Calibri" w:hAnsi="Times New Roman" w:cs="Times New Roman"/>
          <w:b/>
          <w:bCs/>
          <w:sz w:val="24"/>
          <w:szCs w:val="24"/>
        </w:rPr>
        <w:t xml:space="preserve"> Summary statistics of the subjects in the cohort</w:t>
      </w:r>
    </w:p>
    <w:tbl>
      <w:tblPr>
        <w:tblStyle w:val="GridTable1Light-Accent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876"/>
        <w:gridCol w:w="1524"/>
        <w:gridCol w:w="1510"/>
        <w:gridCol w:w="2027"/>
        <w:gridCol w:w="1527"/>
      </w:tblGrid>
      <w:tr w:rsidR="00085E86" w:rsidRPr="00140B99" w14:paraId="0DF06E6A" w14:textId="77777777" w:rsidTr="00727472">
        <w:trPr>
          <w:cnfStyle w:val="100000000000" w:firstRow="1" w:lastRow="0" w:firstColumn="0" w:lastColumn="0" w:oddVBand="0" w:evenVBand="0" w:oddHBand="0" w:evenHBand="0" w:firstRowFirstColumn="0" w:firstRowLastColumn="0" w:lastRowFirstColumn="0" w:lastRowLastColumn="0"/>
          <w:trHeight w:val="320"/>
        </w:trPr>
        <w:tc>
          <w:tcPr>
            <w:tcW w:w="1519" w:type="pct"/>
          </w:tcPr>
          <w:p w14:paraId="28A9EE0C" w14:textId="77777777" w:rsidR="00085E86" w:rsidRPr="00140B99" w:rsidRDefault="00085E86" w:rsidP="00727472">
            <w:pPr>
              <w:pStyle w:val="Compact"/>
              <w:rPr>
                <w:rFonts w:ascii="Times New Roman" w:hAnsi="Times New Roman" w:cs="Times New Roman"/>
                <w:sz w:val="22"/>
                <w:szCs w:val="22"/>
                <w:lang w:val="en-GB"/>
              </w:rPr>
            </w:pPr>
            <w:r w:rsidRPr="00140B99">
              <w:rPr>
                <w:rFonts w:ascii="Times New Roman" w:hAnsi="Times New Roman" w:cs="Times New Roman"/>
                <w:sz w:val="22"/>
                <w:szCs w:val="22"/>
                <w:lang w:val="en-GB"/>
              </w:rPr>
              <w:t>Characteristic</w:t>
            </w:r>
            <w:r w:rsidRPr="00140B99">
              <w:rPr>
                <w:rFonts w:ascii="Times New Roman" w:hAnsi="Times New Roman" w:cs="Times New Roman"/>
                <w:b w:val="0"/>
                <w:bCs w:val="0"/>
                <w:sz w:val="22"/>
                <w:szCs w:val="22"/>
                <w:lang w:val="en-GB"/>
              </w:rPr>
              <w:t>s</w:t>
            </w:r>
          </w:p>
        </w:tc>
        <w:tc>
          <w:tcPr>
            <w:tcW w:w="805" w:type="pct"/>
          </w:tcPr>
          <w:p w14:paraId="1A1E03D9" w14:textId="77777777" w:rsidR="00085E86" w:rsidRPr="00140B99" w:rsidRDefault="00085E86" w:rsidP="00727472">
            <w:pPr>
              <w:pStyle w:val="Compact"/>
              <w:jc w:val="center"/>
              <w:rPr>
                <w:rFonts w:ascii="Times New Roman" w:hAnsi="Times New Roman" w:cs="Times New Roman"/>
                <w:sz w:val="22"/>
                <w:szCs w:val="22"/>
                <w:lang w:val="en-GB"/>
              </w:rPr>
            </w:pPr>
            <w:r w:rsidRPr="00140B99">
              <w:rPr>
                <w:rFonts w:ascii="Times New Roman" w:hAnsi="Times New Roman" w:cs="Times New Roman"/>
                <w:sz w:val="22"/>
                <w:szCs w:val="22"/>
                <w:lang w:val="en-GB"/>
              </w:rPr>
              <w:t>AML, N = 7</w:t>
            </w:r>
          </w:p>
        </w:tc>
        <w:tc>
          <w:tcPr>
            <w:tcW w:w="798" w:type="pct"/>
          </w:tcPr>
          <w:p w14:paraId="0C866C3C" w14:textId="77777777" w:rsidR="00085E86" w:rsidRPr="00140B99" w:rsidRDefault="00085E86" w:rsidP="00727472">
            <w:pPr>
              <w:pStyle w:val="Compact"/>
              <w:jc w:val="center"/>
              <w:rPr>
                <w:rFonts w:ascii="Times New Roman" w:hAnsi="Times New Roman" w:cs="Times New Roman"/>
                <w:sz w:val="22"/>
                <w:szCs w:val="22"/>
                <w:lang w:val="en-GB"/>
              </w:rPr>
            </w:pPr>
            <w:r w:rsidRPr="00140B99">
              <w:rPr>
                <w:rFonts w:ascii="Times New Roman" w:hAnsi="Times New Roman" w:cs="Times New Roman"/>
                <w:sz w:val="22"/>
                <w:szCs w:val="22"/>
                <w:lang w:val="en-GB"/>
              </w:rPr>
              <w:t>CLL, N = 4</w:t>
            </w:r>
          </w:p>
        </w:tc>
        <w:tc>
          <w:tcPr>
            <w:tcW w:w="1071" w:type="pct"/>
          </w:tcPr>
          <w:p w14:paraId="1BF2E974" w14:textId="77777777" w:rsidR="00085E86" w:rsidRPr="00140B99" w:rsidRDefault="00085E86" w:rsidP="00727472">
            <w:pPr>
              <w:pStyle w:val="Compact"/>
              <w:jc w:val="center"/>
              <w:rPr>
                <w:rFonts w:ascii="Times New Roman" w:hAnsi="Times New Roman" w:cs="Times New Roman"/>
                <w:sz w:val="22"/>
                <w:szCs w:val="22"/>
                <w:lang w:val="en-GB"/>
              </w:rPr>
            </w:pPr>
            <w:r w:rsidRPr="00140B99">
              <w:rPr>
                <w:rFonts w:ascii="Times New Roman" w:hAnsi="Times New Roman" w:cs="Times New Roman"/>
                <w:sz w:val="22"/>
                <w:szCs w:val="22"/>
                <w:lang w:val="en-GB"/>
              </w:rPr>
              <w:t>CML, N = 30</w:t>
            </w:r>
          </w:p>
        </w:tc>
        <w:tc>
          <w:tcPr>
            <w:tcW w:w="807" w:type="pct"/>
          </w:tcPr>
          <w:p w14:paraId="50F2CEB2" w14:textId="77777777" w:rsidR="00085E86" w:rsidRPr="00140B99" w:rsidRDefault="00085E86" w:rsidP="00727472">
            <w:pPr>
              <w:pStyle w:val="Compact"/>
              <w:jc w:val="center"/>
              <w:rPr>
                <w:rFonts w:ascii="Times New Roman" w:hAnsi="Times New Roman" w:cs="Times New Roman"/>
                <w:sz w:val="22"/>
                <w:szCs w:val="22"/>
                <w:lang w:val="en-GB"/>
              </w:rPr>
            </w:pPr>
            <w:r w:rsidRPr="00140B99">
              <w:rPr>
                <w:rFonts w:ascii="Times New Roman" w:hAnsi="Times New Roman" w:cs="Times New Roman"/>
                <w:sz w:val="22"/>
                <w:szCs w:val="22"/>
                <w:lang w:val="en-GB"/>
              </w:rPr>
              <w:t>p-value</w:t>
            </w:r>
          </w:p>
        </w:tc>
      </w:tr>
      <w:tr w:rsidR="00085E86" w:rsidRPr="00140B99" w14:paraId="16D945C3" w14:textId="77777777" w:rsidTr="00727472">
        <w:trPr>
          <w:trHeight w:val="320"/>
        </w:trPr>
        <w:tc>
          <w:tcPr>
            <w:tcW w:w="1519" w:type="pct"/>
          </w:tcPr>
          <w:p w14:paraId="5BC893A0" w14:textId="77777777" w:rsidR="00085E86" w:rsidRPr="00140B99" w:rsidRDefault="00085E86" w:rsidP="00727472">
            <w:pPr>
              <w:pStyle w:val="Compact"/>
              <w:rPr>
                <w:rFonts w:ascii="Times New Roman" w:hAnsi="Times New Roman" w:cs="Times New Roman"/>
                <w:b/>
                <w:bCs/>
                <w:sz w:val="22"/>
                <w:szCs w:val="22"/>
                <w:lang w:val="en-GB"/>
              </w:rPr>
            </w:pPr>
            <w:r w:rsidRPr="00140B99">
              <w:rPr>
                <w:rFonts w:ascii="Times New Roman" w:hAnsi="Times New Roman" w:cs="Times New Roman"/>
                <w:b/>
                <w:bCs/>
                <w:sz w:val="22"/>
                <w:szCs w:val="22"/>
                <w:lang w:val="en-GB"/>
              </w:rPr>
              <w:t>Age, median (IQR)</w:t>
            </w:r>
          </w:p>
        </w:tc>
        <w:tc>
          <w:tcPr>
            <w:tcW w:w="805" w:type="pct"/>
          </w:tcPr>
          <w:p w14:paraId="38D44707" w14:textId="77777777" w:rsidR="00085E86" w:rsidRPr="00140B99" w:rsidRDefault="00085E86" w:rsidP="00727472">
            <w:pPr>
              <w:pStyle w:val="Compact"/>
              <w:jc w:val="center"/>
              <w:rPr>
                <w:rFonts w:ascii="Times New Roman" w:hAnsi="Times New Roman" w:cs="Times New Roman"/>
                <w:sz w:val="22"/>
                <w:szCs w:val="22"/>
                <w:lang w:val="en-GB"/>
              </w:rPr>
            </w:pPr>
            <w:r w:rsidRPr="00140B99">
              <w:rPr>
                <w:rFonts w:ascii="Times New Roman" w:hAnsi="Times New Roman" w:cs="Times New Roman"/>
                <w:sz w:val="22"/>
                <w:szCs w:val="22"/>
                <w:lang w:val="en-GB"/>
              </w:rPr>
              <w:t>58 (28, 74)</w:t>
            </w:r>
          </w:p>
        </w:tc>
        <w:tc>
          <w:tcPr>
            <w:tcW w:w="798" w:type="pct"/>
          </w:tcPr>
          <w:p w14:paraId="42B5B295" w14:textId="77777777" w:rsidR="00085E86" w:rsidRPr="00140B99" w:rsidRDefault="00085E86" w:rsidP="00727472">
            <w:pPr>
              <w:pStyle w:val="Compact"/>
              <w:jc w:val="center"/>
              <w:rPr>
                <w:rFonts w:ascii="Times New Roman" w:hAnsi="Times New Roman" w:cs="Times New Roman"/>
                <w:sz w:val="22"/>
                <w:szCs w:val="22"/>
                <w:lang w:val="en-GB"/>
              </w:rPr>
            </w:pPr>
            <w:r w:rsidRPr="00140B99">
              <w:rPr>
                <w:rFonts w:ascii="Times New Roman" w:hAnsi="Times New Roman" w:cs="Times New Roman"/>
                <w:sz w:val="22"/>
                <w:szCs w:val="22"/>
                <w:lang w:val="en-GB"/>
              </w:rPr>
              <w:t>63 (62, 64)</w:t>
            </w:r>
          </w:p>
        </w:tc>
        <w:tc>
          <w:tcPr>
            <w:tcW w:w="1071" w:type="pct"/>
          </w:tcPr>
          <w:p w14:paraId="4F90CC34" w14:textId="77777777" w:rsidR="00085E86" w:rsidRPr="00140B99" w:rsidRDefault="00085E86" w:rsidP="00727472">
            <w:pPr>
              <w:pStyle w:val="Compact"/>
              <w:jc w:val="center"/>
              <w:rPr>
                <w:rFonts w:ascii="Times New Roman" w:hAnsi="Times New Roman" w:cs="Times New Roman"/>
                <w:sz w:val="22"/>
                <w:szCs w:val="22"/>
                <w:lang w:val="en-GB"/>
              </w:rPr>
            </w:pPr>
            <w:r w:rsidRPr="00140B99">
              <w:rPr>
                <w:rFonts w:ascii="Times New Roman" w:hAnsi="Times New Roman" w:cs="Times New Roman"/>
                <w:sz w:val="22"/>
                <w:szCs w:val="22"/>
                <w:lang w:val="en-GB"/>
              </w:rPr>
              <w:t>45 (40, 52)</w:t>
            </w:r>
          </w:p>
        </w:tc>
        <w:tc>
          <w:tcPr>
            <w:tcW w:w="807" w:type="pct"/>
          </w:tcPr>
          <w:p w14:paraId="00F6CB13" w14:textId="77777777" w:rsidR="00085E86" w:rsidRPr="00140B99" w:rsidRDefault="00085E86" w:rsidP="00727472">
            <w:pPr>
              <w:pStyle w:val="Compact"/>
              <w:jc w:val="center"/>
              <w:rPr>
                <w:rFonts w:ascii="Times New Roman" w:hAnsi="Times New Roman" w:cs="Times New Roman"/>
                <w:sz w:val="22"/>
                <w:szCs w:val="22"/>
                <w:lang w:val="en-GB"/>
              </w:rPr>
            </w:pPr>
            <w:r w:rsidRPr="00140B99">
              <w:rPr>
                <w:rFonts w:ascii="Times New Roman" w:hAnsi="Times New Roman" w:cs="Times New Roman"/>
                <w:sz w:val="22"/>
                <w:szCs w:val="22"/>
                <w:lang w:val="en-GB"/>
              </w:rPr>
              <w:t>0.020</w:t>
            </w:r>
            <w:r>
              <w:rPr>
                <w:rFonts w:ascii="Times New Roman" w:hAnsi="Times New Roman" w:cs="Times New Roman"/>
                <w:sz w:val="22"/>
                <w:szCs w:val="22"/>
                <w:lang w:val="en-GB"/>
              </w:rPr>
              <w:t>*</w:t>
            </w:r>
          </w:p>
        </w:tc>
      </w:tr>
      <w:tr w:rsidR="00085E86" w:rsidRPr="00140B99" w14:paraId="540A9C57" w14:textId="77777777" w:rsidTr="00727472">
        <w:trPr>
          <w:trHeight w:val="387"/>
        </w:trPr>
        <w:tc>
          <w:tcPr>
            <w:tcW w:w="1519" w:type="pct"/>
          </w:tcPr>
          <w:p w14:paraId="2856039D" w14:textId="77777777" w:rsidR="00085E86" w:rsidRPr="00140B99" w:rsidRDefault="00085E86" w:rsidP="00727472">
            <w:pPr>
              <w:pStyle w:val="Compact"/>
              <w:rPr>
                <w:rFonts w:ascii="Times New Roman" w:hAnsi="Times New Roman" w:cs="Times New Roman"/>
                <w:b/>
                <w:bCs/>
                <w:sz w:val="22"/>
                <w:szCs w:val="22"/>
                <w:lang w:val="en-GB"/>
              </w:rPr>
            </w:pPr>
            <w:r w:rsidRPr="00140B99">
              <w:rPr>
                <w:rFonts w:ascii="Times New Roman" w:hAnsi="Times New Roman" w:cs="Times New Roman"/>
                <w:b/>
                <w:bCs/>
                <w:sz w:val="22"/>
                <w:szCs w:val="22"/>
                <w:lang w:val="en-GB"/>
              </w:rPr>
              <w:t>Onset Age, median (IQR)</w:t>
            </w:r>
          </w:p>
        </w:tc>
        <w:tc>
          <w:tcPr>
            <w:tcW w:w="805" w:type="pct"/>
          </w:tcPr>
          <w:p w14:paraId="06D55EBD" w14:textId="77777777" w:rsidR="00085E86" w:rsidRPr="00140B99" w:rsidRDefault="00085E86" w:rsidP="00727472">
            <w:pPr>
              <w:pStyle w:val="Compact"/>
              <w:jc w:val="center"/>
              <w:rPr>
                <w:rFonts w:ascii="Times New Roman" w:hAnsi="Times New Roman" w:cs="Times New Roman"/>
                <w:sz w:val="22"/>
                <w:szCs w:val="22"/>
                <w:lang w:val="en-GB"/>
              </w:rPr>
            </w:pPr>
            <w:r w:rsidRPr="00140B99">
              <w:rPr>
                <w:rFonts w:ascii="Times New Roman" w:hAnsi="Times New Roman" w:cs="Times New Roman"/>
                <w:sz w:val="22"/>
                <w:szCs w:val="22"/>
                <w:lang w:val="en-GB"/>
              </w:rPr>
              <w:t>38 (23, 64)</w:t>
            </w:r>
          </w:p>
        </w:tc>
        <w:tc>
          <w:tcPr>
            <w:tcW w:w="798" w:type="pct"/>
          </w:tcPr>
          <w:p w14:paraId="42A03970" w14:textId="77777777" w:rsidR="00085E86" w:rsidRPr="00140B99" w:rsidRDefault="00085E86" w:rsidP="00727472">
            <w:pPr>
              <w:pStyle w:val="Compact"/>
              <w:jc w:val="center"/>
              <w:rPr>
                <w:rFonts w:ascii="Times New Roman" w:hAnsi="Times New Roman" w:cs="Times New Roman"/>
                <w:sz w:val="22"/>
                <w:szCs w:val="22"/>
                <w:lang w:val="en-GB"/>
              </w:rPr>
            </w:pPr>
            <w:r w:rsidRPr="00140B99">
              <w:rPr>
                <w:rFonts w:ascii="Times New Roman" w:hAnsi="Times New Roman" w:cs="Times New Roman"/>
                <w:sz w:val="22"/>
                <w:szCs w:val="22"/>
                <w:lang w:val="en-GB"/>
              </w:rPr>
              <w:t>61 (60, 64)</w:t>
            </w:r>
          </w:p>
        </w:tc>
        <w:tc>
          <w:tcPr>
            <w:tcW w:w="1071" w:type="pct"/>
          </w:tcPr>
          <w:p w14:paraId="17C8456F" w14:textId="77777777" w:rsidR="00085E86" w:rsidRPr="00140B99" w:rsidRDefault="00085E86" w:rsidP="00727472">
            <w:pPr>
              <w:pStyle w:val="Compact"/>
              <w:jc w:val="center"/>
              <w:rPr>
                <w:rFonts w:ascii="Times New Roman" w:hAnsi="Times New Roman" w:cs="Times New Roman"/>
                <w:sz w:val="22"/>
                <w:szCs w:val="22"/>
                <w:lang w:val="en-GB"/>
              </w:rPr>
            </w:pPr>
            <w:r w:rsidRPr="00140B99">
              <w:rPr>
                <w:rFonts w:ascii="Times New Roman" w:hAnsi="Times New Roman" w:cs="Times New Roman"/>
                <w:sz w:val="22"/>
                <w:szCs w:val="22"/>
                <w:lang w:val="en-GB"/>
              </w:rPr>
              <w:t>40 (34, 48)</w:t>
            </w:r>
          </w:p>
        </w:tc>
        <w:tc>
          <w:tcPr>
            <w:tcW w:w="807" w:type="pct"/>
          </w:tcPr>
          <w:p w14:paraId="791C76E8" w14:textId="77777777" w:rsidR="00085E86" w:rsidRPr="00140B99" w:rsidRDefault="00085E86" w:rsidP="00727472">
            <w:pPr>
              <w:pStyle w:val="Compact"/>
              <w:jc w:val="center"/>
              <w:rPr>
                <w:rFonts w:ascii="Times New Roman" w:hAnsi="Times New Roman" w:cs="Times New Roman"/>
                <w:sz w:val="22"/>
                <w:szCs w:val="22"/>
                <w:lang w:val="en-GB"/>
              </w:rPr>
            </w:pPr>
            <w:r w:rsidRPr="00140B99">
              <w:rPr>
                <w:rFonts w:ascii="Times New Roman" w:hAnsi="Times New Roman" w:cs="Times New Roman"/>
                <w:sz w:val="22"/>
                <w:szCs w:val="22"/>
                <w:lang w:val="en-GB"/>
              </w:rPr>
              <w:t>0.072</w:t>
            </w:r>
          </w:p>
        </w:tc>
      </w:tr>
      <w:tr w:rsidR="00085E86" w:rsidRPr="00140B99" w14:paraId="1D3643C5" w14:textId="77777777" w:rsidTr="00727472">
        <w:trPr>
          <w:trHeight w:val="353"/>
        </w:trPr>
        <w:tc>
          <w:tcPr>
            <w:tcW w:w="1519" w:type="pct"/>
          </w:tcPr>
          <w:p w14:paraId="361C8B66" w14:textId="77777777" w:rsidR="00085E86" w:rsidRPr="00140B99" w:rsidRDefault="00085E86" w:rsidP="00727472">
            <w:pPr>
              <w:pStyle w:val="Compact"/>
              <w:rPr>
                <w:rFonts w:ascii="Times New Roman" w:hAnsi="Times New Roman" w:cs="Times New Roman"/>
                <w:sz w:val="22"/>
                <w:szCs w:val="22"/>
                <w:lang w:val="en-GB"/>
              </w:rPr>
            </w:pPr>
            <w:r w:rsidRPr="00140B99">
              <w:rPr>
                <w:rFonts w:ascii="Times New Roman" w:hAnsi="Times New Roman" w:cs="Times New Roman"/>
                <w:sz w:val="22"/>
                <w:szCs w:val="22"/>
                <w:lang w:val="en-GB"/>
              </w:rPr>
              <w:t xml:space="preserve">    Unknown</w:t>
            </w:r>
          </w:p>
        </w:tc>
        <w:tc>
          <w:tcPr>
            <w:tcW w:w="805" w:type="pct"/>
          </w:tcPr>
          <w:p w14:paraId="001CA113" w14:textId="77777777" w:rsidR="00085E86" w:rsidRPr="00140B99" w:rsidRDefault="00085E86" w:rsidP="00727472">
            <w:pPr>
              <w:pStyle w:val="Compact"/>
              <w:jc w:val="center"/>
              <w:rPr>
                <w:rFonts w:ascii="Times New Roman" w:hAnsi="Times New Roman" w:cs="Times New Roman"/>
                <w:sz w:val="22"/>
                <w:szCs w:val="22"/>
                <w:lang w:val="en-GB"/>
              </w:rPr>
            </w:pPr>
            <w:r w:rsidRPr="00140B99">
              <w:rPr>
                <w:rFonts w:ascii="Times New Roman" w:hAnsi="Times New Roman" w:cs="Times New Roman"/>
                <w:sz w:val="22"/>
                <w:szCs w:val="22"/>
                <w:lang w:val="en-GB"/>
              </w:rPr>
              <w:t>1</w:t>
            </w:r>
          </w:p>
        </w:tc>
        <w:tc>
          <w:tcPr>
            <w:tcW w:w="798" w:type="pct"/>
          </w:tcPr>
          <w:p w14:paraId="655C0149" w14:textId="77777777" w:rsidR="00085E86" w:rsidRPr="00140B99" w:rsidRDefault="00085E86" w:rsidP="00727472">
            <w:pPr>
              <w:pStyle w:val="Compact"/>
              <w:jc w:val="center"/>
              <w:rPr>
                <w:rFonts w:ascii="Times New Roman" w:hAnsi="Times New Roman" w:cs="Times New Roman"/>
                <w:sz w:val="22"/>
                <w:szCs w:val="22"/>
                <w:lang w:val="en-GB"/>
              </w:rPr>
            </w:pPr>
            <w:r w:rsidRPr="00140B99">
              <w:rPr>
                <w:rFonts w:ascii="Times New Roman" w:hAnsi="Times New Roman" w:cs="Times New Roman"/>
                <w:sz w:val="22"/>
                <w:szCs w:val="22"/>
                <w:lang w:val="en-GB"/>
              </w:rPr>
              <w:t>1</w:t>
            </w:r>
          </w:p>
        </w:tc>
        <w:tc>
          <w:tcPr>
            <w:tcW w:w="1071" w:type="pct"/>
          </w:tcPr>
          <w:p w14:paraId="15AA2DE2" w14:textId="77777777" w:rsidR="00085E86" w:rsidRPr="00140B99" w:rsidRDefault="00085E86" w:rsidP="00727472">
            <w:pPr>
              <w:pStyle w:val="Compact"/>
              <w:jc w:val="center"/>
              <w:rPr>
                <w:rFonts w:ascii="Times New Roman" w:hAnsi="Times New Roman" w:cs="Times New Roman"/>
                <w:sz w:val="22"/>
                <w:szCs w:val="22"/>
                <w:lang w:val="en-GB"/>
              </w:rPr>
            </w:pPr>
            <w:r w:rsidRPr="00140B99">
              <w:rPr>
                <w:rFonts w:ascii="Times New Roman" w:hAnsi="Times New Roman" w:cs="Times New Roman"/>
                <w:sz w:val="22"/>
                <w:szCs w:val="22"/>
                <w:lang w:val="en-GB"/>
              </w:rPr>
              <w:t>9</w:t>
            </w:r>
          </w:p>
        </w:tc>
        <w:tc>
          <w:tcPr>
            <w:tcW w:w="807" w:type="pct"/>
          </w:tcPr>
          <w:p w14:paraId="3CAEE93B" w14:textId="77777777" w:rsidR="00085E86" w:rsidRPr="00140B99" w:rsidRDefault="00085E86" w:rsidP="00727472">
            <w:pPr>
              <w:pStyle w:val="Compact"/>
              <w:rPr>
                <w:rFonts w:ascii="Times New Roman" w:hAnsi="Times New Roman" w:cs="Times New Roman"/>
                <w:sz w:val="22"/>
                <w:szCs w:val="22"/>
                <w:lang w:val="en-GB"/>
              </w:rPr>
            </w:pPr>
          </w:p>
        </w:tc>
      </w:tr>
      <w:tr w:rsidR="00085E86" w:rsidRPr="00140B99" w14:paraId="0592EF02" w14:textId="77777777" w:rsidTr="00727472">
        <w:trPr>
          <w:trHeight w:val="353"/>
        </w:trPr>
        <w:tc>
          <w:tcPr>
            <w:tcW w:w="1519" w:type="pct"/>
          </w:tcPr>
          <w:p w14:paraId="45D28D0C" w14:textId="77777777" w:rsidR="00085E86" w:rsidRPr="00140B99" w:rsidRDefault="00085E86" w:rsidP="00727472">
            <w:pPr>
              <w:pStyle w:val="Compact"/>
              <w:rPr>
                <w:rFonts w:ascii="Times New Roman" w:hAnsi="Times New Roman" w:cs="Times New Roman"/>
                <w:b/>
                <w:bCs/>
                <w:sz w:val="22"/>
                <w:szCs w:val="22"/>
                <w:lang w:val="en-GB"/>
              </w:rPr>
            </w:pPr>
            <w:r w:rsidRPr="00140B99">
              <w:rPr>
                <w:rFonts w:ascii="Times New Roman" w:hAnsi="Times New Roman" w:cs="Times New Roman"/>
                <w:b/>
                <w:bCs/>
                <w:sz w:val="22"/>
                <w:szCs w:val="22"/>
                <w:lang w:val="en-GB"/>
              </w:rPr>
              <w:t>Gender</w:t>
            </w:r>
          </w:p>
        </w:tc>
        <w:tc>
          <w:tcPr>
            <w:tcW w:w="805" w:type="pct"/>
          </w:tcPr>
          <w:p w14:paraId="3979CCD7" w14:textId="77777777" w:rsidR="00085E86" w:rsidRPr="00140B99" w:rsidRDefault="00085E86" w:rsidP="00727472">
            <w:pPr>
              <w:pStyle w:val="Compact"/>
              <w:rPr>
                <w:rFonts w:ascii="Times New Roman" w:hAnsi="Times New Roman" w:cs="Times New Roman"/>
                <w:sz w:val="22"/>
                <w:szCs w:val="22"/>
                <w:lang w:val="en-GB"/>
              </w:rPr>
            </w:pPr>
          </w:p>
        </w:tc>
        <w:tc>
          <w:tcPr>
            <w:tcW w:w="798" w:type="pct"/>
          </w:tcPr>
          <w:p w14:paraId="10B438E3" w14:textId="77777777" w:rsidR="00085E86" w:rsidRPr="00140B99" w:rsidRDefault="00085E86" w:rsidP="00727472">
            <w:pPr>
              <w:pStyle w:val="Compact"/>
              <w:rPr>
                <w:rFonts w:ascii="Times New Roman" w:hAnsi="Times New Roman" w:cs="Times New Roman"/>
                <w:sz w:val="22"/>
                <w:szCs w:val="22"/>
                <w:lang w:val="en-GB"/>
              </w:rPr>
            </w:pPr>
          </w:p>
        </w:tc>
        <w:tc>
          <w:tcPr>
            <w:tcW w:w="1071" w:type="pct"/>
          </w:tcPr>
          <w:p w14:paraId="6CF71BB4" w14:textId="77777777" w:rsidR="00085E86" w:rsidRPr="00140B99" w:rsidRDefault="00085E86" w:rsidP="00727472">
            <w:pPr>
              <w:pStyle w:val="Compact"/>
              <w:rPr>
                <w:rFonts w:ascii="Times New Roman" w:hAnsi="Times New Roman" w:cs="Times New Roman"/>
                <w:sz w:val="22"/>
                <w:szCs w:val="22"/>
                <w:lang w:val="en-GB"/>
              </w:rPr>
            </w:pPr>
          </w:p>
        </w:tc>
        <w:tc>
          <w:tcPr>
            <w:tcW w:w="807" w:type="pct"/>
          </w:tcPr>
          <w:p w14:paraId="5EEEADEB" w14:textId="77777777" w:rsidR="00085E86" w:rsidRPr="00140B99" w:rsidRDefault="00085E86" w:rsidP="00727472">
            <w:pPr>
              <w:pStyle w:val="Compact"/>
              <w:jc w:val="center"/>
              <w:rPr>
                <w:rFonts w:ascii="Times New Roman" w:hAnsi="Times New Roman" w:cs="Times New Roman"/>
                <w:sz w:val="22"/>
                <w:szCs w:val="22"/>
                <w:lang w:val="en-GB"/>
              </w:rPr>
            </w:pPr>
            <w:r w:rsidRPr="00140B99">
              <w:rPr>
                <w:rFonts w:ascii="Times New Roman" w:hAnsi="Times New Roman" w:cs="Times New Roman"/>
                <w:sz w:val="22"/>
                <w:szCs w:val="22"/>
                <w:lang w:val="en-GB"/>
              </w:rPr>
              <w:t>0.3</w:t>
            </w:r>
          </w:p>
        </w:tc>
      </w:tr>
      <w:tr w:rsidR="00085E86" w:rsidRPr="00140B99" w14:paraId="1402219C" w14:textId="77777777" w:rsidTr="00727472">
        <w:trPr>
          <w:trHeight w:val="353"/>
        </w:trPr>
        <w:tc>
          <w:tcPr>
            <w:tcW w:w="1519" w:type="pct"/>
          </w:tcPr>
          <w:p w14:paraId="70E7E302" w14:textId="77777777" w:rsidR="00085E86" w:rsidRPr="00140B99" w:rsidRDefault="00085E86" w:rsidP="00727472">
            <w:pPr>
              <w:pStyle w:val="Compact"/>
              <w:rPr>
                <w:rFonts w:ascii="Times New Roman" w:hAnsi="Times New Roman" w:cs="Times New Roman"/>
                <w:sz w:val="22"/>
                <w:szCs w:val="22"/>
                <w:lang w:val="en-GB"/>
              </w:rPr>
            </w:pPr>
            <w:r w:rsidRPr="00140B99">
              <w:rPr>
                <w:rFonts w:ascii="Times New Roman" w:hAnsi="Times New Roman" w:cs="Times New Roman"/>
                <w:sz w:val="22"/>
                <w:szCs w:val="22"/>
                <w:lang w:val="en-GB"/>
              </w:rPr>
              <w:t xml:space="preserve">   Female</w:t>
            </w:r>
          </w:p>
        </w:tc>
        <w:tc>
          <w:tcPr>
            <w:tcW w:w="805" w:type="pct"/>
          </w:tcPr>
          <w:p w14:paraId="0AFCC847" w14:textId="77777777" w:rsidR="00085E86" w:rsidRPr="00140B99" w:rsidRDefault="00085E86" w:rsidP="00727472">
            <w:pPr>
              <w:pStyle w:val="Compact"/>
              <w:jc w:val="center"/>
              <w:rPr>
                <w:rFonts w:ascii="Times New Roman" w:hAnsi="Times New Roman" w:cs="Times New Roman"/>
                <w:sz w:val="22"/>
                <w:szCs w:val="22"/>
                <w:lang w:val="en-GB"/>
              </w:rPr>
            </w:pPr>
            <w:r w:rsidRPr="00140B99">
              <w:rPr>
                <w:rFonts w:ascii="Times New Roman" w:hAnsi="Times New Roman" w:cs="Times New Roman"/>
                <w:sz w:val="22"/>
                <w:szCs w:val="22"/>
                <w:lang w:val="en-GB"/>
              </w:rPr>
              <w:t>5 (71%)</w:t>
            </w:r>
          </w:p>
        </w:tc>
        <w:tc>
          <w:tcPr>
            <w:tcW w:w="798" w:type="pct"/>
          </w:tcPr>
          <w:p w14:paraId="1E9C0BB6" w14:textId="77777777" w:rsidR="00085E86" w:rsidRPr="00140B99" w:rsidRDefault="00085E86" w:rsidP="00727472">
            <w:pPr>
              <w:pStyle w:val="Compact"/>
              <w:jc w:val="center"/>
              <w:rPr>
                <w:rFonts w:ascii="Times New Roman" w:hAnsi="Times New Roman" w:cs="Times New Roman"/>
                <w:sz w:val="22"/>
                <w:szCs w:val="22"/>
                <w:lang w:val="en-GB"/>
              </w:rPr>
            </w:pPr>
            <w:r w:rsidRPr="00140B99">
              <w:rPr>
                <w:rFonts w:ascii="Times New Roman" w:hAnsi="Times New Roman" w:cs="Times New Roman"/>
                <w:sz w:val="22"/>
                <w:szCs w:val="22"/>
                <w:lang w:val="en-GB"/>
              </w:rPr>
              <w:t>2 (50%)</w:t>
            </w:r>
          </w:p>
        </w:tc>
        <w:tc>
          <w:tcPr>
            <w:tcW w:w="1071" w:type="pct"/>
          </w:tcPr>
          <w:p w14:paraId="6379F645" w14:textId="77777777" w:rsidR="00085E86" w:rsidRPr="00140B99" w:rsidRDefault="00085E86" w:rsidP="00727472">
            <w:pPr>
              <w:pStyle w:val="Compact"/>
              <w:jc w:val="center"/>
              <w:rPr>
                <w:rFonts w:ascii="Times New Roman" w:hAnsi="Times New Roman" w:cs="Times New Roman"/>
                <w:sz w:val="22"/>
                <w:szCs w:val="22"/>
                <w:lang w:val="en-GB"/>
              </w:rPr>
            </w:pPr>
            <w:r w:rsidRPr="00140B99">
              <w:rPr>
                <w:rFonts w:ascii="Times New Roman" w:hAnsi="Times New Roman" w:cs="Times New Roman"/>
                <w:sz w:val="22"/>
                <w:szCs w:val="22"/>
                <w:lang w:val="en-GB"/>
              </w:rPr>
              <w:t>11 (37%)</w:t>
            </w:r>
          </w:p>
        </w:tc>
        <w:tc>
          <w:tcPr>
            <w:tcW w:w="807" w:type="pct"/>
          </w:tcPr>
          <w:p w14:paraId="58E994E6" w14:textId="77777777" w:rsidR="00085E86" w:rsidRPr="00140B99" w:rsidRDefault="00085E86" w:rsidP="00727472">
            <w:pPr>
              <w:pStyle w:val="Compact"/>
              <w:rPr>
                <w:rFonts w:ascii="Times New Roman" w:hAnsi="Times New Roman" w:cs="Times New Roman"/>
                <w:sz w:val="22"/>
                <w:szCs w:val="22"/>
                <w:lang w:val="en-GB"/>
              </w:rPr>
            </w:pPr>
          </w:p>
        </w:tc>
      </w:tr>
      <w:tr w:rsidR="00085E86" w:rsidRPr="00140B99" w14:paraId="49188849" w14:textId="77777777" w:rsidTr="00727472">
        <w:trPr>
          <w:trHeight w:val="340"/>
        </w:trPr>
        <w:tc>
          <w:tcPr>
            <w:tcW w:w="1519" w:type="pct"/>
          </w:tcPr>
          <w:p w14:paraId="30D02049" w14:textId="77777777" w:rsidR="00085E86" w:rsidRPr="00140B99" w:rsidRDefault="00085E86" w:rsidP="00727472">
            <w:pPr>
              <w:pStyle w:val="Compact"/>
              <w:rPr>
                <w:rFonts w:ascii="Times New Roman" w:hAnsi="Times New Roman" w:cs="Times New Roman"/>
                <w:sz w:val="22"/>
                <w:szCs w:val="22"/>
                <w:lang w:val="en-GB"/>
              </w:rPr>
            </w:pPr>
            <w:r w:rsidRPr="00140B99">
              <w:rPr>
                <w:rFonts w:ascii="Times New Roman" w:hAnsi="Times New Roman" w:cs="Times New Roman"/>
                <w:sz w:val="22"/>
                <w:szCs w:val="22"/>
                <w:lang w:val="en-GB"/>
              </w:rPr>
              <w:t xml:space="preserve">   Male</w:t>
            </w:r>
          </w:p>
        </w:tc>
        <w:tc>
          <w:tcPr>
            <w:tcW w:w="805" w:type="pct"/>
          </w:tcPr>
          <w:p w14:paraId="3B73565A" w14:textId="77777777" w:rsidR="00085E86" w:rsidRPr="00140B99" w:rsidRDefault="00085E86" w:rsidP="00727472">
            <w:pPr>
              <w:pStyle w:val="Compact"/>
              <w:jc w:val="center"/>
              <w:rPr>
                <w:rFonts w:ascii="Times New Roman" w:hAnsi="Times New Roman" w:cs="Times New Roman"/>
                <w:sz w:val="22"/>
                <w:szCs w:val="22"/>
                <w:lang w:val="en-GB"/>
              </w:rPr>
            </w:pPr>
            <w:r w:rsidRPr="00140B99">
              <w:rPr>
                <w:rFonts w:ascii="Times New Roman" w:hAnsi="Times New Roman" w:cs="Times New Roman"/>
                <w:sz w:val="22"/>
                <w:szCs w:val="22"/>
                <w:lang w:val="en-GB"/>
              </w:rPr>
              <w:t>2 (29%)</w:t>
            </w:r>
          </w:p>
        </w:tc>
        <w:tc>
          <w:tcPr>
            <w:tcW w:w="798" w:type="pct"/>
          </w:tcPr>
          <w:p w14:paraId="52C49F9F" w14:textId="77777777" w:rsidR="00085E86" w:rsidRPr="00140B99" w:rsidRDefault="00085E86" w:rsidP="00727472">
            <w:pPr>
              <w:pStyle w:val="Compact"/>
              <w:jc w:val="center"/>
              <w:rPr>
                <w:rFonts w:ascii="Times New Roman" w:hAnsi="Times New Roman" w:cs="Times New Roman"/>
                <w:sz w:val="22"/>
                <w:szCs w:val="22"/>
                <w:lang w:val="en-GB"/>
              </w:rPr>
            </w:pPr>
            <w:r w:rsidRPr="00140B99">
              <w:rPr>
                <w:rFonts w:ascii="Times New Roman" w:hAnsi="Times New Roman" w:cs="Times New Roman"/>
                <w:sz w:val="22"/>
                <w:szCs w:val="22"/>
                <w:lang w:val="en-GB"/>
              </w:rPr>
              <w:t>2 (50%)</w:t>
            </w:r>
          </w:p>
        </w:tc>
        <w:tc>
          <w:tcPr>
            <w:tcW w:w="1071" w:type="pct"/>
          </w:tcPr>
          <w:p w14:paraId="5C2C8A4D" w14:textId="77777777" w:rsidR="00085E86" w:rsidRPr="00140B99" w:rsidRDefault="00085E86" w:rsidP="00727472">
            <w:pPr>
              <w:pStyle w:val="Compact"/>
              <w:jc w:val="center"/>
              <w:rPr>
                <w:rFonts w:ascii="Times New Roman" w:hAnsi="Times New Roman" w:cs="Times New Roman"/>
                <w:sz w:val="22"/>
                <w:szCs w:val="22"/>
                <w:lang w:val="en-GB"/>
              </w:rPr>
            </w:pPr>
            <w:r w:rsidRPr="00140B99">
              <w:rPr>
                <w:rFonts w:ascii="Times New Roman" w:hAnsi="Times New Roman" w:cs="Times New Roman"/>
                <w:sz w:val="22"/>
                <w:szCs w:val="22"/>
                <w:lang w:val="en-GB"/>
              </w:rPr>
              <w:t>19 (63%)</w:t>
            </w:r>
          </w:p>
        </w:tc>
        <w:tc>
          <w:tcPr>
            <w:tcW w:w="807" w:type="pct"/>
          </w:tcPr>
          <w:p w14:paraId="33C28942" w14:textId="77777777" w:rsidR="00085E86" w:rsidRPr="00140B99" w:rsidRDefault="00085E86" w:rsidP="00727472">
            <w:pPr>
              <w:pStyle w:val="Compact"/>
              <w:rPr>
                <w:rFonts w:ascii="Times New Roman" w:hAnsi="Times New Roman" w:cs="Times New Roman"/>
                <w:sz w:val="22"/>
                <w:szCs w:val="22"/>
                <w:lang w:val="en-GB"/>
              </w:rPr>
            </w:pPr>
          </w:p>
        </w:tc>
      </w:tr>
      <w:tr w:rsidR="00085E86" w:rsidRPr="00140B99" w14:paraId="434AB3B1" w14:textId="77777777" w:rsidTr="00727472">
        <w:trPr>
          <w:trHeight w:val="353"/>
        </w:trPr>
        <w:tc>
          <w:tcPr>
            <w:tcW w:w="1519" w:type="pct"/>
          </w:tcPr>
          <w:p w14:paraId="4D313428" w14:textId="77777777" w:rsidR="00085E86" w:rsidRPr="00140B99" w:rsidRDefault="00085E86" w:rsidP="00727472">
            <w:pPr>
              <w:pStyle w:val="Compact"/>
              <w:rPr>
                <w:rFonts w:ascii="Times New Roman" w:hAnsi="Times New Roman" w:cs="Times New Roman"/>
                <w:b/>
                <w:bCs/>
                <w:sz w:val="22"/>
                <w:szCs w:val="22"/>
                <w:lang w:val="en-GB"/>
              </w:rPr>
            </w:pPr>
            <w:r w:rsidRPr="00140B99">
              <w:rPr>
                <w:rFonts w:ascii="Times New Roman" w:hAnsi="Times New Roman" w:cs="Times New Roman"/>
                <w:b/>
                <w:bCs/>
                <w:sz w:val="22"/>
                <w:szCs w:val="22"/>
                <w:lang w:val="en-GB"/>
              </w:rPr>
              <w:t>Weight (Kg)</w:t>
            </w:r>
          </w:p>
        </w:tc>
        <w:tc>
          <w:tcPr>
            <w:tcW w:w="805" w:type="pct"/>
          </w:tcPr>
          <w:p w14:paraId="73AAC1FD" w14:textId="77777777" w:rsidR="00085E86" w:rsidRPr="00140B99" w:rsidRDefault="00085E86" w:rsidP="00727472">
            <w:pPr>
              <w:pStyle w:val="Compact"/>
              <w:jc w:val="center"/>
              <w:rPr>
                <w:rFonts w:ascii="Times New Roman" w:hAnsi="Times New Roman" w:cs="Times New Roman"/>
                <w:sz w:val="22"/>
                <w:szCs w:val="22"/>
                <w:lang w:val="en-GB"/>
              </w:rPr>
            </w:pPr>
            <w:r w:rsidRPr="00140B99">
              <w:rPr>
                <w:rFonts w:ascii="Times New Roman" w:hAnsi="Times New Roman" w:cs="Times New Roman"/>
                <w:sz w:val="22"/>
                <w:szCs w:val="22"/>
                <w:lang w:val="en-GB"/>
              </w:rPr>
              <w:t>64 (64, 71)</w:t>
            </w:r>
          </w:p>
        </w:tc>
        <w:tc>
          <w:tcPr>
            <w:tcW w:w="798" w:type="pct"/>
          </w:tcPr>
          <w:p w14:paraId="78E0F07B" w14:textId="77777777" w:rsidR="00085E86" w:rsidRPr="00140B99" w:rsidRDefault="00085E86" w:rsidP="00727472">
            <w:pPr>
              <w:pStyle w:val="Compact"/>
              <w:jc w:val="center"/>
              <w:rPr>
                <w:rFonts w:ascii="Times New Roman" w:hAnsi="Times New Roman" w:cs="Times New Roman"/>
                <w:sz w:val="22"/>
                <w:szCs w:val="22"/>
                <w:lang w:val="en-GB"/>
              </w:rPr>
            </w:pPr>
            <w:r w:rsidRPr="00140B99">
              <w:rPr>
                <w:rFonts w:ascii="Times New Roman" w:hAnsi="Times New Roman" w:cs="Times New Roman"/>
                <w:sz w:val="22"/>
                <w:szCs w:val="22"/>
                <w:lang w:val="en-GB"/>
              </w:rPr>
              <w:t>80 (76, 84)</w:t>
            </w:r>
          </w:p>
        </w:tc>
        <w:tc>
          <w:tcPr>
            <w:tcW w:w="1071" w:type="pct"/>
          </w:tcPr>
          <w:p w14:paraId="68769C56" w14:textId="77777777" w:rsidR="00085E86" w:rsidRPr="00140B99" w:rsidRDefault="00085E86" w:rsidP="00727472">
            <w:pPr>
              <w:pStyle w:val="Compact"/>
              <w:jc w:val="center"/>
              <w:rPr>
                <w:rFonts w:ascii="Times New Roman" w:hAnsi="Times New Roman" w:cs="Times New Roman"/>
                <w:sz w:val="22"/>
                <w:szCs w:val="22"/>
                <w:lang w:val="en-GB"/>
              </w:rPr>
            </w:pPr>
            <w:r w:rsidRPr="00140B99">
              <w:rPr>
                <w:rFonts w:ascii="Times New Roman" w:hAnsi="Times New Roman" w:cs="Times New Roman"/>
                <w:sz w:val="22"/>
                <w:szCs w:val="22"/>
                <w:lang w:val="en-GB"/>
              </w:rPr>
              <w:t>74 (68, 79)</w:t>
            </w:r>
          </w:p>
        </w:tc>
        <w:tc>
          <w:tcPr>
            <w:tcW w:w="807" w:type="pct"/>
          </w:tcPr>
          <w:p w14:paraId="2958809C" w14:textId="77777777" w:rsidR="00085E86" w:rsidRPr="00140B99" w:rsidRDefault="00085E86" w:rsidP="00727472">
            <w:pPr>
              <w:pStyle w:val="Compact"/>
              <w:jc w:val="center"/>
              <w:rPr>
                <w:rFonts w:ascii="Times New Roman" w:hAnsi="Times New Roman" w:cs="Times New Roman"/>
                <w:sz w:val="22"/>
                <w:szCs w:val="22"/>
                <w:lang w:val="en-GB"/>
              </w:rPr>
            </w:pPr>
            <w:r w:rsidRPr="00140B99">
              <w:rPr>
                <w:rFonts w:ascii="Times New Roman" w:hAnsi="Times New Roman" w:cs="Times New Roman"/>
                <w:sz w:val="22"/>
                <w:szCs w:val="22"/>
                <w:lang w:val="en-GB"/>
              </w:rPr>
              <w:t>0.030</w:t>
            </w:r>
            <w:r>
              <w:rPr>
                <w:rFonts w:ascii="Times New Roman" w:hAnsi="Times New Roman" w:cs="Times New Roman"/>
                <w:sz w:val="22"/>
                <w:szCs w:val="22"/>
                <w:lang w:val="en-GB"/>
              </w:rPr>
              <w:t>*</w:t>
            </w:r>
          </w:p>
        </w:tc>
      </w:tr>
      <w:tr w:rsidR="00085E86" w:rsidRPr="00140B99" w14:paraId="7F5860FB" w14:textId="77777777" w:rsidTr="00727472">
        <w:trPr>
          <w:trHeight w:val="353"/>
        </w:trPr>
        <w:tc>
          <w:tcPr>
            <w:tcW w:w="1519" w:type="pct"/>
          </w:tcPr>
          <w:p w14:paraId="23DC7108" w14:textId="77777777" w:rsidR="00085E86" w:rsidRPr="00140B99" w:rsidRDefault="00085E86" w:rsidP="00727472">
            <w:pPr>
              <w:pStyle w:val="Compact"/>
              <w:rPr>
                <w:rFonts w:ascii="Times New Roman" w:hAnsi="Times New Roman" w:cs="Times New Roman"/>
                <w:b/>
                <w:bCs/>
                <w:sz w:val="22"/>
                <w:szCs w:val="22"/>
                <w:lang w:val="en-GB"/>
              </w:rPr>
            </w:pPr>
            <w:r w:rsidRPr="00140B99">
              <w:rPr>
                <w:rFonts w:ascii="Times New Roman" w:hAnsi="Times New Roman" w:cs="Times New Roman"/>
                <w:b/>
                <w:bCs/>
                <w:sz w:val="22"/>
                <w:szCs w:val="22"/>
                <w:lang w:val="en-GB"/>
              </w:rPr>
              <w:t xml:space="preserve">Ethnicity, </w:t>
            </w:r>
            <w:r w:rsidRPr="00140B99">
              <w:rPr>
                <w:rFonts w:ascii="Times New Roman" w:hAnsi="Times New Roman" w:cs="Times New Roman"/>
                <w:sz w:val="22"/>
                <w:szCs w:val="22"/>
                <w:lang w:val="en-GB"/>
              </w:rPr>
              <w:t>n (%)</w:t>
            </w:r>
          </w:p>
        </w:tc>
        <w:tc>
          <w:tcPr>
            <w:tcW w:w="805" w:type="pct"/>
          </w:tcPr>
          <w:p w14:paraId="5AE910AD" w14:textId="77777777" w:rsidR="00085E86" w:rsidRPr="00140B99" w:rsidRDefault="00085E86" w:rsidP="00727472">
            <w:pPr>
              <w:pStyle w:val="Compact"/>
              <w:rPr>
                <w:rFonts w:ascii="Times New Roman" w:hAnsi="Times New Roman" w:cs="Times New Roman"/>
                <w:sz w:val="22"/>
                <w:szCs w:val="22"/>
                <w:lang w:val="en-GB"/>
              </w:rPr>
            </w:pPr>
          </w:p>
        </w:tc>
        <w:tc>
          <w:tcPr>
            <w:tcW w:w="798" w:type="pct"/>
          </w:tcPr>
          <w:p w14:paraId="3A31B5B5" w14:textId="77777777" w:rsidR="00085E86" w:rsidRPr="00140B99" w:rsidRDefault="00085E86" w:rsidP="00727472">
            <w:pPr>
              <w:pStyle w:val="Compact"/>
              <w:rPr>
                <w:rFonts w:ascii="Times New Roman" w:hAnsi="Times New Roman" w:cs="Times New Roman"/>
                <w:sz w:val="22"/>
                <w:szCs w:val="22"/>
                <w:lang w:val="en-GB"/>
              </w:rPr>
            </w:pPr>
          </w:p>
        </w:tc>
        <w:tc>
          <w:tcPr>
            <w:tcW w:w="1071" w:type="pct"/>
          </w:tcPr>
          <w:p w14:paraId="2014BA12" w14:textId="77777777" w:rsidR="00085E86" w:rsidRPr="00140B99" w:rsidRDefault="00085E86" w:rsidP="00727472">
            <w:pPr>
              <w:pStyle w:val="Compact"/>
              <w:rPr>
                <w:rFonts w:ascii="Times New Roman" w:hAnsi="Times New Roman" w:cs="Times New Roman"/>
                <w:sz w:val="22"/>
                <w:szCs w:val="22"/>
                <w:lang w:val="en-GB"/>
              </w:rPr>
            </w:pPr>
          </w:p>
        </w:tc>
        <w:tc>
          <w:tcPr>
            <w:tcW w:w="807" w:type="pct"/>
          </w:tcPr>
          <w:p w14:paraId="56330BCB" w14:textId="77777777" w:rsidR="00085E86" w:rsidRPr="00140B99" w:rsidRDefault="00085E86" w:rsidP="00727472">
            <w:pPr>
              <w:pStyle w:val="Compact"/>
              <w:jc w:val="center"/>
              <w:rPr>
                <w:rFonts w:ascii="Times New Roman" w:hAnsi="Times New Roman" w:cs="Times New Roman"/>
                <w:sz w:val="22"/>
                <w:szCs w:val="22"/>
                <w:lang w:val="en-GB"/>
              </w:rPr>
            </w:pPr>
            <w:r w:rsidRPr="00140B99">
              <w:rPr>
                <w:rFonts w:ascii="Times New Roman" w:hAnsi="Times New Roman" w:cs="Times New Roman"/>
                <w:sz w:val="22"/>
                <w:szCs w:val="22"/>
                <w:lang w:val="en-GB"/>
              </w:rPr>
              <w:t>0.023</w:t>
            </w:r>
            <w:r>
              <w:rPr>
                <w:rFonts w:ascii="Times New Roman" w:hAnsi="Times New Roman" w:cs="Times New Roman"/>
                <w:sz w:val="22"/>
                <w:szCs w:val="22"/>
                <w:lang w:val="en-GB"/>
              </w:rPr>
              <w:t>*</w:t>
            </w:r>
          </w:p>
        </w:tc>
      </w:tr>
      <w:tr w:rsidR="00085E86" w:rsidRPr="00140B99" w14:paraId="3EBF3D01" w14:textId="77777777" w:rsidTr="00727472">
        <w:trPr>
          <w:trHeight w:val="353"/>
        </w:trPr>
        <w:tc>
          <w:tcPr>
            <w:tcW w:w="1519" w:type="pct"/>
          </w:tcPr>
          <w:p w14:paraId="7C8D6F25" w14:textId="77777777" w:rsidR="00085E86" w:rsidRPr="00140B99" w:rsidRDefault="00085E86" w:rsidP="00727472">
            <w:pPr>
              <w:pStyle w:val="Compact"/>
              <w:rPr>
                <w:rFonts w:ascii="Times New Roman" w:hAnsi="Times New Roman" w:cs="Times New Roman"/>
                <w:sz w:val="22"/>
                <w:szCs w:val="22"/>
                <w:lang w:val="en-GB"/>
              </w:rPr>
            </w:pPr>
            <w:r w:rsidRPr="00140B99">
              <w:rPr>
                <w:rFonts w:ascii="Times New Roman" w:hAnsi="Times New Roman" w:cs="Times New Roman"/>
                <w:sz w:val="22"/>
                <w:szCs w:val="22"/>
                <w:lang w:val="en-GB"/>
              </w:rPr>
              <w:t xml:space="preserve">   Black</w:t>
            </w:r>
          </w:p>
        </w:tc>
        <w:tc>
          <w:tcPr>
            <w:tcW w:w="805" w:type="pct"/>
          </w:tcPr>
          <w:p w14:paraId="58EDE948" w14:textId="77777777" w:rsidR="00085E86" w:rsidRPr="00140B99" w:rsidRDefault="00085E86" w:rsidP="00727472">
            <w:pPr>
              <w:pStyle w:val="Compact"/>
              <w:jc w:val="center"/>
              <w:rPr>
                <w:rFonts w:ascii="Times New Roman" w:hAnsi="Times New Roman" w:cs="Times New Roman"/>
                <w:sz w:val="22"/>
                <w:szCs w:val="22"/>
                <w:lang w:val="en-GB"/>
              </w:rPr>
            </w:pPr>
            <w:r w:rsidRPr="00140B99">
              <w:rPr>
                <w:rFonts w:ascii="Times New Roman" w:hAnsi="Times New Roman" w:cs="Times New Roman"/>
                <w:sz w:val="22"/>
                <w:szCs w:val="22"/>
                <w:lang w:val="en-GB"/>
              </w:rPr>
              <w:t>3 (43%)</w:t>
            </w:r>
          </w:p>
        </w:tc>
        <w:tc>
          <w:tcPr>
            <w:tcW w:w="798" w:type="pct"/>
          </w:tcPr>
          <w:p w14:paraId="3A1B5F53" w14:textId="77777777" w:rsidR="00085E86" w:rsidRPr="00140B99" w:rsidRDefault="00085E86" w:rsidP="00727472">
            <w:pPr>
              <w:pStyle w:val="Compact"/>
              <w:jc w:val="center"/>
              <w:rPr>
                <w:rFonts w:ascii="Times New Roman" w:hAnsi="Times New Roman" w:cs="Times New Roman"/>
                <w:sz w:val="22"/>
                <w:szCs w:val="22"/>
                <w:lang w:val="en-GB"/>
              </w:rPr>
            </w:pPr>
            <w:r w:rsidRPr="00140B99">
              <w:rPr>
                <w:rFonts w:ascii="Times New Roman" w:hAnsi="Times New Roman" w:cs="Times New Roman"/>
                <w:sz w:val="22"/>
                <w:szCs w:val="22"/>
                <w:lang w:val="en-GB"/>
              </w:rPr>
              <w:t>3 (75%)</w:t>
            </w:r>
          </w:p>
        </w:tc>
        <w:tc>
          <w:tcPr>
            <w:tcW w:w="1071" w:type="pct"/>
          </w:tcPr>
          <w:p w14:paraId="4724C9C5" w14:textId="77777777" w:rsidR="00085E86" w:rsidRPr="00140B99" w:rsidRDefault="00085E86" w:rsidP="00727472">
            <w:pPr>
              <w:pStyle w:val="Compact"/>
              <w:jc w:val="center"/>
              <w:rPr>
                <w:rFonts w:ascii="Times New Roman" w:hAnsi="Times New Roman" w:cs="Times New Roman"/>
                <w:sz w:val="22"/>
                <w:szCs w:val="22"/>
                <w:lang w:val="en-GB"/>
              </w:rPr>
            </w:pPr>
            <w:r w:rsidRPr="00140B99">
              <w:rPr>
                <w:rFonts w:ascii="Times New Roman" w:hAnsi="Times New Roman" w:cs="Times New Roman"/>
                <w:sz w:val="22"/>
                <w:szCs w:val="22"/>
                <w:lang w:val="en-GB"/>
              </w:rPr>
              <w:t>25 (89%)</w:t>
            </w:r>
          </w:p>
        </w:tc>
        <w:tc>
          <w:tcPr>
            <w:tcW w:w="807" w:type="pct"/>
          </w:tcPr>
          <w:p w14:paraId="695D6381" w14:textId="77777777" w:rsidR="00085E86" w:rsidRPr="00140B99" w:rsidRDefault="00085E86" w:rsidP="00727472">
            <w:pPr>
              <w:pStyle w:val="Compact"/>
              <w:rPr>
                <w:rFonts w:ascii="Times New Roman" w:hAnsi="Times New Roman" w:cs="Times New Roman"/>
                <w:sz w:val="22"/>
                <w:szCs w:val="22"/>
                <w:lang w:val="en-GB"/>
              </w:rPr>
            </w:pPr>
          </w:p>
        </w:tc>
      </w:tr>
      <w:tr w:rsidR="00085E86" w:rsidRPr="00140B99" w14:paraId="27D966DD" w14:textId="77777777" w:rsidTr="00727472">
        <w:trPr>
          <w:trHeight w:val="261"/>
        </w:trPr>
        <w:tc>
          <w:tcPr>
            <w:tcW w:w="1519" w:type="pct"/>
          </w:tcPr>
          <w:p w14:paraId="499433D8" w14:textId="77777777" w:rsidR="00085E86" w:rsidRPr="00140B99" w:rsidRDefault="00085E86" w:rsidP="00727472">
            <w:pPr>
              <w:pStyle w:val="Compact"/>
              <w:rPr>
                <w:rFonts w:ascii="Times New Roman" w:hAnsi="Times New Roman" w:cs="Times New Roman"/>
                <w:sz w:val="22"/>
                <w:szCs w:val="22"/>
                <w:lang w:val="en-GB"/>
              </w:rPr>
            </w:pPr>
            <w:r w:rsidRPr="00140B99">
              <w:rPr>
                <w:rFonts w:ascii="Times New Roman" w:hAnsi="Times New Roman" w:cs="Times New Roman"/>
                <w:sz w:val="22"/>
                <w:szCs w:val="22"/>
                <w:lang w:val="en-GB"/>
              </w:rPr>
              <w:t xml:space="preserve">  White</w:t>
            </w:r>
          </w:p>
        </w:tc>
        <w:tc>
          <w:tcPr>
            <w:tcW w:w="805" w:type="pct"/>
          </w:tcPr>
          <w:p w14:paraId="5595AF32" w14:textId="77777777" w:rsidR="00085E86" w:rsidRPr="00140B99" w:rsidRDefault="00085E86" w:rsidP="00727472">
            <w:pPr>
              <w:pStyle w:val="Compact"/>
              <w:jc w:val="center"/>
              <w:rPr>
                <w:rFonts w:ascii="Times New Roman" w:hAnsi="Times New Roman" w:cs="Times New Roman"/>
                <w:sz w:val="22"/>
                <w:szCs w:val="22"/>
                <w:lang w:val="en-GB"/>
              </w:rPr>
            </w:pPr>
            <w:r w:rsidRPr="00140B99">
              <w:rPr>
                <w:rFonts w:ascii="Times New Roman" w:hAnsi="Times New Roman" w:cs="Times New Roman"/>
                <w:sz w:val="22"/>
                <w:szCs w:val="22"/>
                <w:lang w:val="en-GB"/>
              </w:rPr>
              <w:t>4 (57%)</w:t>
            </w:r>
          </w:p>
        </w:tc>
        <w:tc>
          <w:tcPr>
            <w:tcW w:w="798" w:type="pct"/>
          </w:tcPr>
          <w:p w14:paraId="6A6F072D" w14:textId="77777777" w:rsidR="00085E86" w:rsidRPr="00140B99" w:rsidRDefault="00085E86" w:rsidP="00727472">
            <w:pPr>
              <w:pStyle w:val="Compact"/>
              <w:jc w:val="center"/>
              <w:rPr>
                <w:rFonts w:ascii="Times New Roman" w:hAnsi="Times New Roman" w:cs="Times New Roman"/>
                <w:sz w:val="22"/>
                <w:szCs w:val="22"/>
                <w:lang w:val="en-GB"/>
              </w:rPr>
            </w:pPr>
            <w:r w:rsidRPr="00140B99">
              <w:rPr>
                <w:rFonts w:ascii="Times New Roman" w:hAnsi="Times New Roman" w:cs="Times New Roman"/>
                <w:sz w:val="22"/>
                <w:szCs w:val="22"/>
                <w:lang w:val="en-GB"/>
              </w:rPr>
              <w:t>1 (25%)</w:t>
            </w:r>
          </w:p>
        </w:tc>
        <w:tc>
          <w:tcPr>
            <w:tcW w:w="1071" w:type="pct"/>
          </w:tcPr>
          <w:p w14:paraId="40732669" w14:textId="77777777" w:rsidR="00085E86" w:rsidRPr="00140B99" w:rsidRDefault="00085E86" w:rsidP="00727472">
            <w:pPr>
              <w:pStyle w:val="Compact"/>
              <w:jc w:val="center"/>
              <w:rPr>
                <w:rFonts w:ascii="Times New Roman" w:hAnsi="Times New Roman" w:cs="Times New Roman"/>
                <w:sz w:val="22"/>
                <w:szCs w:val="22"/>
                <w:lang w:val="en-GB"/>
              </w:rPr>
            </w:pPr>
            <w:r w:rsidRPr="00140B99">
              <w:rPr>
                <w:rFonts w:ascii="Times New Roman" w:hAnsi="Times New Roman" w:cs="Times New Roman"/>
                <w:sz w:val="22"/>
                <w:szCs w:val="22"/>
                <w:lang w:val="en-GB"/>
              </w:rPr>
              <w:t>3 (11%)</w:t>
            </w:r>
          </w:p>
        </w:tc>
        <w:tc>
          <w:tcPr>
            <w:tcW w:w="807" w:type="pct"/>
          </w:tcPr>
          <w:p w14:paraId="1C95548D" w14:textId="77777777" w:rsidR="00085E86" w:rsidRPr="00140B99" w:rsidRDefault="00085E86" w:rsidP="00727472">
            <w:pPr>
              <w:pStyle w:val="Compact"/>
              <w:rPr>
                <w:rFonts w:ascii="Times New Roman" w:hAnsi="Times New Roman" w:cs="Times New Roman"/>
                <w:sz w:val="22"/>
                <w:szCs w:val="22"/>
                <w:lang w:val="en-GB"/>
              </w:rPr>
            </w:pPr>
          </w:p>
        </w:tc>
      </w:tr>
      <w:tr w:rsidR="00085E86" w:rsidRPr="00140B99" w14:paraId="3F6EFEEB" w14:textId="77777777" w:rsidTr="00727472">
        <w:trPr>
          <w:trHeight w:val="241"/>
        </w:trPr>
        <w:tc>
          <w:tcPr>
            <w:tcW w:w="1519" w:type="pct"/>
          </w:tcPr>
          <w:p w14:paraId="5A4BE441" w14:textId="77777777" w:rsidR="00085E86" w:rsidRPr="00140B99" w:rsidRDefault="00085E86" w:rsidP="00727472">
            <w:pPr>
              <w:pStyle w:val="Compact"/>
              <w:rPr>
                <w:rFonts w:ascii="Times New Roman" w:hAnsi="Times New Roman" w:cs="Times New Roman"/>
                <w:sz w:val="22"/>
                <w:szCs w:val="22"/>
                <w:lang w:val="en-GB"/>
              </w:rPr>
            </w:pPr>
            <w:r w:rsidRPr="00140B99">
              <w:rPr>
                <w:rFonts w:ascii="Times New Roman" w:hAnsi="Times New Roman" w:cs="Times New Roman"/>
                <w:sz w:val="22"/>
                <w:szCs w:val="22"/>
                <w:lang w:val="en-GB"/>
              </w:rPr>
              <w:t xml:space="preserve">  Unknown</w:t>
            </w:r>
          </w:p>
        </w:tc>
        <w:tc>
          <w:tcPr>
            <w:tcW w:w="805" w:type="pct"/>
          </w:tcPr>
          <w:p w14:paraId="2C8085C1" w14:textId="77777777" w:rsidR="00085E86" w:rsidRPr="00140B99" w:rsidRDefault="00085E86" w:rsidP="00727472">
            <w:pPr>
              <w:pStyle w:val="Compact"/>
              <w:jc w:val="center"/>
              <w:rPr>
                <w:rFonts w:ascii="Times New Roman" w:hAnsi="Times New Roman" w:cs="Times New Roman"/>
                <w:sz w:val="22"/>
                <w:szCs w:val="22"/>
                <w:lang w:val="en-GB"/>
              </w:rPr>
            </w:pPr>
            <w:r w:rsidRPr="00140B99">
              <w:rPr>
                <w:rFonts w:ascii="Times New Roman" w:hAnsi="Times New Roman" w:cs="Times New Roman"/>
                <w:sz w:val="22"/>
                <w:szCs w:val="22"/>
                <w:lang w:val="en-GB"/>
              </w:rPr>
              <w:t>0</w:t>
            </w:r>
          </w:p>
        </w:tc>
        <w:tc>
          <w:tcPr>
            <w:tcW w:w="798" w:type="pct"/>
          </w:tcPr>
          <w:p w14:paraId="5998056B" w14:textId="77777777" w:rsidR="00085E86" w:rsidRPr="00140B99" w:rsidRDefault="00085E86" w:rsidP="00727472">
            <w:pPr>
              <w:pStyle w:val="Compact"/>
              <w:jc w:val="center"/>
              <w:rPr>
                <w:rFonts w:ascii="Times New Roman" w:hAnsi="Times New Roman" w:cs="Times New Roman"/>
                <w:sz w:val="22"/>
                <w:szCs w:val="22"/>
                <w:lang w:val="en-GB"/>
              </w:rPr>
            </w:pPr>
            <w:r w:rsidRPr="00140B99">
              <w:rPr>
                <w:rFonts w:ascii="Times New Roman" w:hAnsi="Times New Roman" w:cs="Times New Roman"/>
                <w:sz w:val="22"/>
                <w:szCs w:val="22"/>
                <w:lang w:val="en-GB"/>
              </w:rPr>
              <w:t>0</w:t>
            </w:r>
          </w:p>
        </w:tc>
        <w:tc>
          <w:tcPr>
            <w:tcW w:w="1071" w:type="pct"/>
          </w:tcPr>
          <w:p w14:paraId="3814BE93" w14:textId="77777777" w:rsidR="00085E86" w:rsidRPr="00140B99" w:rsidRDefault="00085E86" w:rsidP="00727472">
            <w:pPr>
              <w:pStyle w:val="Compact"/>
              <w:jc w:val="center"/>
              <w:rPr>
                <w:rFonts w:ascii="Times New Roman" w:hAnsi="Times New Roman" w:cs="Times New Roman"/>
                <w:sz w:val="22"/>
                <w:szCs w:val="22"/>
                <w:lang w:val="en-GB"/>
              </w:rPr>
            </w:pPr>
            <w:r w:rsidRPr="00140B99">
              <w:rPr>
                <w:rFonts w:ascii="Times New Roman" w:hAnsi="Times New Roman" w:cs="Times New Roman"/>
                <w:sz w:val="22"/>
                <w:szCs w:val="22"/>
                <w:lang w:val="en-GB"/>
              </w:rPr>
              <w:t>2</w:t>
            </w:r>
          </w:p>
        </w:tc>
        <w:tc>
          <w:tcPr>
            <w:tcW w:w="807" w:type="pct"/>
          </w:tcPr>
          <w:p w14:paraId="0EDFEC0A" w14:textId="77777777" w:rsidR="00085E86" w:rsidRPr="00140B99" w:rsidRDefault="00085E86" w:rsidP="00727472">
            <w:pPr>
              <w:pStyle w:val="Compact"/>
              <w:rPr>
                <w:rFonts w:ascii="Times New Roman" w:hAnsi="Times New Roman" w:cs="Times New Roman"/>
                <w:sz w:val="22"/>
                <w:szCs w:val="22"/>
                <w:lang w:val="en-GB"/>
              </w:rPr>
            </w:pPr>
          </w:p>
        </w:tc>
      </w:tr>
    </w:tbl>
    <w:p w14:paraId="20365B8F" w14:textId="77777777" w:rsidR="00085E86" w:rsidRDefault="00085E86" w:rsidP="00085E86">
      <w:pPr>
        <w:spacing w:after="0" w:line="480" w:lineRule="auto"/>
        <w:rPr>
          <w:rFonts w:ascii="Times New Roman" w:eastAsia="Calibri" w:hAnsi="Times New Roman" w:cs="Times New Roman"/>
          <w:sz w:val="24"/>
          <w:szCs w:val="24"/>
        </w:rPr>
      </w:pPr>
    </w:p>
    <w:p w14:paraId="60633CC9" w14:textId="77777777" w:rsidR="00085E86" w:rsidRPr="00E84658" w:rsidRDefault="00085E86" w:rsidP="00085E86">
      <w:pPr>
        <w:spacing w:after="0" w:line="480" w:lineRule="auto"/>
        <w:rPr>
          <w:rFonts w:ascii="Times New Roman" w:eastAsia="Calibri" w:hAnsi="Times New Roman" w:cs="Times New Roman"/>
          <w:sz w:val="24"/>
          <w:szCs w:val="24"/>
        </w:rPr>
      </w:pPr>
      <w:r w:rsidRPr="00E84658">
        <w:rPr>
          <w:rFonts w:ascii="Times New Roman" w:eastAsia="Calibri" w:hAnsi="Times New Roman" w:cs="Times New Roman"/>
          <w:sz w:val="24"/>
          <w:szCs w:val="24"/>
        </w:rPr>
        <w:t>AML: Acute myeloid leukaemia, CLL: Chronic lymphocytic leukaemia, CML: Chronic myeloid leukaemia, MM- Multiple Myeloma IQR: interquartile range</w:t>
      </w:r>
    </w:p>
    <w:p w14:paraId="5A1FE1EE" w14:textId="77777777" w:rsidR="00085E86" w:rsidRPr="00E84658" w:rsidRDefault="00085E86" w:rsidP="00085E86">
      <w:pPr>
        <w:spacing w:before="160" w:after="60" w:line="480" w:lineRule="auto"/>
        <w:rPr>
          <w:rFonts w:ascii="Times New Roman" w:eastAsia="Calibri" w:hAnsi="Times New Roman" w:cs="Times New Roman"/>
          <w:sz w:val="24"/>
          <w:szCs w:val="24"/>
        </w:rPr>
      </w:pPr>
      <w:r>
        <w:rPr>
          <w:rFonts w:ascii="Times New Roman" w:eastAsia="Calibri" w:hAnsi="Times New Roman" w:cs="Times New Roman"/>
          <w:b/>
          <w:bCs/>
          <w:sz w:val="24"/>
          <w:szCs w:val="24"/>
        </w:rPr>
        <w:t xml:space="preserve">Supplementary </w:t>
      </w:r>
      <w:r w:rsidRPr="00E84658">
        <w:rPr>
          <w:rFonts w:ascii="Times New Roman" w:eastAsia="Calibri" w:hAnsi="Times New Roman" w:cs="Times New Roman"/>
          <w:b/>
          <w:bCs/>
          <w:sz w:val="24"/>
          <w:szCs w:val="24"/>
        </w:rPr>
        <w:t xml:space="preserve">Table </w:t>
      </w:r>
      <w:r>
        <w:rPr>
          <w:rFonts w:ascii="Times New Roman" w:eastAsia="Calibri" w:hAnsi="Times New Roman" w:cs="Times New Roman"/>
          <w:b/>
          <w:bCs/>
          <w:sz w:val="24"/>
          <w:szCs w:val="24"/>
        </w:rPr>
        <w:t>S</w:t>
      </w:r>
      <w:r w:rsidRPr="00E84658">
        <w:rPr>
          <w:rFonts w:ascii="Times New Roman" w:eastAsia="Calibri" w:hAnsi="Times New Roman" w:cs="Times New Roman"/>
          <w:b/>
          <w:bCs/>
          <w:sz w:val="24"/>
          <w:szCs w:val="24"/>
        </w:rPr>
        <w:t>2</w:t>
      </w:r>
      <w:r>
        <w:rPr>
          <w:rFonts w:ascii="Times New Roman" w:eastAsia="Calibri" w:hAnsi="Times New Roman" w:cs="Times New Roman"/>
          <w:b/>
          <w:bCs/>
          <w:sz w:val="24"/>
          <w:szCs w:val="24"/>
        </w:rPr>
        <w:t>:</w:t>
      </w:r>
      <w:r w:rsidRPr="00E84658">
        <w:rPr>
          <w:rFonts w:ascii="Times New Roman" w:eastAsia="Calibri" w:hAnsi="Times New Roman" w:cs="Times New Roman"/>
          <w:sz w:val="24"/>
          <w:szCs w:val="24"/>
        </w:rPr>
        <w:t xml:space="preserve"> Summary of the </w:t>
      </w:r>
      <w:r>
        <w:rPr>
          <w:rFonts w:ascii="Times New Roman" w:eastAsia="Calibri" w:hAnsi="Times New Roman" w:cs="Times New Roman"/>
          <w:sz w:val="24"/>
          <w:szCs w:val="24"/>
        </w:rPr>
        <w:t>hematological</w:t>
      </w:r>
      <w:r w:rsidRPr="00E84658">
        <w:rPr>
          <w:rFonts w:ascii="Times New Roman" w:eastAsia="Calibri" w:hAnsi="Times New Roman" w:cs="Times New Roman"/>
          <w:sz w:val="24"/>
          <w:szCs w:val="24"/>
        </w:rPr>
        <w:t xml:space="preserve"> profile of the cohort.</w:t>
      </w:r>
    </w:p>
    <w:tbl>
      <w:tblPr>
        <w:tblStyle w:val="GridTable1Light-Accent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3151"/>
        <w:gridCol w:w="2050"/>
        <w:gridCol w:w="1158"/>
        <w:gridCol w:w="1104"/>
        <w:gridCol w:w="835"/>
        <w:gridCol w:w="1166"/>
      </w:tblGrid>
      <w:tr w:rsidR="00085E86" w:rsidRPr="00E84658" w14:paraId="6853B781" w14:textId="77777777" w:rsidTr="00727472">
        <w:trPr>
          <w:cnfStyle w:val="100000000000" w:firstRow="1" w:lastRow="0" w:firstColumn="0" w:lastColumn="0" w:oddVBand="0" w:evenVBand="0" w:oddHBand="0" w:evenHBand="0" w:firstRowFirstColumn="0" w:firstRowLastColumn="0" w:lastRowFirstColumn="0" w:lastRowLastColumn="0"/>
          <w:trHeight w:val="297"/>
        </w:trPr>
        <w:tc>
          <w:tcPr>
            <w:tcW w:w="1665" w:type="pct"/>
            <w:vAlign w:val="center"/>
            <w:hideMark/>
          </w:tcPr>
          <w:p w14:paraId="142B4B6B" w14:textId="77777777" w:rsidR="00085E86" w:rsidRPr="00140B99" w:rsidRDefault="00085E86" w:rsidP="00727472">
            <w:pPr>
              <w:pStyle w:val="Compact"/>
              <w:rPr>
                <w:rFonts w:ascii="Times New Roman" w:hAnsi="Times New Roman" w:cs="Times New Roman"/>
                <w:color w:val="000000" w:themeColor="text1"/>
                <w:sz w:val="22"/>
                <w:szCs w:val="22"/>
                <w:lang w:val="en-GB"/>
              </w:rPr>
            </w:pPr>
            <w:r w:rsidRPr="00140B99">
              <w:rPr>
                <w:rFonts w:ascii="Times New Roman" w:hAnsi="Times New Roman" w:cs="Times New Roman"/>
                <w:color w:val="000000" w:themeColor="text1"/>
                <w:sz w:val="22"/>
                <w:szCs w:val="22"/>
                <w:lang w:val="en-GB"/>
              </w:rPr>
              <w:t>Characteristics</w:t>
            </w:r>
          </w:p>
        </w:tc>
        <w:tc>
          <w:tcPr>
            <w:tcW w:w="1083" w:type="pct"/>
            <w:vAlign w:val="center"/>
            <w:hideMark/>
          </w:tcPr>
          <w:p w14:paraId="5BF9072F" w14:textId="77777777" w:rsidR="00085E86" w:rsidRPr="00140B99" w:rsidRDefault="00085E86" w:rsidP="00727472">
            <w:pPr>
              <w:pStyle w:val="Compact"/>
              <w:rPr>
                <w:rFonts w:ascii="Times New Roman" w:hAnsi="Times New Roman" w:cs="Times New Roman"/>
                <w:color w:val="000000" w:themeColor="text1"/>
                <w:sz w:val="22"/>
                <w:szCs w:val="22"/>
                <w:lang w:val="en-GB"/>
              </w:rPr>
            </w:pPr>
            <w:r w:rsidRPr="00140B99">
              <w:rPr>
                <w:rFonts w:ascii="Times New Roman" w:hAnsi="Times New Roman" w:cs="Times New Roman"/>
                <w:color w:val="000000" w:themeColor="text1"/>
                <w:sz w:val="22"/>
                <w:szCs w:val="22"/>
                <w:lang w:val="en-GB"/>
              </w:rPr>
              <w:t>Reference range</w:t>
            </w:r>
          </w:p>
        </w:tc>
        <w:tc>
          <w:tcPr>
            <w:tcW w:w="612" w:type="pct"/>
            <w:vAlign w:val="center"/>
            <w:hideMark/>
          </w:tcPr>
          <w:p w14:paraId="7B958291" w14:textId="77777777" w:rsidR="00085E86" w:rsidRPr="00140B99" w:rsidRDefault="00085E86" w:rsidP="00727472">
            <w:pPr>
              <w:pStyle w:val="Compact"/>
              <w:jc w:val="center"/>
              <w:rPr>
                <w:rFonts w:ascii="Times New Roman" w:hAnsi="Times New Roman" w:cs="Times New Roman"/>
                <w:color w:val="000000" w:themeColor="text1"/>
                <w:sz w:val="22"/>
                <w:szCs w:val="22"/>
                <w:lang w:val="en-GB"/>
              </w:rPr>
            </w:pPr>
            <w:r w:rsidRPr="00140B99">
              <w:rPr>
                <w:rFonts w:ascii="Times New Roman" w:hAnsi="Times New Roman" w:cs="Times New Roman"/>
                <w:color w:val="000000" w:themeColor="text1"/>
                <w:sz w:val="22"/>
                <w:szCs w:val="22"/>
                <w:lang w:val="en-GB"/>
              </w:rPr>
              <w:t>AML</w:t>
            </w:r>
          </w:p>
        </w:tc>
        <w:tc>
          <w:tcPr>
            <w:tcW w:w="583" w:type="pct"/>
            <w:vAlign w:val="center"/>
            <w:hideMark/>
          </w:tcPr>
          <w:p w14:paraId="31BEF57B" w14:textId="77777777" w:rsidR="00085E86" w:rsidRPr="00140B99" w:rsidRDefault="00085E86" w:rsidP="00727472">
            <w:pPr>
              <w:pStyle w:val="Compact"/>
              <w:jc w:val="center"/>
              <w:rPr>
                <w:rFonts w:ascii="Times New Roman" w:hAnsi="Times New Roman" w:cs="Times New Roman"/>
                <w:color w:val="000000" w:themeColor="text1"/>
                <w:sz w:val="22"/>
                <w:szCs w:val="22"/>
                <w:lang w:val="en-GB"/>
              </w:rPr>
            </w:pPr>
            <w:r w:rsidRPr="00140B99">
              <w:rPr>
                <w:rFonts w:ascii="Times New Roman" w:hAnsi="Times New Roman" w:cs="Times New Roman"/>
                <w:color w:val="000000" w:themeColor="text1"/>
                <w:sz w:val="22"/>
                <w:szCs w:val="22"/>
                <w:lang w:val="en-GB"/>
              </w:rPr>
              <w:t>CLL</w:t>
            </w:r>
          </w:p>
        </w:tc>
        <w:tc>
          <w:tcPr>
            <w:tcW w:w="0" w:type="auto"/>
            <w:vAlign w:val="center"/>
            <w:hideMark/>
          </w:tcPr>
          <w:p w14:paraId="05DC2C74" w14:textId="77777777" w:rsidR="00085E86" w:rsidRPr="00140B99" w:rsidRDefault="00085E86" w:rsidP="00727472">
            <w:pPr>
              <w:pStyle w:val="Compact"/>
              <w:jc w:val="center"/>
              <w:rPr>
                <w:rFonts w:ascii="Times New Roman" w:hAnsi="Times New Roman" w:cs="Times New Roman"/>
                <w:color w:val="000000" w:themeColor="text1"/>
                <w:sz w:val="22"/>
                <w:szCs w:val="22"/>
                <w:lang w:val="en-GB"/>
              </w:rPr>
            </w:pPr>
            <w:r w:rsidRPr="00140B99">
              <w:rPr>
                <w:rFonts w:ascii="Times New Roman" w:hAnsi="Times New Roman" w:cs="Times New Roman"/>
                <w:color w:val="000000" w:themeColor="text1"/>
                <w:sz w:val="22"/>
                <w:szCs w:val="22"/>
                <w:lang w:val="en-GB"/>
              </w:rPr>
              <w:t>CML</w:t>
            </w:r>
          </w:p>
        </w:tc>
        <w:tc>
          <w:tcPr>
            <w:tcW w:w="616" w:type="pct"/>
            <w:vAlign w:val="center"/>
            <w:hideMark/>
          </w:tcPr>
          <w:p w14:paraId="6AA21D87" w14:textId="77777777" w:rsidR="00085E86" w:rsidRPr="00140B99" w:rsidRDefault="00085E86" w:rsidP="00727472">
            <w:pPr>
              <w:pStyle w:val="Compact"/>
              <w:rPr>
                <w:rFonts w:ascii="Times New Roman" w:hAnsi="Times New Roman" w:cs="Times New Roman"/>
                <w:color w:val="000000" w:themeColor="text1"/>
                <w:sz w:val="22"/>
                <w:szCs w:val="22"/>
                <w:lang w:val="en-GB"/>
              </w:rPr>
            </w:pPr>
            <w:r w:rsidRPr="00140B99">
              <w:rPr>
                <w:rFonts w:ascii="Times New Roman" w:hAnsi="Times New Roman" w:cs="Times New Roman"/>
                <w:color w:val="000000" w:themeColor="text1"/>
                <w:sz w:val="22"/>
                <w:szCs w:val="22"/>
                <w:lang w:val="en-GB"/>
              </w:rPr>
              <w:t>p-value</w:t>
            </w:r>
          </w:p>
        </w:tc>
      </w:tr>
      <w:tr w:rsidR="00085E86" w:rsidRPr="00E84658" w14:paraId="6587B672" w14:textId="77777777" w:rsidTr="00727472">
        <w:trPr>
          <w:trHeight w:val="357"/>
        </w:trPr>
        <w:tc>
          <w:tcPr>
            <w:tcW w:w="1665" w:type="pct"/>
            <w:hideMark/>
          </w:tcPr>
          <w:p w14:paraId="6EB3CC8B" w14:textId="77777777" w:rsidR="00085E86" w:rsidRPr="00140B99" w:rsidRDefault="00085E86" w:rsidP="00727472">
            <w:pPr>
              <w:pStyle w:val="Compact"/>
              <w:rPr>
                <w:rFonts w:ascii="Times New Roman" w:hAnsi="Times New Roman" w:cs="Times New Roman"/>
                <w:color w:val="000000" w:themeColor="text1"/>
                <w:sz w:val="22"/>
                <w:szCs w:val="22"/>
                <w:lang w:val="en-GB"/>
              </w:rPr>
            </w:pPr>
            <w:r w:rsidRPr="00140B99">
              <w:rPr>
                <w:rFonts w:ascii="Times New Roman" w:hAnsi="Times New Roman" w:cs="Times New Roman"/>
                <w:color w:val="000000" w:themeColor="text1"/>
                <w:sz w:val="22"/>
                <w:szCs w:val="22"/>
                <w:lang w:val="en-GB"/>
              </w:rPr>
              <w:t>Haemoglobin (g/dL)</w:t>
            </w:r>
          </w:p>
        </w:tc>
        <w:tc>
          <w:tcPr>
            <w:tcW w:w="1083" w:type="pct"/>
            <w:hideMark/>
          </w:tcPr>
          <w:p w14:paraId="02BAD3EE" w14:textId="77777777" w:rsidR="00085E86" w:rsidRPr="00140B99" w:rsidRDefault="00085E86" w:rsidP="00727472">
            <w:pPr>
              <w:pStyle w:val="Compact"/>
              <w:jc w:val="center"/>
              <w:rPr>
                <w:rFonts w:ascii="Times New Roman" w:hAnsi="Times New Roman" w:cs="Times New Roman"/>
                <w:color w:val="000000" w:themeColor="text1"/>
                <w:sz w:val="22"/>
                <w:szCs w:val="22"/>
                <w:lang w:val="en-GB"/>
              </w:rPr>
            </w:pPr>
            <w:r w:rsidRPr="00140B99">
              <w:rPr>
                <w:rFonts w:ascii="Times New Roman" w:hAnsi="Times New Roman" w:cs="Times New Roman"/>
                <w:color w:val="000000" w:themeColor="text1"/>
                <w:sz w:val="22"/>
                <w:szCs w:val="22"/>
                <w:lang w:val="en-GB"/>
              </w:rPr>
              <w:t>12.4 - 16.7</w:t>
            </w:r>
          </w:p>
        </w:tc>
        <w:tc>
          <w:tcPr>
            <w:tcW w:w="612" w:type="pct"/>
            <w:hideMark/>
          </w:tcPr>
          <w:p w14:paraId="5461066F" w14:textId="77777777" w:rsidR="00085E86" w:rsidRPr="00140B99" w:rsidRDefault="00085E86" w:rsidP="00727472">
            <w:pPr>
              <w:pStyle w:val="Compact"/>
              <w:jc w:val="center"/>
              <w:rPr>
                <w:rFonts w:ascii="Times New Roman" w:hAnsi="Times New Roman" w:cs="Times New Roman"/>
                <w:color w:val="000000" w:themeColor="text1"/>
                <w:sz w:val="22"/>
                <w:szCs w:val="22"/>
                <w:lang w:val="en-GB"/>
              </w:rPr>
            </w:pPr>
            <w:r w:rsidRPr="00140B99">
              <w:rPr>
                <w:rFonts w:ascii="Times New Roman" w:hAnsi="Times New Roman" w:cs="Times New Roman"/>
                <w:color w:val="000000" w:themeColor="text1"/>
                <w:sz w:val="22"/>
                <w:szCs w:val="22"/>
                <w:lang w:val="en-GB"/>
              </w:rPr>
              <w:t xml:space="preserve">8.30 </w:t>
            </w:r>
          </w:p>
        </w:tc>
        <w:tc>
          <w:tcPr>
            <w:tcW w:w="583" w:type="pct"/>
            <w:hideMark/>
          </w:tcPr>
          <w:p w14:paraId="2940BA47" w14:textId="77777777" w:rsidR="00085E86" w:rsidRPr="00140B99" w:rsidRDefault="00085E86" w:rsidP="00727472">
            <w:pPr>
              <w:pStyle w:val="Compact"/>
              <w:jc w:val="center"/>
              <w:rPr>
                <w:rFonts w:ascii="Times New Roman" w:hAnsi="Times New Roman" w:cs="Times New Roman"/>
                <w:color w:val="000000" w:themeColor="text1"/>
                <w:sz w:val="22"/>
                <w:szCs w:val="22"/>
                <w:lang w:val="en-GB"/>
              </w:rPr>
            </w:pPr>
            <w:r w:rsidRPr="00140B99">
              <w:rPr>
                <w:rFonts w:ascii="Times New Roman" w:hAnsi="Times New Roman" w:cs="Times New Roman"/>
                <w:color w:val="000000" w:themeColor="text1"/>
                <w:sz w:val="22"/>
                <w:szCs w:val="22"/>
                <w:lang w:val="en-GB"/>
              </w:rPr>
              <w:t xml:space="preserve">9.80 </w:t>
            </w:r>
          </w:p>
        </w:tc>
        <w:tc>
          <w:tcPr>
            <w:tcW w:w="0" w:type="auto"/>
            <w:hideMark/>
          </w:tcPr>
          <w:p w14:paraId="3336FA21" w14:textId="77777777" w:rsidR="00085E86" w:rsidRPr="00140B99" w:rsidRDefault="00085E86" w:rsidP="00727472">
            <w:pPr>
              <w:pStyle w:val="Compact"/>
              <w:jc w:val="center"/>
              <w:rPr>
                <w:rFonts w:ascii="Times New Roman" w:hAnsi="Times New Roman" w:cs="Times New Roman"/>
                <w:color w:val="000000" w:themeColor="text1"/>
                <w:sz w:val="22"/>
                <w:szCs w:val="22"/>
                <w:lang w:val="en-GB"/>
              </w:rPr>
            </w:pPr>
            <w:r w:rsidRPr="00140B99">
              <w:rPr>
                <w:rFonts w:ascii="Times New Roman" w:hAnsi="Times New Roman" w:cs="Times New Roman"/>
                <w:color w:val="000000" w:themeColor="text1"/>
                <w:sz w:val="22"/>
                <w:szCs w:val="22"/>
                <w:lang w:val="en-GB"/>
              </w:rPr>
              <w:t xml:space="preserve">14.20 </w:t>
            </w:r>
          </w:p>
        </w:tc>
        <w:tc>
          <w:tcPr>
            <w:tcW w:w="616" w:type="pct"/>
            <w:hideMark/>
          </w:tcPr>
          <w:p w14:paraId="5F2690A3" w14:textId="77777777" w:rsidR="00085E86" w:rsidRPr="00140B99" w:rsidRDefault="00085E86" w:rsidP="00727472">
            <w:pPr>
              <w:pStyle w:val="Compact"/>
              <w:jc w:val="center"/>
              <w:rPr>
                <w:rFonts w:ascii="Times New Roman" w:hAnsi="Times New Roman" w:cs="Times New Roman"/>
                <w:color w:val="000000" w:themeColor="text1"/>
                <w:sz w:val="22"/>
                <w:szCs w:val="22"/>
                <w:lang w:val="en-GB"/>
              </w:rPr>
            </w:pPr>
            <w:r w:rsidRPr="00140B99">
              <w:rPr>
                <w:rFonts w:ascii="Times New Roman" w:hAnsi="Times New Roman" w:cs="Times New Roman"/>
                <w:color w:val="000000" w:themeColor="text1"/>
                <w:sz w:val="22"/>
                <w:szCs w:val="22"/>
                <w:lang w:val="en-GB"/>
              </w:rPr>
              <w:t>0.014*</w:t>
            </w:r>
          </w:p>
        </w:tc>
      </w:tr>
      <w:tr w:rsidR="00085E86" w:rsidRPr="00E84658" w14:paraId="2554EA56" w14:textId="77777777" w:rsidTr="00727472">
        <w:trPr>
          <w:trHeight w:val="357"/>
        </w:trPr>
        <w:tc>
          <w:tcPr>
            <w:tcW w:w="1665" w:type="pct"/>
            <w:hideMark/>
          </w:tcPr>
          <w:p w14:paraId="226F2F93" w14:textId="77777777" w:rsidR="00085E86" w:rsidRPr="00140B99" w:rsidRDefault="00085E86" w:rsidP="00727472">
            <w:pPr>
              <w:pStyle w:val="Compact"/>
              <w:rPr>
                <w:rFonts w:ascii="Times New Roman" w:hAnsi="Times New Roman" w:cs="Times New Roman"/>
                <w:color w:val="000000" w:themeColor="text1"/>
                <w:sz w:val="22"/>
                <w:szCs w:val="22"/>
                <w:lang w:val="en-GB"/>
              </w:rPr>
            </w:pPr>
            <w:r w:rsidRPr="00140B99">
              <w:rPr>
                <w:rFonts w:ascii="Times New Roman" w:hAnsi="Times New Roman" w:cs="Times New Roman"/>
                <w:color w:val="000000" w:themeColor="text1"/>
                <w:sz w:val="22"/>
                <w:szCs w:val="22"/>
                <w:lang w:val="en-GB"/>
              </w:rPr>
              <w:t>Mean Corpuscular Volume (fL)</w:t>
            </w:r>
          </w:p>
        </w:tc>
        <w:tc>
          <w:tcPr>
            <w:tcW w:w="1083" w:type="pct"/>
            <w:hideMark/>
          </w:tcPr>
          <w:p w14:paraId="1E80CD0E" w14:textId="77777777" w:rsidR="00085E86" w:rsidRPr="00140B99" w:rsidRDefault="00085E86" w:rsidP="00727472">
            <w:pPr>
              <w:pStyle w:val="Compact"/>
              <w:jc w:val="center"/>
              <w:rPr>
                <w:rFonts w:ascii="Times New Roman" w:hAnsi="Times New Roman" w:cs="Times New Roman"/>
                <w:color w:val="000000" w:themeColor="text1"/>
                <w:sz w:val="22"/>
                <w:szCs w:val="22"/>
                <w:lang w:val="en-GB"/>
              </w:rPr>
            </w:pPr>
            <w:r w:rsidRPr="00140B99">
              <w:rPr>
                <w:rFonts w:ascii="Times New Roman" w:hAnsi="Times New Roman" w:cs="Times New Roman"/>
                <w:color w:val="000000" w:themeColor="text1"/>
                <w:sz w:val="22"/>
                <w:szCs w:val="22"/>
                <w:lang w:val="en-GB"/>
              </w:rPr>
              <w:t>79 - 100</w:t>
            </w:r>
          </w:p>
        </w:tc>
        <w:tc>
          <w:tcPr>
            <w:tcW w:w="612" w:type="pct"/>
            <w:hideMark/>
          </w:tcPr>
          <w:p w14:paraId="4E4763D5" w14:textId="77777777" w:rsidR="00085E86" w:rsidRPr="00140B99" w:rsidRDefault="00085E86" w:rsidP="00727472">
            <w:pPr>
              <w:pStyle w:val="Compact"/>
              <w:jc w:val="center"/>
              <w:rPr>
                <w:rFonts w:ascii="Times New Roman" w:hAnsi="Times New Roman" w:cs="Times New Roman"/>
                <w:color w:val="000000" w:themeColor="text1"/>
                <w:sz w:val="22"/>
                <w:szCs w:val="22"/>
                <w:lang w:val="en-GB"/>
              </w:rPr>
            </w:pPr>
            <w:r w:rsidRPr="00140B99">
              <w:rPr>
                <w:rFonts w:ascii="Times New Roman" w:hAnsi="Times New Roman" w:cs="Times New Roman"/>
                <w:color w:val="000000" w:themeColor="text1"/>
                <w:sz w:val="22"/>
                <w:szCs w:val="22"/>
                <w:lang w:val="en-GB"/>
              </w:rPr>
              <w:t xml:space="preserve">93.6 </w:t>
            </w:r>
          </w:p>
        </w:tc>
        <w:tc>
          <w:tcPr>
            <w:tcW w:w="583" w:type="pct"/>
            <w:hideMark/>
          </w:tcPr>
          <w:p w14:paraId="23CDC2BD" w14:textId="77777777" w:rsidR="00085E86" w:rsidRPr="00140B99" w:rsidRDefault="00085E86" w:rsidP="00727472">
            <w:pPr>
              <w:pStyle w:val="Compact"/>
              <w:jc w:val="center"/>
              <w:rPr>
                <w:rFonts w:ascii="Times New Roman" w:hAnsi="Times New Roman" w:cs="Times New Roman"/>
                <w:color w:val="000000" w:themeColor="text1"/>
                <w:sz w:val="22"/>
                <w:szCs w:val="22"/>
                <w:lang w:val="en-GB"/>
              </w:rPr>
            </w:pPr>
            <w:r w:rsidRPr="00140B99">
              <w:rPr>
                <w:rFonts w:ascii="Times New Roman" w:hAnsi="Times New Roman" w:cs="Times New Roman"/>
                <w:color w:val="000000" w:themeColor="text1"/>
                <w:sz w:val="22"/>
                <w:szCs w:val="22"/>
                <w:lang w:val="en-GB"/>
              </w:rPr>
              <w:t>105.6</w:t>
            </w:r>
          </w:p>
        </w:tc>
        <w:tc>
          <w:tcPr>
            <w:tcW w:w="0" w:type="auto"/>
            <w:hideMark/>
          </w:tcPr>
          <w:p w14:paraId="27B496C4" w14:textId="77777777" w:rsidR="00085E86" w:rsidRPr="00140B99" w:rsidRDefault="00085E86" w:rsidP="00727472">
            <w:pPr>
              <w:pStyle w:val="Compact"/>
              <w:jc w:val="center"/>
              <w:rPr>
                <w:rFonts w:ascii="Times New Roman" w:hAnsi="Times New Roman" w:cs="Times New Roman"/>
                <w:color w:val="000000" w:themeColor="text1"/>
                <w:sz w:val="22"/>
                <w:szCs w:val="22"/>
                <w:lang w:val="en-GB"/>
              </w:rPr>
            </w:pPr>
            <w:r w:rsidRPr="00140B99">
              <w:rPr>
                <w:rFonts w:ascii="Times New Roman" w:hAnsi="Times New Roman" w:cs="Times New Roman"/>
                <w:color w:val="000000" w:themeColor="text1"/>
                <w:sz w:val="22"/>
                <w:szCs w:val="22"/>
                <w:lang w:val="en-GB"/>
              </w:rPr>
              <w:t xml:space="preserve">90.9 </w:t>
            </w:r>
          </w:p>
        </w:tc>
        <w:tc>
          <w:tcPr>
            <w:tcW w:w="616" w:type="pct"/>
            <w:hideMark/>
          </w:tcPr>
          <w:p w14:paraId="5608A954" w14:textId="77777777" w:rsidR="00085E86" w:rsidRPr="00140B99" w:rsidRDefault="00085E86" w:rsidP="00727472">
            <w:pPr>
              <w:pStyle w:val="Compact"/>
              <w:jc w:val="center"/>
              <w:rPr>
                <w:rFonts w:ascii="Times New Roman" w:hAnsi="Times New Roman" w:cs="Times New Roman"/>
                <w:color w:val="000000" w:themeColor="text1"/>
                <w:sz w:val="22"/>
                <w:szCs w:val="22"/>
                <w:lang w:val="en-GB"/>
              </w:rPr>
            </w:pPr>
            <w:r w:rsidRPr="00140B99">
              <w:rPr>
                <w:rFonts w:ascii="Times New Roman" w:hAnsi="Times New Roman" w:cs="Times New Roman"/>
                <w:color w:val="000000" w:themeColor="text1"/>
                <w:sz w:val="22"/>
                <w:szCs w:val="22"/>
                <w:lang w:val="en-GB"/>
              </w:rPr>
              <w:t>0.13</w:t>
            </w:r>
          </w:p>
        </w:tc>
      </w:tr>
      <w:tr w:rsidR="00085E86" w:rsidRPr="00E84658" w14:paraId="7161E556" w14:textId="77777777" w:rsidTr="00727472">
        <w:trPr>
          <w:trHeight w:val="368"/>
        </w:trPr>
        <w:tc>
          <w:tcPr>
            <w:tcW w:w="1665" w:type="pct"/>
            <w:hideMark/>
          </w:tcPr>
          <w:p w14:paraId="45AEB185" w14:textId="77777777" w:rsidR="00085E86" w:rsidRPr="00140B99" w:rsidRDefault="00085E86" w:rsidP="00727472">
            <w:pPr>
              <w:pStyle w:val="Compact"/>
              <w:rPr>
                <w:rFonts w:ascii="Times New Roman" w:hAnsi="Times New Roman" w:cs="Times New Roman"/>
                <w:color w:val="000000" w:themeColor="text1"/>
                <w:sz w:val="22"/>
                <w:szCs w:val="22"/>
                <w:lang w:val="en-GB"/>
              </w:rPr>
            </w:pPr>
            <w:r w:rsidRPr="00140B99">
              <w:rPr>
                <w:rFonts w:ascii="Times New Roman" w:hAnsi="Times New Roman" w:cs="Times New Roman"/>
                <w:color w:val="000000" w:themeColor="text1"/>
                <w:sz w:val="22"/>
                <w:szCs w:val="22"/>
                <w:lang w:val="en-GB"/>
              </w:rPr>
              <w:t>Platelets x10</w:t>
            </w:r>
            <w:r w:rsidRPr="00140B99">
              <w:rPr>
                <w:rFonts w:ascii="Times New Roman" w:hAnsi="Times New Roman" w:cs="Times New Roman"/>
                <w:color w:val="000000" w:themeColor="text1"/>
                <w:sz w:val="22"/>
                <w:szCs w:val="22"/>
                <w:vertAlign w:val="superscript"/>
                <w:lang w:val="en-GB"/>
              </w:rPr>
              <w:t>9</w:t>
            </w:r>
          </w:p>
        </w:tc>
        <w:tc>
          <w:tcPr>
            <w:tcW w:w="1083" w:type="pct"/>
            <w:hideMark/>
          </w:tcPr>
          <w:p w14:paraId="59DD11B5" w14:textId="77777777" w:rsidR="00085E86" w:rsidRPr="00140B99" w:rsidRDefault="00085E86" w:rsidP="00727472">
            <w:pPr>
              <w:pStyle w:val="Compact"/>
              <w:jc w:val="center"/>
              <w:rPr>
                <w:rFonts w:ascii="Times New Roman" w:hAnsi="Times New Roman" w:cs="Times New Roman"/>
                <w:color w:val="000000" w:themeColor="text1"/>
                <w:sz w:val="22"/>
                <w:szCs w:val="22"/>
                <w:lang w:val="en-GB"/>
              </w:rPr>
            </w:pPr>
            <w:r w:rsidRPr="00140B99">
              <w:rPr>
                <w:rFonts w:ascii="Times New Roman" w:hAnsi="Times New Roman" w:cs="Times New Roman"/>
                <w:color w:val="000000" w:themeColor="text1"/>
                <w:sz w:val="22"/>
                <w:szCs w:val="22"/>
                <w:lang w:val="en-GB"/>
              </w:rPr>
              <w:t>150 -450</w:t>
            </w:r>
          </w:p>
        </w:tc>
        <w:tc>
          <w:tcPr>
            <w:tcW w:w="612" w:type="pct"/>
            <w:hideMark/>
          </w:tcPr>
          <w:p w14:paraId="10FD3728" w14:textId="77777777" w:rsidR="00085E86" w:rsidRPr="00140B99" w:rsidRDefault="00085E86" w:rsidP="00727472">
            <w:pPr>
              <w:pStyle w:val="Compact"/>
              <w:jc w:val="center"/>
              <w:rPr>
                <w:rFonts w:ascii="Times New Roman" w:hAnsi="Times New Roman" w:cs="Times New Roman"/>
                <w:color w:val="000000" w:themeColor="text1"/>
                <w:sz w:val="22"/>
                <w:szCs w:val="22"/>
                <w:lang w:val="en-GB"/>
              </w:rPr>
            </w:pPr>
            <w:r w:rsidRPr="00140B99">
              <w:rPr>
                <w:rFonts w:ascii="Times New Roman" w:hAnsi="Times New Roman" w:cs="Times New Roman"/>
                <w:color w:val="000000" w:themeColor="text1"/>
                <w:sz w:val="22"/>
                <w:szCs w:val="22"/>
                <w:lang w:val="en-GB"/>
              </w:rPr>
              <w:t xml:space="preserve">61 </w:t>
            </w:r>
          </w:p>
        </w:tc>
        <w:tc>
          <w:tcPr>
            <w:tcW w:w="583" w:type="pct"/>
            <w:hideMark/>
          </w:tcPr>
          <w:p w14:paraId="5D39AA4F" w14:textId="77777777" w:rsidR="00085E86" w:rsidRPr="00140B99" w:rsidRDefault="00085E86" w:rsidP="00727472">
            <w:pPr>
              <w:pStyle w:val="Compact"/>
              <w:jc w:val="center"/>
              <w:rPr>
                <w:rFonts w:ascii="Times New Roman" w:hAnsi="Times New Roman" w:cs="Times New Roman"/>
                <w:color w:val="000000" w:themeColor="text1"/>
                <w:sz w:val="22"/>
                <w:szCs w:val="22"/>
                <w:lang w:val="en-GB"/>
              </w:rPr>
            </w:pPr>
            <w:r w:rsidRPr="00140B99">
              <w:rPr>
                <w:rFonts w:ascii="Times New Roman" w:hAnsi="Times New Roman" w:cs="Times New Roman"/>
                <w:color w:val="000000" w:themeColor="text1"/>
                <w:sz w:val="22"/>
                <w:szCs w:val="22"/>
                <w:lang w:val="en-GB"/>
              </w:rPr>
              <w:t xml:space="preserve">92 </w:t>
            </w:r>
          </w:p>
        </w:tc>
        <w:tc>
          <w:tcPr>
            <w:tcW w:w="0" w:type="auto"/>
            <w:hideMark/>
          </w:tcPr>
          <w:p w14:paraId="08477C0F" w14:textId="77777777" w:rsidR="00085E86" w:rsidRPr="00140B99" w:rsidRDefault="00085E86" w:rsidP="00727472">
            <w:pPr>
              <w:pStyle w:val="Compact"/>
              <w:jc w:val="center"/>
              <w:rPr>
                <w:rFonts w:ascii="Times New Roman" w:hAnsi="Times New Roman" w:cs="Times New Roman"/>
                <w:color w:val="000000" w:themeColor="text1"/>
                <w:sz w:val="22"/>
                <w:szCs w:val="22"/>
                <w:lang w:val="en-GB"/>
              </w:rPr>
            </w:pPr>
            <w:r w:rsidRPr="00140B99">
              <w:rPr>
                <w:rFonts w:ascii="Times New Roman" w:hAnsi="Times New Roman" w:cs="Times New Roman"/>
                <w:color w:val="000000" w:themeColor="text1"/>
                <w:sz w:val="22"/>
                <w:szCs w:val="22"/>
                <w:lang w:val="en-GB"/>
              </w:rPr>
              <w:t>240</w:t>
            </w:r>
          </w:p>
        </w:tc>
        <w:tc>
          <w:tcPr>
            <w:tcW w:w="616" w:type="pct"/>
            <w:hideMark/>
          </w:tcPr>
          <w:p w14:paraId="396EF962" w14:textId="77777777" w:rsidR="00085E86" w:rsidRPr="00140B99" w:rsidRDefault="00085E86" w:rsidP="00727472">
            <w:pPr>
              <w:pStyle w:val="Compact"/>
              <w:jc w:val="center"/>
              <w:rPr>
                <w:rFonts w:ascii="Times New Roman" w:hAnsi="Times New Roman" w:cs="Times New Roman"/>
                <w:color w:val="000000" w:themeColor="text1"/>
                <w:sz w:val="22"/>
                <w:szCs w:val="22"/>
                <w:lang w:val="en-GB"/>
              </w:rPr>
            </w:pPr>
            <w:r w:rsidRPr="00140B99">
              <w:rPr>
                <w:rFonts w:ascii="Times New Roman" w:hAnsi="Times New Roman" w:cs="Times New Roman"/>
                <w:color w:val="000000" w:themeColor="text1"/>
                <w:sz w:val="22"/>
                <w:szCs w:val="22"/>
                <w:lang w:val="en-GB"/>
              </w:rPr>
              <w:t>0.071</w:t>
            </w:r>
          </w:p>
        </w:tc>
      </w:tr>
      <w:tr w:rsidR="00085E86" w:rsidRPr="00E84658" w14:paraId="4B80457D" w14:textId="77777777" w:rsidTr="00727472">
        <w:trPr>
          <w:trHeight w:val="357"/>
        </w:trPr>
        <w:tc>
          <w:tcPr>
            <w:tcW w:w="1665" w:type="pct"/>
            <w:hideMark/>
          </w:tcPr>
          <w:p w14:paraId="53A8120C" w14:textId="77777777" w:rsidR="00085E86" w:rsidRPr="00140B99" w:rsidRDefault="00085E86" w:rsidP="00727472">
            <w:pPr>
              <w:pStyle w:val="Compact"/>
              <w:rPr>
                <w:rFonts w:ascii="Times New Roman" w:hAnsi="Times New Roman" w:cs="Times New Roman"/>
                <w:color w:val="000000" w:themeColor="text1"/>
                <w:sz w:val="22"/>
                <w:szCs w:val="22"/>
                <w:lang w:val="en-GB"/>
              </w:rPr>
            </w:pPr>
            <w:r w:rsidRPr="00140B99">
              <w:rPr>
                <w:rFonts w:ascii="Times New Roman" w:hAnsi="Times New Roman" w:cs="Times New Roman"/>
                <w:color w:val="000000" w:themeColor="text1"/>
                <w:sz w:val="22"/>
                <w:szCs w:val="22"/>
                <w:lang w:val="en-GB"/>
              </w:rPr>
              <w:t>WBC x10</w:t>
            </w:r>
            <w:r w:rsidRPr="00140B99">
              <w:rPr>
                <w:rFonts w:ascii="Times New Roman" w:hAnsi="Times New Roman" w:cs="Times New Roman"/>
                <w:color w:val="000000" w:themeColor="text1"/>
                <w:sz w:val="22"/>
                <w:szCs w:val="22"/>
                <w:vertAlign w:val="superscript"/>
                <w:lang w:val="en-GB"/>
              </w:rPr>
              <w:t>9</w:t>
            </w:r>
            <w:r w:rsidRPr="00140B99">
              <w:rPr>
                <w:rFonts w:ascii="Times New Roman" w:hAnsi="Times New Roman" w:cs="Times New Roman"/>
                <w:color w:val="000000" w:themeColor="text1"/>
                <w:sz w:val="22"/>
                <w:szCs w:val="22"/>
                <w:lang w:val="en-GB"/>
              </w:rPr>
              <w:t>/L</w:t>
            </w:r>
          </w:p>
        </w:tc>
        <w:tc>
          <w:tcPr>
            <w:tcW w:w="1083" w:type="pct"/>
            <w:hideMark/>
          </w:tcPr>
          <w:p w14:paraId="71C92F4C" w14:textId="77777777" w:rsidR="00085E86" w:rsidRPr="00140B99" w:rsidRDefault="00085E86" w:rsidP="00727472">
            <w:pPr>
              <w:pStyle w:val="Compact"/>
              <w:jc w:val="center"/>
              <w:rPr>
                <w:rFonts w:ascii="Times New Roman" w:hAnsi="Times New Roman" w:cs="Times New Roman"/>
                <w:color w:val="000000" w:themeColor="text1"/>
                <w:sz w:val="22"/>
                <w:szCs w:val="22"/>
                <w:lang w:val="en-GB"/>
              </w:rPr>
            </w:pPr>
            <w:r w:rsidRPr="00140B99">
              <w:rPr>
                <w:rFonts w:ascii="Times New Roman" w:hAnsi="Times New Roman" w:cs="Times New Roman"/>
                <w:color w:val="000000" w:themeColor="text1"/>
                <w:sz w:val="22"/>
                <w:szCs w:val="22"/>
                <w:lang w:val="en-GB"/>
              </w:rPr>
              <w:t>4.0 – 12.0</w:t>
            </w:r>
          </w:p>
        </w:tc>
        <w:tc>
          <w:tcPr>
            <w:tcW w:w="612" w:type="pct"/>
            <w:hideMark/>
          </w:tcPr>
          <w:p w14:paraId="4E2867C0" w14:textId="77777777" w:rsidR="00085E86" w:rsidRPr="00140B99" w:rsidRDefault="00085E86" w:rsidP="00727472">
            <w:pPr>
              <w:pStyle w:val="Compact"/>
              <w:jc w:val="center"/>
              <w:rPr>
                <w:rFonts w:ascii="Times New Roman" w:hAnsi="Times New Roman" w:cs="Times New Roman"/>
                <w:color w:val="000000" w:themeColor="text1"/>
                <w:sz w:val="22"/>
                <w:szCs w:val="22"/>
                <w:lang w:val="en-GB"/>
              </w:rPr>
            </w:pPr>
            <w:r w:rsidRPr="00140B99">
              <w:rPr>
                <w:rFonts w:ascii="Times New Roman" w:hAnsi="Times New Roman" w:cs="Times New Roman"/>
                <w:color w:val="000000" w:themeColor="text1"/>
                <w:sz w:val="22"/>
                <w:szCs w:val="22"/>
                <w:lang w:val="en-GB"/>
              </w:rPr>
              <w:t xml:space="preserve">3 </w:t>
            </w:r>
          </w:p>
        </w:tc>
        <w:tc>
          <w:tcPr>
            <w:tcW w:w="583" w:type="pct"/>
            <w:hideMark/>
          </w:tcPr>
          <w:p w14:paraId="7F211560" w14:textId="77777777" w:rsidR="00085E86" w:rsidRPr="00140B99" w:rsidRDefault="00085E86" w:rsidP="00727472">
            <w:pPr>
              <w:pStyle w:val="Compact"/>
              <w:jc w:val="center"/>
              <w:rPr>
                <w:rFonts w:ascii="Times New Roman" w:hAnsi="Times New Roman" w:cs="Times New Roman"/>
                <w:color w:val="000000" w:themeColor="text1"/>
                <w:sz w:val="22"/>
                <w:szCs w:val="22"/>
                <w:lang w:val="en-GB"/>
              </w:rPr>
            </w:pPr>
            <w:r w:rsidRPr="00140B99">
              <w:rPr>
                <w:rFonts w:ascii="Times New Roman" w:hAnsi="Times New Roman" w:cs="Times New Roman"/>
                <w:color w:val="000000" w:themeColor="text1"/>
                <w:sz w:val="22"/>
                <w:szCs w:val="22"/>
                <w:lang w:val="en-GB"/>
              </w:rPr>
              <w:t xml:space="preserve">31 </w:t>
            </w:r>
          </w:p>
        </w:tc>
        <w:tc>
          <w:tcPr>
            <w:tcW w:w="0" w:type="auto"/>
            <w:hideMark/>
          </w:tcPr>
          <w:p w14:paraId="333E01E8" w14:textId="77777777" w:rsidR="00085E86" w:rsidRPr="00140B99" w:rsidRDefault="00085E86" w:rsidP="00727472">
            <w:pPr>
              <w:pStyle w:val="Compact"/>
              <w:jc w:val="center"/>
              <w:rPr>
                <w:rFonts w:ascii="Times New Roman" w:hAnsi="Times New Roman" w:cs="Times New Roman"/>
                <w:color w:val="000000" w:themeColor="text1"/>
                <w:sz w:val="22"/>
                <w:szCs w:val="22"/>
                <w:lang w:val="en-GB"/>
              </w:rPr>
            </w:pPr>
            <w:r w:rsidRPr="00140B99">
              <w:rPr>
                <w:rFonts w:ascii="Times New Roman" w:hAnsi="Times New Roman" w:cs="Times New Roman"/>
                <w:color w:val="000000" w:themeColor="text1"/>
                <w:sz w:val="22"/>
                <w:szCs w:val="22"/>
                <w:lang w:val="en-GB"/>
              </w:rPr>
              <w:t xml:space="preserve">6 </w:t>
            </w:r>
          </w:p>
        </w:tc>
        <w:tc>
          <w:tcPr>
            <w:tcW w:w="616" w:type="pct"/>
            <w:hideMark/>
          </w:tcPr>
          <w:p w14:paraId="6CDBE8D6" w14:textId="77777777" w:rsidR="00085E86" w:rsidRPr="00140B99" w:rsidRDefault="00085E86" w:rsidP="00727472">
            <w:pPr>
              <w:pStyle w:val="Compact"/>
              <w:jc w:val="center"/>
              <w:rPr>
                <w:rFonts w:ascii="Times New Roman" w:hAnsi="Times New Roman" w:cs="Times New Roman"/>
                <w:color w:val="000000" w:themeColor="text1"/>
                <w:sz w:val="22"/>
                <w:szCs w:val="22"/>
                <w:lang w:val="en-GB"/>
              </w:rPr>
            </w:pPr>
            <w:r w:rsidRPr="00140B99">
              <w:rPr>
                <w:rFonts w:ascii="Times New Roman" w:hAnsi="Times New Roman" w:cs="Times New Roman"/>
                <w:color w:val="000000" w:themeColor="text1"/>
                <w:sz w:val="22"/>
                <w:szCs w:val="22"/>
                <w:lang w:val="en-GB"/>
              </w:rPr>
              <w:t>0.052*</w:t>
            </w:r>
          </w:p>
        </w:tc>
      </w:tr>
      <w:tr w:rsidR="00085E86" w:rsidRPr="00E84658" w14:paraId="4CAB54B5" w14:textId="77777777" w:rsidTr="00727472">
        <w:trPr>
          <w:trHeight w:val="357"/>
        </w:trPr>
        <w:tc>
          <w:tcPr>
            <w:tcW w:w="1665" w:type="pct"/>
            <w:hideMark/>
          </w:tcPr>
          <w:p w14:paraId="12F6AE0B" w14:textId="77777777" w:rsidR="00085E86" w:rsidRPr="00140B99" w:rsidRDefault="00085E86" w:rsidP="00727472">
            <w:pPr>
              <w:pStyle w:val="Compact"/>
              <w:rPr>
                <w:rFonts w:ascii="Times New Roman" w:hAnsi="Times New Roman" w:cs="Times New Roman"/>
                <w:color w:val="000000" w:themeColor="text1"/>
                <w:sz w:val="22"/>
                <w:szCs w:val="22"/>
                <w:lang w:val="en-GB"/>
              </w:rPr>
            </w:pPr>
            <w:r w:rsidRPr="00140B99">
              <w:rPr>
                <w:rFonts w:ascii="Times New Roman" w:hAnsi="Times New Roman" w:cs="Times New Roman"/>
                <w:color w:val="000000" w:themeColor="text1"/>
                <w:sz w:val="22"/>
                <w:szCs w:val="22"/>
                <w:lang w:val="en-GB"/>
              </w:rPr>
              <w:t>Neutrophils x10</w:t>
            </w:r>
            <w:r w:rsidRPr="00140B99">
              <w:rPr>
                <w:rFonts w:ascii="Times New Roman" w:hAnsi="Times New Roman" w:cs="Times New Roman"/>
                <w:color w:val="000000" w:themeColor="text1"/>
                <w:sz w:val="22"/>
                <w:szCs w:val="22"/>
                <w:vertAlign w:val="superscript"/>
                <w:lang w:val="en-GB"/>
              </w:rPr>
              <w:t>9</w:t>
            </w:r>
            <w:r w:rsidRPr="00140B99">
              <w:rPr>
                <w:rFonts w:ascii="Times New Roman" w:hAnsi="Times New Roman" w:cs="Times New Roman"/>
                <w:color w:val="000000" w:themeColor="text1"/>
                <w:sz w:val="22"/>
                <w:szCs w:val="22"/>
                <w:lang w:val="en-GB"/>
              </w:rPr>
              <w:t>/L</w:t>
            </w:r>
          </w:p>
        </w:tc>
        <w:tc>
          <w:tcPr>
            <w:tcW w:w="1083" w:type="pct"/>
            <w:hideMark/>
          </w:tcPr>
          <w:p w14:paraId="1C7FA979" w14:textId="77777777" w:rsidR="00085E86" w:rsidRPr="00140B99" w:rsidRDefault="00085E86" w:rsidP="00727472">
            <w:pPr>
              <w:pStyle w:val="Compact"/>
              <w:jc w:val="center"/>
              <w:rPr>
                <w:rFonts w:ascii="Times New Roman" w:hAnsi="Times New Roman" w:cs="Times New Roman"/>
                <w:color w:val="000000" w:themeColor="text1"/>
                <w:sz w:val="22"/>
                <w:szCs w:val="22"/>
                <w:lang w:val="en-GB"/>
              </w:rPr>
            </w:pPr>
            <w:r w:rsidRPr="00140B99">
              <w:rPr>
                <w:rFonts w:ascii="Times New Roman" w:hAnsi="Times New Roman" w:cs="Times New Roman"/>
                <w:color w:val="000000" w:themeColor="text1"/>
                <w:sz w:val="22"/>
                <w:szCs w:val="22"/>
                <w:lang w:val="en-GB"/>
              </w:rPr>
              <w:t>2.0 – 7.5</w:t>
            </w:r>
          </w:p>
        </w:tc>
        <w:tc>
          <w:tcPr>
            <w:tcW w:w="612" w:type="pct"/>
            <w:hideMark/>
          </w:tcPr>
          <w:p w14:paraId="689559C0" w14:textId="77777777" w:rsidR="00085E86" w:rsidRPr="00140B99" w:rsidRDefault="00085E86" w:rsidP="00727472">
            <w:pPr>
              <w:pStyle w:val="Compact"/>
              <w:jc w:val="center"/>
              <w:rPr>
                <w:rFonts w:ascii="Times New Roman" w:hAnsi="Times New Roman" w:cs="Times New Roman"/>
                <w:color w:val="000000" w:themeColor="text1"/>
                <w:sz w:val="22"/>
                <w:szCs w:val="22"/>
                <w:lang w:val="en-GB"/>
              </w:rPr>
            </w:pPr>
            <w:r w:rsidRPr="00140B99">
              <w:rPr>
                <w:rFonts w:ascii="Times New Roman" w:hAnsi="Times New Roman" w:cs="Times New Roman"/>
                <w:color w:val="000000" w:themeColor="text1"/>
                <w:sz w:val="22"/>
                <w:szCs w:val="22"/>
                <w:lang w:val="en-GB"/>
              </w:rPr>
              <w:t xml:space="preserve">1 </w:t>
            </w:r>
          </w:p>
        </w:tc>
        <w:tc>
          <w:tcPr>
            <w:tcW w:w="583" w:type="pct"/>
            <w:hideMark/>
          </w:tcPr>
          <w:p w14:paraId="44A10FF0" w14:textId="77777777" w:rsidR="00085E86" w:rsidRPr="00140B99" w:rsidRDefault="00085E86" w:rsidP="00727472">
            <w:pPr>
              <w:pStyle w:val="Compact"/>
              <w:jc w:val="center"/>
              <w:rPr>
                <w:rFonts w:ascii="Times New Roman" w:hAnsi="Times New Roman" w:cs="Times New Roman"/>
                <w:color w:val="000000" w:themeColor="text1"/>
                <w:sz w:val="22"/>
                <w:szCs w:val="22"/>
                <w:lang w:val="en-GB"/>
              </w:rPr>
            </w:pPr>
            <w:r w:rsidRPr="00140B99">
              <w:rPr>
                <w:rFonts w:ascii="Times New Roman" w:hAnsi="Times New Roman" w:cs="Times New Roman"/>
                <w:color w:val="000000" w:themeColor="text1"/>
                <w:sz w:val="22"/>
                <w:szCs w:val="22"/>
                <w:lang w:val="en-GB"/>
              </w:rPr>
              <w:t xml:space="preserve">4 </w:t>
            </w:r>
          </w:p>
        </w:tc>
        <w:tc>
          <w:tcPr>
            <w:tcW w:w="0" w:type="auto"/>
            <w:hideMark/>
          </w:tcPr>
          <w:p w14:paraId="71ED4752" w14:textId="77777777" w:rsidR="00085E86" w:rsidRPr="00140B99" w:rsidRDefault="00085E86" w:rsidP="00727472">
            <w:pPr>
              <w:pStyle w:val="Compact"/>
              <w:jc w:val="center"/>
              <w:rPr>
                <w:rFonts w:ascii="Times New Roman" w:hAnsi="Times New Roman" w:cs="Times New Roman"/>
                <w:color w:val="000000" w:themeColor="text1"/>
                <w:sz w:val="22"/>
                <w:szCs w:val="22"/>
                <w:lang w:val="en-GB"/>
              </w:rPr>
            </w:pPr>
            <w:r w:rsidRPr="00140B99">
              <w:rPr>
                <w:rFonts w:ascii="Times New Roman" w:hAnsi="Times New Roman" w:cs="Times New Roman"/>
                <w:color w:val="000000" w:themeColor="text1"/>
                <w:sz w:val="22"/>
                <w:szCs w:val="22"/>
                <w:lang w:val="en-GB"/>
              </w:rPr>
              <w:t xml:space="preserve">2 </w:t>
            </w:r>
          </w:p>
        </w:tc>
        <w:tc>
          <w:tcPr>
            <w:tcW w:w="616" w:type="pct"/>
            <w:hideMark/>
          </w:tcPr>
          <w:p w14:paraId="36D60C86" w14:textId="77777777" w:rsidR="00085E86" w:rsidRPr="00140B99" w:rsidRDefault="00085E86" w:rsidP="00727472">
            <w:pPr>
              <w:pStyle w:val="Compact"/>
              <w:jc w:val="center"/>
              <w:rPr>
                <w:rFonts w:ascii="Times New Roman" w:hAnsi="Times New Roman" w:cs="Times New Roman"/>
                <w:color w:val="000000" w:themeColor="text1"/>
                <w:sz w:val="22"/>
                <w:szCs w:val="22"/>
                <w:lang w:val="en-GB"/>
              </w:rPr>
            </w:pPr>
            <w:r w:rsidRPr="00140B99">
              <w:rPr>
                <w:rFonts w:ascii="Times New Roman" w:hAnsi="Times New Roman" w:cs="Times New Roman"/>
                <w:color w:val="000000" w:themeColor="text1"/>
                <w:sz w:val="22"/>
                <w:szCs w:val="22"/>
                <w:lang w:val="en-GB"/>
              </w:rPr>
              <w:t>0.053*</w:t>
            </w:r>
          </w:p>
        </w:tc>
      </w:tr>
      <w:tr w:rsidR="00085E86" w:rsidRPr="00E84658" w14:paraId="6FD032DB" w14:textId="77777777" w:rsidTr="00727472">
        <w:trPr>
          <w:trHeight w:val="357"/>
        </w:trPr>
        <w:tc>
          <w:tcPr>
            <w:tcW w:w="1665" w:type="pct"/>
            <w:hideMark/>
          </w:tcPr>
          <w:p w14:paraId="63DD9066" w14:textId="77777777" w:rsidR="00085E86" w:rsidRPr="00140B99" w:rsidRDefault="00085E86" w:rsidP="00727472">
            <w:pPr>
              <w:pStyle w:val="Compact"/>
              <w:rPr>
                <w:rFonts w:ascii="Times New Roman" w:hAnsi="Times New Roman" w:cs="Times New Roman"/>
                <w:color w:val="000000" w:themeColor="text1"/>
                <w:sz w:val="22"/>
                <w:szCs w:val="22"/>
                <w:lang w:val="en-GB"/>
              </w:rPr>
            </w:pPr>
            <w:r w:rsidRPr="00140B99">
              <w:rPr>
                <w:rFonts w:ascii="Times New Roman" w:hAnsi="Times New Roman" w:cs="Times New Roman"/>
                <w:color w:val="000000" w:themeColor="text1"/>
                <w:sz w:val="22"/>
                <w:szCs w:val="22"/>
                <w:lang w:val="en-GB"/>
              </w:rPr>
              <w:t>Eosinophils x10</w:t>
            </w:r>
            <w:r w:rsidRPr="00140B99">
              <w:rPr>
                <w:rFonts w:ascii="Times New Roman" w:hAnsi="Times New Roman" w:cs="Times New Roman"/>
                <w:color w:val="000000" w:themeColor="text1"/>
                <w:sz w:val="22"/>
                <w:szCs w:val="22"/>
                <w:vertAlign w:val="superscript"/>
                <w:lang w:val="en-GB"/>
              </w:rPr>
              <w:t>9</w:t>
            </w:r>
            <w:r w:rsidRPr="00140B99">
              <w:rPr>
                <w:rFonts w:ascii="Times New Roman" w:hAnsi="Times New Roman" w:cs="Times New Roman"/>
                <w:color w:val="000000" w:themeColor="text1"/>
                <w:sz w:val="22"/>
                <w:szCs w:val="22"/>
                <w:lang w:val="en-GB"/>
              </w:rPr>
              <w:t>/L</w:t>
            </w:r>
          </w:p>
        </w:tc>
        <w:tc>
          <w:tcPr>
            <w:tcW w:w="1083" w:type="pct"/>
            <w:hideMark/>
          </w:tcPr>
          <w:p w14:paraId="45F9816E" w14:textId="77777777" w:rsidR="00085E86" w:rsidRPr="00140B99" w:rsidRDefault="00085E86" w:rsidP="00727472">
            <w:pPr>
              <w:pStyle w:val="Compact"/>
              <w:jc w:val="center"/>
              <w:rPr>
                <w:rFonts w:ascii="Times New Roman" w:hAnsi="Times New Roman" w:cs="Times New Roman"/>
                <w:color w:val="000000" w:themeColor="text1"/>
                <w:sz w:val="22"/>
                <w:szCs w:val="22"/>
                <w:lang w:val="en-GB"/>
              </w:rPr>
            </w:pPr>
            <w:r w:rsidRPr="00140B99">
              <w:rPr>
                <w:rFonts w:ascii="Times New Roman" w:hAnsi="Times New Roman" w:cs="Times New Roman"/>
                <w:color w:val="000000" w:themeColor="text1"/>
                <w:sz w:val="22"/>
                <w:szCs w:val="22"/>
                <w:lang w:val="en-GB"/>
              </w:rPr>
              <w:t>0.00 – 0.50</w:t>
            </w:r>
          </w:p>
        </w:tc>
        <w:tc>
          <w:tcPr>
            <w:tcW w:w="612" w:type="pct"/>
            <w:hideMark/>
          </w:tcPr>
          <w:p w14:paraId="0FE733C7" w14:textId="77777777" w:rsidR="00085E86" w:rsidRPr="00140B99" w:rsidRDefault="00085E86" w:rsidP="00727472">
            <w:pPr>
              <w:pStyle w:val="Compact"/>
              <w:jc w:val="center"/>
              <w:rPr>
                <w:rFonts w:ascii="Times New Roman" w:hAnsi="Times New Roman" w:cs="Times New Roman"/>
                <w:color w:val="000000" w:themeColor="text1"/>
                <w:sz w:val="22"/>
                <w:szCs w:val="22"/>
                <w:lang w:val="en-GB"/>
              </w:rPr>
            </w:pPr>
            <w:r w:rsidRPr="00140B99">
              <w:rPr>
                <w:rFonts w:ascii="Times New Roman" w:hAnsi="Times New Roman" w:cs="Times New Roman"/>
                <w:color w:val="000000" w:themeColor="text1"/>
                <w:sz w:val="22"/>
                <w:szCs w:val="22"/>
                <w:lang w:val="en-GB"/>
              </w:rPr>
              <w:t xml:space="preserve">0.02 </w:t>
            </w:r>
          </w:p>
        </w:tc>
        <w:tc>
          <w:tcPr>
            <w:tcW w:w="583" w:type="pct"/>
            <w:hideMark/>
          </w:tcPr>
          <w:p w14:paraId="33BA1277" w14:textId="77777777" w:rsidR="00085E86" w:rsidRPr="00140B99" w:rsidRDefault="00085E86" w:rsidP="00727472">
            <w:pPr>
              <w:pStyle w:val="Compact"/>
              <w:jc w:val="center"/>
              <w:rPr>
                <w:rFonts w:ascii="Times New Roman" w:hAnsi="Times New Roman" w:cs="Times New Roman"/>
                <w:color w:val="000000" w:themeColor="text1"/>
                <w:sz w:val="22"/>
                <w:szCs w:val="22"/>
                <w:lang w:val="en-GB"/>
              </w:rPr>
            </w:pPr>
            <w:r w:rsidRPr="00140B99">
              <w:rPr>
                <w:rFonts w:ascii="Times New Roman" w:hAnsi="Times New Roman" w:cs="Times New Roman"/>
                <w:color w:val="000000" w:themeColor="text1"/>
                <w:sz w:val="22"/>
                <w:szCs w:val="22"/>
                <w:lang w:val="en-GB"/>
              </w:rPr>
              <w:t xml:space="preserve">0.32 </w:t>
            </w:r>
          </w:p>
        </w:tc>
        <w:tc>
          <w:tcPr>
            <w:tcW w:w="0" w:type="auto"/>
            <w:hideMark/>
          </w:tcPr>
          <w:p w14:paraId="0463296A" w14:textId="77777777" w:rsidR="00085E86" w:rsidRPr="00140B99" w:rsidRDefault="00085E86" w:rsidP="00727472">
            <w:pPr>
              <w:pStyle w:val="Compact"/>
              <w:jc w:val="center"/>
              <w:rPr>
                <w:rFonts w:ascii="Times New Roman" w:hAnsi="Times New Roman" w:cs="Times New Roman"/>
                <w:color w:val="000000" w:themeColor="text1"/>
                <w:sz w:val="22"/>
                <w:szCs w:val="22"/>
                <w:lang w:val="en-GB"/>
              </w:rPr>
            </w:pPr>
            <w:r w:rsidRPr="00140B99">
              <w:rPr>
                <w:rFonts w:ascii="Times New Roman" w:hAnsi="Times New Roman" w:cs="Times New Roman"/>
                <w:color w:val="000000" w:themeColor="text1"/>
                <w:sz w:val="22"/>
                <w:szCs w:val="22"/>
                <w:lang w:val="en-GB"/>
              </w:rPr>
              <w:t xml:space="preserve">0.05 </w:t>
            </w:r>
          </w:p>
        </w:tc>
        <w:tc>
          <w:tcPr>
            <w:tcW w:w="616" w:type="pct"/>
            <w:hideMark/>
          </w:tcPr>
          <w:p w14:paraId="6B38743D" w14:textId="77777777" w:rsidR="00085E86" w:rsidRPr="00140B99" w:rsidRDefault="00085E86" w:rsidP="00727472">
            <w:pPr>
              <w:pStyle w:val="Compact"/>
              <w:jc w:val="center"/>
              <w:rPr>
                <w:rFonts w:ascii="Times New Roman" w:hAnsi="Times New Roman" w:cs="Times New Roman"/>
                <w:color w:val="000000" w:themeColor="text1"/>
                <w:sz w:val="22"/>
                <w:szCs w:val="22"/>
                <w:lang w:val="en-GB"/>
              </w:rPr>
            </w:pPr>
            <w:r w:rsidRPr="00140B99">
              <w:rPr>
                <w:rFonts w:ascii="Times New Roman" w:hAnsi="Times New Roman" w:cs="Times New Roman"/>
                <w:color w:val="000000" w:themeColor="text1"/>
                <w:sz w:val="22"/>
                <w:szCs w:val="22"/>
                <w:lang w:val="en-GB"/>
              </w:rPr>
              <w:t>0.3</w:t>
            </w:r>
          </w:p>
        </w:tc>
      </w:tr>
      <w:tr w:rsidR="00085E86" w:rsidRPr="00E84658" w14:paraId="01AE3617" w14:textId="77777777" w:rsidTr="00727472">
        <w:trPr>
          <w:trHeight w:val="368"/>
        </w:trPr>
        <w:tc>
          <w:tcPr>
            <w:tcW w:w="1665" w:type="pct"/>
            <w:hideMark/>
          </w:tcPr>
          <w:p w14:paraId="213BEE93" w14:textId="77777777" w:rsidR="00085E86" w:rsidRPr="00140B99" w:rsidRDefault="00085E86" w:rsidP="00727472">
            <w:pPr>
              <w:pStyle w:val="Compact"/>
              <w:rPr>
                <w:rFonts w:ascii="Times New Roman" w:hAnsi="Times New Roman" w:cs="Times New Roman"/>
                <w:color w:val="000000" w:themeColor="text1"/>
                <w:sz w:val="22"/>
                <w:szCs w:val="22"/>
                <w:lang w:val="en-GB"/>
              </w:rPr>
            </w:pPr>
            <w:r w:rsidRPr="00140B99">
              <w:rPr>
                <w:rFonts w:ascii="Times New Roman" w:hAnsi="Times New Roman" w:cs="Times New Roman"/>
                <w:color w:val="000000" w:themeColor="text1"/>
                <w:sz w:val="22"/>
                <w:szCs w:val="22"/>
                <w:lang w:val="en-GB"/>
              </w:rPr>
              <w:t>Basophils x10</w:t>
            </w:r>
            <w:r w:rsidRPr="00140B99">
              <w:rPr>
                <w:rFonts w:ascii="Times New Roman" w:hAnsi="Times New Roman" w:cs="Times New Roman"/>
                <w:color w:val="000000" w:themeColor="text1"/>
                <w:sz w:val="22"/>
                <w:szCs w:val="22"/>
                <w:vertAlign w:val="superscript"/>
                <w:lang w:val="en-GB"/>
              </w:rPr>
              <w:t>9</w:t>
            </w:r>
            <w:r w:rsidRPr="00140B99">
              <w:rPr>
                <w:rFonts w:ascii="Times New Roman" w:hAnsi="Times New Roman" w:cs="Times New Roman"/>
                <w:color w:val="000000" w:themeColor="text1"/>
                <w:sz w:val="22"/>
                <w:szCs w:val="22"/>
                <w:lang w:val="en-GB"/>
              </w:rPr>
              <w:t>/L</w:t>
            </w:r>
          </w:p>
        </w:tc>
        <w:tc>
          <w:tcPr>
            <w:tcW w:w="1083" w:type="pct"/>
            <w:hideMark/>
          </w:tcPr>
          <w:p w14:paraId="133C505A" w14:textId="77777777" w:rsidR="00085E86" w:rsidRPr="00140B99" w:rsidRDefault="00085E86" w:rsidP="00727472">
            <w:pPr>
              <w:pStyle w:val="Compact"/>
              <w:jc w:val="center"/>
              <w:rPr>
                <w:rFonts w:ascii="Times New Roman" w:hAnsi="Times New Roman" w:cs="Times New Roman"/>
                <w:color w:val="000000" w:themeColor="text1"/>
                <w:sz w:val="22"/>
                <w:szCs w:val="22"/>
                <w:lang w:val="en-GB"/>
              </w:rPr>
            </w:pPr>
            <w:r w:rsidRPr="00140B99">
              <w:rPr>
                <w:rFonts w:ascii="Times New Roman" w:hAnsi="Times New Roman" w:cs="Times New Roman"/>
                <w:color w:val="000000" w:themeColor="text1"/>
                <w:sz w:val="22"/>
                <w:szCs w:val="22"/>
                <w:lang w:val="en-GB"/>
              </w:rPr>
              <w:t>0.00 - 0.30</w:t>
            </w:r>
          </w:p>
        </w:tc>
        <w:tc>
          <w:tcPr>
            <w:tcW w:w="612" w:type="pct"/>
            <w:hideMark/>
          </w:tcPr>
          <w:p w14:paraId="0BE34319" w14:textId="77777777" w:rsidR="00085E86" w:rsidRPr="00140B99" w:rsidRDefault="00085E86" w:rsidP="00727472">
            <w:pPr>
              <w:pStyle w:val="Compact"/>
              <w:jc w:val="center"/>
              <w:rPr>
                <w:rFonts w:ascii="Times New Roman" w:hAnsi="Times New Roman" w:cs="Times New Roman"/>
                <w:color w:val="000000" w:themeColor="text1"/>
                <w:sz w:val="22"/>
                <w:szCs w:val="22"/>
                <w:lang w:val="en-GB"/>
              </w:rPr>
            </w:pPr>
            <w:r w:rsidRPr="00140B99">
              <w:rPr>
                <w:rFonts w:ascii="Times New Roman" w:hAnsi="Times New Roman" w:cs="Times New Roman"/>
                <w:color w:val="000000" w:themeColor="text1"/>
                <w:sz w:val="22"/>
                <w:szCs w:val="22"/>
                <w:lang w:val="en-GB"/>
              </w:rPr>
              <w:t xml:space="preserve">0.01 </w:t>
            </w:r>
          </w:p>
        </w:tc>
        <w:tc>
          <w:tcPr>
            <w:tcW w:w="583" w:type="pct"/>
            <w:hideMark/>
          </w:tcPr>
          <w:p w14:paraId="2891C49D" w14:textId="77777777" w:rsidR="00085E86" w:rsidRPr="00140B99" w:rsidRDefault="00085E86" w:rsidP="00727472">
            <w:pPr>
              <w:pStyle w:val="Compact"/>
              <w:jc w:val="center"/>
              <w:rPr>
                <w:rFonts w:ascii="Times New Roman" w:hAnsi="Times New Roman" w:cs="Times New Roman"/>
                <w:color w:val="000000" w:themeColor="text1"/>
                <w:sz w:val="22"/>
                <w:szCs w:val="22"/>
                <w:lang w:val="en-GB"/>
              </w:rPr>
            </w:pPr>
            <w:r w:rsidRPr="00140B99">
              <w:rPr>
                <w:rFonts w:ascii="Times New Roman" w:hAnsi="Times New Roman" w:cs="Times New Roman"/>
                <w:color w:val="000000" w:themeColor="text1"/>
                <w:sz w:val="22"/>
                <w:szCs w:val="22"/>
                <w:lang w:val="en-GB"/>
              </w:rPr>
              <w:t xml:space="preserve">0.02 </w:t>
            </w:r>
          </w:p>
        </w:tc>
        <w:tc>
          <w:tcPr>
            <w:tcW w:w="0" w:type="auto"/>
            <w:hideMark/>
          </w:tcPr>
          <w:p w14:paraId="7B308D27" w14:textId="77777777" w:rsidR="00085E86" w:rsidRPr="00140B99" w:rsidRDefault="00085E86" w:rsidP="00727472">
            <w:pPr>
              <w:pStyle w:val="Compact"/>
              <w:jc w:val="center"/>
              <w:rPr>
                <w:rFonts w:ascii="Times New Roman" w:hAnsi="Times New Roman" w:cs="Times New Roman"/>
                <w:color w:val="000000" w:themeColor="text1"/>
                <w:sz w:val="22"/>
                <w:szCs w:val="22"/>
                <w:lang w:val="en-GB"/>
              </w:rPr>
            </w:pPr>
            <w:r w:rsidRPr="00140B99">
              <w:rPr>
                <w:rFonts w:ascii="Times New Roman" w:hAnsi="Times New Roman" w:cs="Times New Roman"/>
                <w:color w:val="000000" w:themeColor="text1"/>
                <w:sz w:val="22"/>
                <w:szCs w:val="22"/>
                <w:lang w:val="en-GB"/>
              </w:rPr>
              <w:t xml:space="preserve">0.03 </w:t>
            </w:r>
          </w:p>
        </w:tc>
        <w:tc>
          <w:tcPr>
            <w:tcW w:w="616" w:type="pct"/>
            <w:hideMark/>
          </w:tcPr>
          <w:p w14:paraId="10A4145F" w14:textId="77777777" w:rsidR="00085E86" w:rsidRPr="00140B99" w:rsidRDefault="00085E86" w:rsidP="00727472">
            <w:pPr>
              <w:pStyle w:val="Compact"/>
              <w:jc w:val="center"/>
              <w:rPr>
                <w:rFonts w:ascii="Times New Roman" w:hAnsi="Times New Roman" w:cs="Times New Roman"/>
                <w:color w:val="000000" w:themeColor="text1"/>
                <w:sz w:val="22"/>
                <w:szCs w:val="22"/>
                <w:lang w:val="en-GB"/>
              </w:rPr>
            </w:pPr>
            <w:r w:rsidRPr="00140B99">
              <w:rPr>
                <w:rFonts w:ascii="Times New Roman" w:hAnsi="Times New Roman" w:cs="Times New Roman"/>
                <w:color w:val="000000" w:themeColor="text1"/>
                <w:sz w:val="22"/>
                <w:szCs w:val="22"/>
                <w:lang w:val="en-GB"/>
              </w:rPr>
              <w:t>0.11</w:t>
            </w:r>
          </w:p>
        </w:tc>
      </w:tr>
      <w:tr w:rsidR="00085E86" w:rsidRPr="00E84658" w14:paraId="6B5EB449" w14:textId="77777777" w:rsidTr="00727472">
        <w:trPr>
          <w:trHeight w:val="357"/>
        </w:trPr>
        <w:tc>
          <w:tcPr>
            <w:tcW w:w="1665" w:type="pct"/>
            <w:hideMark/>
          </w:tcPr>
          <w:p w14:paraId="135DBEF7" w14:textId="77777777" w:rsidR="00085E86" w:rsidRPr="00140B99" w:rsidRDefault="00085E86" w:rsidP="00727472">
            <w:pPr>
              <w:pStyle w:val="Compact"/>
              <w:rPr>
                <w:rFonts w:ascii="Times New Roman" w:hAnsi="Times New Roman" w:cs="Times New Roman"/>
                <w:color w:val="000000" w:themeColor="text1"/>
                <w:sz w:val="22"/>
                <w:szCs w:val="22"/>
                <w:lang w:val="en-GB"/>
              </w:rPr>
            </w:pPr>
            <w:r w:rsidRPr="00140B99">
              <w:rPr>
                <w:rFonts w:ascii="Times New Roman" w:hAnsi="Times New Roman" w:cs="Times New Roman"/>
                <w:color w:val="000000" w:themeColor="text1"/>
                <w:sz w:val="22"/>
                <w:szCs w:val="22"/>
                <w:lang w:val="en-GB"/>
              </w:rPr>
              <w:t>Lymphocytes x10</w:t>
            </w:r>
            <w:r w:rsidRPr="00140B99">
              <w:rPr>
                <w:rFonts w:ascii="Times New Roman" w:hAnsi="Times New Roman" w:cs="Times New Roman"/>
                <w:color w:val="000000" w:themeColor="text1"/>
                <w:sz w:val="22"/>
                <w:szCs w:val="22"/>
                <w:vertAlign w:val="superscript"/>
                <w:lang w:val="en-GB"/>
              </w:rPr>
              <w:t>9</w:t>
            </w:r>
            <w:r w:rsidRPr="00140B99">
              <w:rPr>
                <w:rFonts w:ascii="Times New Roman" w:hAnsi="Times New Roman" w:cs="Times New Roman"/>
                <w:color w:val="000000" w:themeColor="text1"/>
                <w:sz w:val="22"/>
                <w:szCs w:val="22"/>
                <w:lang w:val="en-GB"/>
              </w:rPr>
              <w:t>/L</w:t>
            </w:r>
          </w:p>
        </w:tc>
        <w:tc>
          <w:tcPr>
            <w:tcW w:w="1083" w:type="pct"/>
            <w:hideMark/>
          </w:tcPr>
          <w:p w14:paraId="0E73BC76" w14:textId="77777777" w:rsidR="00085E86" w:rsidRPr="00140B99" w:rsidRDefault="00085E86" w:rsidP="00727472">
            <w:pPr>
              <w:pStyle w:val="Compact"/>
              <w:jc w:val="center"/>
              <w:rPr>
                <w:rFonts w:ascii="Times New Roman" w:hAnsi="Times New Roman" w:cs="Times New Roman"/>
                <w:color w:val="000000" w:themeColor="text1"/>
                <w:sz w:val="22"/>
                <w:szCs w:val="22"/>
                <w:lang w:val="en-GB"/>
              </w:rPr>
            </w:pPr>
            <w:r w:rsidRPr="00140B99">
              <w:rPr>
                <w:rFonts w:ascii="Times New Roman" w:hAnsi="Times New Roman" w:cs="Times New Roman"/>
                <w:color w:val="000000" w:themeColor="text1"/>
                <w:sz w:val="22"/>
                <w:szCs w:val="22"/>
                <w:lang w:val="en-GB"/>
              </w:rPr>
              <w:t>1.0 – 4.0</w:t>
            </w:r>
          </w:p>
        </w:tc>
        <w:tc>
          <w:tcPr>
            <w:tcW w:w="612" w:type="pct"/>
            <w:hideMark/>
          </w:tcPr>
          <w:p w14:paraId="0911C43A" w14:textId="77777777" w:rsidR="00085E86" w:rsidRPr="00140B99" w:rsidRDefault="00085E86" w:rsidP="00727472">
            <w:pPr>
              <w:pStyle w:val="Compact"/>
              <w:jc w:val="center"/>
              <w:rPr>
                <w:rFonts w:ascii="Times New Roman" w:hAnsi="Times New Roman" w:cs="Times New Roman"/>
                <w:color w:val="000000" w:themeColor="text1"/>
                <w:sz w:val="22"/>
                <w:szCs w:val="22"/>
                <w:lang w:val="en-GB"/>
              </w:rPr>
            </w:pPr>
            <w:r w:rsidRPr="00140B99">
              <w:rPr>
                <w:rFonts w:ascii="Times New Roman" w:hAnsi="Times New Roman" w:cs="Times New Roman"/>
                <w:color w:val="000000" w:themeColor="text1"/>
                <w:sz w:val="22"/>
                <w:szCs w:val="22"/>
                <w:lang w:val="en-GB"/>
              </w:rPr>
              <w:t xml:space="preserve">0.84 </w:t>
            </w:r>
          </w:p>
        </w:tc>
        <w:tc>
          <w:tcPr>
            <w:tcW w:w="583" w:type="pct"/>
            <w:hideMark/>
          </w:tcPr>
          <w:p w14:paraId="09A191E2" w14:textId="77777777" w:rsidR="00085E86" w:rsidRPr="00140B99" w:rsidRDefault="00085E86" w:rsidP="00727472">
            <w:pPr>
              <w:pStyle w:val="Compact"/>
              <w:jc w:val="center"/>
              <w:rPr>
                <w:rFonts w:ascii="Times New Roman" w:hAnsi="Times New Roman" w:cs="Times New Roman"/>
                <w:color w:val="000000" w:themeColor="text1"/>
                <w:sz w:val="22"/>
                <w:szCs w:val="22"/>
                <w:lang w:val="en-GB"/>
              </w:rPr>
            </w:pPr>
            <w:r w:rsidRPr="00140B99">
              <w:rPr>
                <w:rFonts w:ascii="Times New Roman" w:hAnsi="Times New Roman" w:cs="Times New Roman"/>
                <w:color w:val="000000" w:themeColor="text1"/>
                <w:sz w:val="22"/>
                <w:szCs w:val="22"/>
                <w:lang w:val="en-GB"/>
              </w:rPr>
              <w:t xml:space="preserve">25.86 </w:t>
            </w:r>
          </w:p>
        </w:tc>
        <w:tc>
          <w:tcPr>
            <w:tcW w:w="0" w:type="auto"/>
            <w:hideMark/>
          </w:tcPr>
          <w:p w14:paraId="1666300B" w14:textId="77777777" w:rsidR="00085E86" w:rsidRPr="00140B99" w:rsidRDefault="00085E86" w:rsidP="00727472">
            <w:pPr>
              <w:pStyle w:val="Compact"/>
              <w:jc w:val="center"/>
              <w:rPr>
                <w:rFonts w:ascii="Times New Roman" w:hAnsi="Times New Roman" w:cs="Times New Roman"/>
                <w:color w:val="000000" w:themeColor="text1"/>
                <w:sz w:val="22"/>
                <w:szCs w:val="22"/>
                <w:lang w:val="en-GB"/>
              </w:rPr>
            </w:pPr>
            <w:r w:rsidRPr="00140B99">
              <w:rPr>
                <w:rFonts w:ascii="Times New Roman" w:hAnsi="Times New Roman" w:cs="Times New Roman"/>
                <w:color w:val="000000" w:themeColor="text1"/>
                <w:sz w:val="22"/>
                <w:szCs w:val="22"/>
                <w:lang w:val="en-GB"/>
              </w:rPr>
              <w:t xml:space="preserve">1.94 </w:t>
            </w:r>
          </w:p>
        </w:tc>
        <w:tc>
          <w:tcPr>
            <w:tcW w:w="616" w:type="pct"/>
            <w:hideMark/>
          </w:tcPr>
          <w:p w14:paraId="694DDE86" w14:textId="77777777" w:rsidR="00085E86" w:rsidRPr="00140B99" w:rsidRDefault="00085E86" w:rsidP="00727472">
            <w:pPr>
              <w:pStyle w:val="Compact"/>
              <w:jc w:val="center"/>
              <w:rPr>
                <w:rFonts w:ascii="Times New Roman" w:hAnsi="Times New Roman" w:cs="Times New Roman"/>
                <w:color w:val="000000" w:themeColor="text1"/>
                <w:sz w:val="22"/>
                <w:szCs w:val="22"/>
                <w:lang w:val="en-GB"/>
              </w:rPr>
            </w:pPr>
            <w:r w:rsidRPr="00140B99">
              <w:rPr>
                <w:rFonts w:ascii="Times New Roman" w:hAnsi="Times New Roman" w:cs="Times New Roman"/>
                <w:color w:val="000000" w:themeColor="text1"/>
                <w:sz w:val="22"/>
                <w:szCs w:val="22"/>
                <w:lang w:val="en-GB"/>
              </w:rPr>
              <w:t>0.089</w:t>
            </w:r>
          </w:p>
        </w:tc>
      </w:tr>
      <w:tr w:rsidR="00085E86" w:rsidRPr="00E84658" w14:paraId="39139E49" w14:textId="77777777" w:rsidTr="00727472">
        <w:trPr>
          <w:trHeight w:val="357"/>
        </w:trPr>
        <w:tc>
          <w:tcPr>
            <w:tcW w:w="1665" w:type="pct"/>
            <w:hideMark/>
          </w:tcPr>
          <w:p w14:paraId="2B374D28" w14:textId="77777777" w:rsidR="00085E86" w:rsidRPr="00140B99" w:rsidRDefault="00085E86" w:rsidP="00727472">
            <w:pPr>
              <w:pStyle w:val="Compact"/>
              <w:rPr>
                <w:rFonts w:ascii="Times New Roman" w:hAnsi="Times New Roman" w:cs="Times New Roman"/>
                <w:color w:val="000000" w:themeColor="text1"/>
                <w:sz w:val="22"/>
                <w:szCs w:val="22"/>
                <w:lang w:val="en-GB"/>
              </w:rPr>
            </w:pPr>
            <w:r w:rsidRPr="00140B99">
              <w:rPr>
                <w:rFonts w:ascii="Times New Roman" w:hAnsi="Times New Roman" w:cs="Times New Roman"/>
                <w:color w:val="000000" w:themeColor="text1"/>
                <w:sz w:val="22"/>
                <w:szCs w:val="22"/>
                <w:lang w:val="en-GB"/>
              </w:rPr>
              <w:t>Monocytes x10</w:t>
            </w:r>
            <w:r w:rsidRPr="00140B99">
              <w:rPr>
                <w:rFonts w:ascii="Times New Roman" w:hAnsi="Times New Roman" w:cs="Times New Roman"/>
                <w:color w:val="000000" w:themeColor="text1"/>
                <w:sz w:val="22"/>
                <w:szCs w:val="22"/>
                <w:vertAlign w:val="superscript"/>
                <w:lang w:val="en-GB"/>
              </w:rPr>
              <w:t>9</w:t>
            </w:r>
            <w:r w:rsidRPr="00140B99">
              <w:rPr>
                <w:rFonts w:ascii="Times New Roman" w:hAnsi="Times New Roman" w:cs="Times New Roman"/>
                <w:color w:val="000000" w:themeColor="text1"/>
                <w:sz w:val="22"/>
                <w:szCs w:val="22"/>
                <w:lang w:val="en-GB"/>
              </w:rPr>
              <w:t>/L</w:t>
            </w:r>
          </w:p>
        </w:tc>
        <w:tc>
          <w:tcPr>
            <w:tcW w:w="1083" w:type="pct"/>
            <w:hideMark/>
          </w:tcPr>
          <w:p w14:paraId="0397BC18" w14:textId="77777777" w:rsidR="00085E86" w:rsidRPr="00140B99" w:rsidRDefault="00085E86" w:rsidP="00727472">
            <w:pPr>
              <w:pStyle w:val="Compact"/>
              <w:jc w:val="center"/>
              <w:rPr>
                <w:rFonts w:ascii="Times New Roman" w:hAnsi="Times New Roman" w:cs="Times New Roman"/>
                <w:color w:val="000000" w:themeColor="text1"/>
                <w:sz w:val="22"/>
                <w:szCs w:val="22"/>
                <w:lang w:val="en-GB"/>
              </w:rPr>
            </w:pPr>
            <w:r w:rsidRPr="00140B99">
              <w:rPr>
                <w:rFonts w:ascii="Times New Roman" w:hAnsi="Times New Roman" w:cs="Times New Roman"/>
                <w:color w:val="000000" w:themeColor="text1"/>
                <w:sz w:val="22"/>
                <w:szCs w:val="22"/>
                <w:lang w:val="en-GB"/>
              </w:rPr>
              <w:t>0.2 – 1.0</w:t>
            </w:r>
          </w:p>
        </w:tc>
        <w:tc>
          <w:tcPr>
            <w:tcW w:w="612" w:type="pct"/>
            <w:hideMark/>
          </w:tcPr>
          <w:p w14:paraId="6F179FE9" w14:textId="77777777" w:rsidR="00085E86" w:rsidRPr="00140B99" w:rsidRDefault="00085E86" w:rsidP="00727472">
            <w:pPr>
              <w:pStyle w:val="Compact"/>
              <w:jc w:val="center"/>
              <w:rPr>
                <w:rFonts w:ascii="Times New Roman" w:hAnsi="Times New Roman" w:cs="Times New Roman"/>
                <w:color w:val="000000" w:themeColor="text1"/>
                <w:sz w:val="22"/>
                <w:szCs w:val="22"/>
                <w:lang w:val="en-GB"/>
              </w:rPr>
            </w:pPr>
            <w:r w:rsidRPr="00140B99">
              <w:rPr>
                <w:rFonts w:ascii="Times New Roman" w:hAnsi="Times New Roman" w:cs="Times New Roman"/>
                <w:color w:val="000000" w:themeColor="text1"/>
                <w:sz w:val="22"/>
                <w:szCs w:val="22"/>
                <w:lang w:val="en-GB"/>
              </w:rPr>
              <w:t xml:space="preserve">0.52 </w:t>
            </w:r>
          </w:p>
        </w:tc>
        <w:tc>
          <w:tcPr>
            <w:tcW w:w="583" w:type="pct"/>
            <w:hideMark/>
          </w:tcPr>
          <w:p w14:paraId="785E9A83" w14:textId="77777777" w:rsidR="00085E86" w:rsidRPr="00140B99" w:rsidRDefault="00085E86" w:rsidP="00727472">
            <w:pPr>
              <w:pStyle w:val="Compact"/>
              <w:jc w:val="center"/>
              <w:rPr>
                <w:rFonts w:ascii="Times New Roman" w:hAnsi="Times New Roman" w:cs="Times New Roman"/>
                <w:color w:val="000000" w:themeColor="text1"/>
                <w:sz w:val="22"/>
                <w:szCs w:val="22"/>
                <w:lang w:val="en-GB"/>
              </w:rPr>
            </w:pPr>
            <w:r w:rsidRPr="00140B99">
              <w:rPr>
                <w:rFonts w:ascii="Times New Roman" w:hAnsi="Times New Roman" w:cs="Times New Roman"/>
                <w:color w:val="000000" w:themeColor="text1"/>
                <w:sz w:val="22"/>
                <w:szCs w:val="22"/>
                <w:lang w:val="en-GB"/>
              </w:rPr>
              <w:t xml:space="preserve">0.96 </w:t>
            </w:r>
          </w:p>
        </w:tc>
        <w:tc>
          <w:tcPr>
            <w:tcW w:w="0" w:type="auto"/>
            <w:hideMark/>
          </w:tcPr>
          <w:p w14:paraId="605A90F1" w14:textId="77777777" w:rsidR="00085E86" w:rsidRPr="00140B99" w:rsidRDefault="00085E86" w:rsidP="00727472">
            <w:pPr>
              <w:pStyle w:val="Compact"/>
              <w:jc w:val="center"/>
              <w:rPr>
                <w:rFonts w:ascii="Times New Roman" w:hAnsi="Times New Roman" w:cs="Times New Roman"/>
                <w:color w:val="000000" w:themeColor="text1"/>
                <w:sz w:val="22"/>
                <w:szCs w:val="22"/>
                <w:lang w:val="en-GB"/>
              </w:rPr>
            </w:pPr>
            <w:r w:rsidRPr="00140B99">
              <w:rPr>
                <w:rFonts w:ascii="Times New Roman" w:hAnsi="Times New Roman" w:cs="Times New Roman"/>
                <w:color w:val="000000" w:themeColor="text1"/>
                <w:sz w:val="22"/>
                <w:szCs w:val="22"/>
                <w:lang w:val="en-GB"/>
              </w:rPr>
              <w:t xml:space="preserve">0.40 </w:t>
            </w:r>
          </w:p>
        </w:tc>
        <w:tc>
          <w:tcPr>
            <w:tcW w:w="616" w:type="pct"/>
            <w:hideMark/>
          </w:tcPr>
          <w:p w14:paraId="0D776969" w14:textId="77777777" w:rsidR="00085E86" w:rsidRPr="00140B99" w:rsidRDefault="00085E86" w:rsidP="00727472">
            <w:pPr>
              <w:pStyle w:val="Compact"/>
              <w:jc w:val="center"/>
              <w:rPr>
                <w:rFonts w:ascii="Times New Roman" w:hAnsi="Times New Roman" w:cs="Times New Roman"/>
                <w:color w:val="000000" w:themeColor="text1"/>
                <w:sz w:val="22"/>
                <w:szCs w:val="22"/>
                <w:lang w:val="en-GB"/>
              </w:rPr>
            </w:pPr>
            <w:r w:rsidRPr="00140B99">
              <w:rPr>
                <w:rFonts w:ascii="Times New Roman" w:hAnsi="Times New Roman" w:cs="Times New Roman"/>
                <w:color w:val="000000" w:themeColor="text1"/>
                <w:sz w:val="22"/>
                <w:szCs w:val="22"/>
                <w:lang w:val="en-GB"/>
              </w:rPr>
              <w:t>0.5</w:t>
            </w:r>
          </w:p>
        </w:tc>
      </w:tr>
    </w:tbl>
    <w:p w14:paraId="40AC38C0" w14:textId="260D6D59" w:rsidR="00085E86" w:rsidRDefault="00085E86" w:rsidP="00780AED">
      <w:pPr>
        <w:spacing w:before="120" w:line="480" w:lineRule="auto"/>
        <w:rPr>
          <w:rFonts w:ascii="Times New Roman" w:eastAsia="Calibri" w:hAnsi="Times New Roman" w:cs="Times New Roman"/>
        </w:rPr>
      </w:pPr>
      <w:r w:rsidRPr="00140B99">
        <w:rPr>
          <w:rFonts w:ascii="Times New Roman" w:eastAsia="Calibri" w:hAnsi="Times New Roman" w:cs="Times New Roman"/>
          <w:b/>
          <w:bCs/>
          <w:color w:val="0070C0"/>
        </w:rPr>
        <w:t>+</w:t>
      </w:r>
      <w:r w:rsidRPr="00140B99">
        <w:rPr>
          <w:rFonts w:ascii="Times New Roman" w:eastAsia="Calibri" w:hAnsi="Times New Roman" w:cs="Times New Roman"/>
          <w:b/>
          <w:bCs/>
        </w:rPr>
        <w:t xml:space="preserve"> </w:t>
      </w:r>
      <w:r w:rsidRPr="00140B99">
        <w:rPr>
          <w:rFonts w:ascii="Times New Roman" w:eastAsia="Calibri" w:hAnsi="Times New Roman" w:cs="Times New Roman"/>
        </w:rPr>
        <w:t xml:space="preserve">Reference range evaluated by Bio Analytical Research Corporation South Africa (BARC SA),  </w:t>
      </w:r>
      <w:hyperlink r:id="rId5" w:history="1">
        <w:r w:rsidRPr="00140B99">
          <w:rPr>
            <w:rStyle w:val="Hyperlink"/>
            <w:rFonts w:ascii="Times New Roman" w:eastAsia="Calibri" w:hAnsi="Times New Roman" w:cs="Times New Roman"/>
          </w:rPr>
          <w:t>https://www.barcsa.co.za/test-directory/test-reference-ranges/</w:t>
        </w:r>
      </w:hyperlink>
      <w:r w:rsidRPr="00140B99">
        <w:rPr>
          <w:rFonts w:ascii="Times New Roman" w:eastAsia="Calibri" w:hAnsi="Times New Roman" w:cs="Times New Roman"/>
        </w:rPr>
        <w:t xml:space="preserve"> Accessed on 8</w:t>
      </w:r>
      <w:r w:rsidRPr="00140B99">
        <w:rPr>
          <w:rFonts w:ascii="Times New Roman" w:eastAsia="Calibri" w:hAnsi="Times New Roman" w:cs="Times New Roman"/>
          <w:vertAlign w:val="superscript"/>
        </w:rPr>
        <w:t>th</w:t>
      </w:r>
      <w:r w:rsidRPr="00140B99">
        <w:rPr>
          <w:rFonts w:ascii="Times New Roman" w:eastAsia="Calibri" w:hAnsi="Times New Roman" w:cs="Times New Roman"/>
        </w:rPr>
        <w:t xml:space="preserve"> April 2023. AML: Acute myeloid leukaemia, CLL: Chronic lymphocytic leukaemia, CML: Chronic myeloid leukaemia. * p-value ≤ 0.05 considered statistically significant</w:t>
      </w:r>
      <w:r w:rsidR="00780AED">
        <w:rPr>
          <w:rFonts w:ascii="Times New Roman" w:eastAsia="Calibri" w:hAnsi="Times New Roman" w:cs="Times New Roman"/>
        </w:rPr>
        <w:t>.</w:t>
      </w:r>
    </w:p>
    <w:p w14:paraId="6EDF15FC" w14:textId="77777777" w:rsidR="00780AED" w:rsidRDefault="00780AED" w:rsidP="00780AED">
      <w:pPr>
        <w:spacing w:before="120" w:line="480" w:lineRule="auto"/>
        <w:rPr>
          <w:rFonts w:ascii="Times New Roman" w:eastAsia="Calibri" w:hAnsi="Times New Roman" w:cs="Times New Roman"/>
        </w:rPr>
      </w:pPr>
    </w:p>
    <w:p w14:paraId="42230F6B" w14:textId="77777777" w:rsidR="00780AED" w:rsidRDefault="00780AED" w:rsidP="00780AED">
      <w:pPr>
        <w:spacing w:before="120" w:line="480" w:lineRule="auto"/>
        <w:rPr>
          <w:rFonts w:ascii="Times New Roman" w:eastAsia="Calibri" w:hAnsi="Times New Roman" w:cs="Times New Roman"/>
        </w:rPr>
      </w:pPr>
    </w:p>
    <w:p w14:paraId="5C43728D" w14:textId="77777777" w:rsidR="00780AED" w:rsidRPr="00140B99" w:rsidRDefault="00780AED" w:rsidP="00780AED">
      <w:pPr>
        <w:spacing w:before="120" w:line="480" w:lineRule="auto"/>
        <w:rPr>
          <w:rFonts w:ascii="Times New Roman" w:eastAsia="Calibri" w:hAnsi="Times New Roman" w:cs="Times New Roman"/>
        </w:rPr>
      </w:pPr>
    </w:p>
    <w:p w14:paraId="2A09FC9C" w14:textId="77777777" w:rsidR="00085E86" w:rsidRPr="00A722AF" w:rsidRDefault="00085E86" w:rsidP="00085E86">
      <w:pPr>
        <w:spacing w:after="0" w:line="360" w:lineRule="auto"/>
        <w:rPr>
          <w:rFonts w:ascii="Times New Roman" w:eastAsia="Calibri" w:hAnsi="Times New Roman" w:cs="Times New Roman"/>
          <w:sz w:val="24"/>
          <w:szCs w:val="24"/>
        </w:rPr>
      </w:pPr>
      <w:r w:rsidRPr="002C6B7E">
        <w:rPr>
          <w:rFonts w:ascii="Times New Roman" w:eastAsia="Calibri" w:hAnsi="Times New Roman" w:cs="Times New Roman"/>
          <w:b/>
          <w:bCs/>
          <w:sz w:val="24"/>
          <w:szCs w:val="24"/>
        </w:rPr>
        <w:lastRenderedPageBreak/>
        <w:t xml:space="preserve">Supplementary Table </w:t>
      </w:r>
      <w:r>
        <w:rPr>
          <w:rFonts w:ascii="Times New Roman" w:eastAsia="Calibri" w:hAnsi="Times New Roman" w:cs="Times New Roman"/>
          <w:b/>
          <w:bCs/>
          <w:sz w:val="24"/>
          <w:szCs w:val="24"/>
        </w:rPr>
        <w:t>S</w:t>
      </w:r>
      <w:r w:rsidRPr="002C6B7E">
        <w:rPr>
          <w:rFonts w:ascii="Times New Roman" w:eastAsia="Calibri" w:hAnsi="Times New Roman" w:cs="Times New Roman"/>
          <w:b/>
          <w:bCs/>
          <w:sz w:val="24"/>
          <w:szCs w:val="24"/>
        </w:rPr>
        <w:t>3</w:t>
      </w:r>
      <w:r w:rsidRPr="00A722AF">
        <w:rPr>
          <w:rFonts w:ascii="Times New Roman" w:eastAsia="Calibri" w:hAnsi="Times New Roman" w:cs="Times New Roman"/>
          <w:sz w:val="24"/>
          <w:szCs w:val="24"/>
        </w:rPr>
        <w:t>: List of drugs tested for single screening in 4</w:t>
      </w:r>
      <w:r>
        <w:rPr>
          <w:rFonts w:ascii="Times New Roman" w:eastAsia="Calibri" w:hAnsi="Times New Roman" w:cs="Times New Roman"/>
          <w:sz w:val="24"/>
          <w:szCs w:val="24"/>
        </w:rPr>
        <w:t>0</w:t>
      </w:r>
      <w:r w:rsidRPr="00A722AF">
        <w:rPr>
          <w:rFonts w:ascii="Times New Roman" w:eastAsia="Calibri" w:hAnsi="Times New Roman" w:cs="Times New Roman"/>
          <w:sz w:val="24"/>
          <w:szCs w:val="24"/>
        </w:rPr>
        <w:t xml:space="preserve"> patient samples</w:t>
      </w: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485"/>
        <w:gridCol w:w="1925"/>
        <w:gridCol w:w="2136"/>
        <w:gridCol w:w="4923"/>
      </w:tblGrid>
      <w:tr w:rsidR="003C74D6" w:rsidRPr="00FA281A" w14:paraId="178D8FB3" w14:textId="3933F0B2" w:rsidTr="005D4557">
        <w:trPr>
          <w:trHeight w:val="288"/>
        </w:trPr>
        <w:tc>
          <w:tcPr>
            <w:tcW w:w="485" w:type="dxa"/>
            <w:shd w:val="clear" w:color="auto" w:fill="FFFFFF" w:themeFill="background1"/>
          </w:tcPr>
          <w:p w14:paraId="5C2CC4DC" w14:textId="77777777" w:rsidR="00BA5A5E" w:rsidRPr="00FA281A" w:rsidRDefault="00BA5A5E" w:rsidP="00727472">
            <w:pPr>
              <w:spacing w:after="0" w:line="240" w:lineRule="auto"/>
              <w:rPr>
                <w:rFonts w:ascii="Times New Roman" w:eastAsia="Times New Roman" w:hAnsi="Times New Roman" w:cs="Times New Roman"/>
                <w:b/>
                <w:bCs/>
                <w:color w:val="000000" w:themeColor="text1"/>
                <w:lang w:eastAsia="en-ZA"/>
              </w:rPr>
            </w:pPr>
            <w:r>
              <w:rPr>
                <w:rFonts w:ascii="Times New Roman" w:eastAsia="Times New Roman" w:hAnsi="Times New Roman" w:cs="Times New Roman"/>
                <w:b/>
                <w:bCs/>
                <w:color w:val="000000" w:themeColor="text1"/>
                <w:lang w:eastAsia="en-ZA"/>
              </w:rPr>
              <w:t>No</w:t>
            </w:r>
          </w:p>
        </w:tc>
        <w:tc>
          <w:tcPr>
            <w:tcW w:w="1925" w:type="dxa"/>
            <w:shd w:val="clear" w:color="auto" w:fill="FFFFFF" w:themeFill="background1"/>
            <w:noWrap/>
            <w:vAlign w:val="bottom"/>
            <w:hideMark/>
          </w:tcPr>
          <w:p w14:paraId="3C89241B" w14:textId="77777777" w:rsidR="00BA5A5E" w:rsidRPr="00FA281A" w:rsidRDefault="00BA5A5E" w:rsidP="00727472">
            <w:pPr>
              <w:spacing w:after="0" w:line="240" w:lineRule="auto"/>
              <w:rPr>
                <w:rFonts w:ascii="Times New Roman" w:eastAsia="Times New Roman" w:hAnsi="Times New Roman" w:cs="Times New Roman"/>
                <w:b/>
                <w:bCs/>
                <w:color w:val="000000" w:themeColor="text1"/>
                <w:lang w:eastAsia="en-ZA"/>
              </w:rPr>
            </w:pPr>
            <w:r w:rsidRPr="00FA281A">
              <w:rPr>
                <w:rFonts w:ascii="Times New Roman" w:eastAsia="Times New Roman" w:hAnsi="Times New Roman" w:cs="Times New Roman"/>
                <w:b/>
                <w:bCs/>
                <w:color w:val="000000" w:themeColor="text1"/>
                <w:lang w:eastAsia="en-ZA"/>
              </w:rPr>
              <w:t>COMPOUND</w:t>
            </w:r>
          </w:p>
        </w:tc>
        <w:tc>
          <w:tcPr>
            <w:tcW w:w="2136" w:type="dxa"/>
            <w:shd w:val="clear" w:color="auto" w:fill="FFFFFF" w:themeFill="background1"/>
            <w:noWrap/>
            <w:vAlign w:val="bottom"/>
            <w:hideMark/>
          </w:tcPr>
          <w:p w14:paraId="743B0722" w14:textId="77777777" w:rsidR="00BA5A5E" w:rsidRPr="00FA281A" w:rsidRDefault="00BA5A5E" w:rsidP="00727472">
            <w:pPr>
              <w:spacing w:after="0" w:line="240" w:lineRule="auto"/>
              <w:rPr>
                <w:rFonts w:ascii="Times New Roman" w:eastAsia="Times New Roman" w:hAnsi="Times New Roman" w:cs="Times New Roman"/>
                <w:b/>
                <w:bCs/>
                <w:color w:val="000000" w:themeColor="text1"/>
                <w:lang w:eastAsia="en-ZA"/>
              </w:rPr>
            </w:pPr>
            <w:r w:rsidRPr="00FA281A">
              <w:rPr>
                <w:rFonts w:ascii="Times New Roman" w:eastAsia="Times New Roman" w:hAnsi="Times New Roman" w:cs="Times New Roman"/>
                <w:b/>
                <w:bCs/>
                <w:color w:val="000000" w:themeColor="text1"/>
                <w:lang w:eastAsia="en-ZA"/>
              </w:rPr>
              <w:t>PATHWAY/CLASS</w:t>
            </w:r>
          </w:p>
        </w:tc>
        <w:tc>
          <w:tcPr>
            <w:tcW w:w="4923" w:type="dxa"/>
            <w:shd w:val="clear" w:color="auto" w:fill="FFFFFF" w:themeFill="background1"/>
          </w:tcPr>
          <w:p w14:paraId="18A5B7B4" w14:textId="6BFE0398" w:rsidR="00BA5A5E" w:rsidRPr="00FA281A" w:rsidRDefault="00BA5A5E" w:rsidP="00727472">
            <w:pPr>
              <w:spacing w:after="0" w:line="240" w:lineRule="auto"/>
              <w:rPr>
                <w:rFonts w:ascii="Times New Roman" w:eastAsia="Times New Roman" w:hAnsi="Times New Roman" w:cs="Times New Roman"/>
                <w:b/>
                <w:bCs/>
                <w:color w:val="000000" w:themeColor="text1"/>
                <w:lang w:eastAsia="en-ZA"/>
              </w:rPr>
            </w:pPr>
            <w:r>
              <w:rPr>
                <w:rFonts w:ascii="Times New Roman" w:eastAsia="Times New Roman" w:hAnsi="Times New Roman" w:cs="Times New Roman"/>
                <w:b/>
                <w:bCs/>
                <w:color w:val="000000" w:themeColor="text1"/>
                <w:lang w:eastAsia="en-ZA"/>
              </w:rPr>
              <w:t>Reason of the drug choice</w:t>
            </w:r>
          </w:p>
        </w:tc>
      </w:tr>
      <w:tr w:rsidR="003C74D6" w:rsidRPr="00FA281A" w14:paraId="0A9EA741" w14:textId="28854278" w:rsidTr="005D4557">
        <w:trPr>
          <w:trHeight w:val="288"/>
        </w:trPr>
        <w:tc>
          <w:tcPr>
            <w:tcW w:w="485" w:type="dxa"/>
            <w:shd w:val="clear" w:color="auto" w:fill="FFFFFF" w:themeFill="background1"/>
          </w:tcPr>
          <w:p w14:paraId="2CCE92AE" w14:textId="77777777" w:rsidR="00BA5A5E" w:rsidRPr="00FA281A" w:rsidRDefault="00BA5A5E" w:rsidP="00727472">
            <w:pPr>
              <w:spacing w:after="0" w:line="240" w:lineRule="auto"/>
              <w:rPr>
                <w:rFonts w:ascii="Times New Roman" w:eastAsia="Times New Roman" w:hAnsi="Times New Roman" w:cs="Times New Roman"/>
                <w:color w:val="000000" w:themeColor="text1"/>
                <w:lang w:eastAsia="en-ZA"/>
              </w:rPr>
            </w:pPr>
            <w:r>
              <w:rPr>
                <w:rFonts w:ascii="Times New Roman" w:eastAsia="Times New Roman" w:hAnsi="Times New Roman" w:cs="Times New Roman"/>
                <w:color w:val="000000" w:themeColor="text1"/>
                <w:lang w:eastAsia="en-ZA"/>
              </w:rPr>
              <w:t>1</w:t>
            </w:r>
          </w:p>
        </w:tc>
        <w:tc>
          <w:tcPr>
            <w:tcW w:w="1925" w:type="dxa"/>
            <w:shd w:val="clear" w:color="auto" w:fill="FFFFFF" w:themeFill="background1"/>
            <w:vAlign w:val="center"/>
            <w:hideMark/>
          </w:tcPr>
          <w:p w14:paraId="0BDDF016" w14:textId="77777777" w:rsidR="00BA5A5E" w:rsidRPr="00FA281A" w:rsidRDefault="00BA5A5E" w:rsidP="00727472">
            <w:pPr>
              <w:spacing w:after="0" w:line="240" w:lineRule="auto"/>
              <w:rPr>
                <w:rFonts w:ascii="Times New Roman" w:eastAsia="Times New Roman" w:hAnsi="Times New Roman" w:cs="Times New Roman"/>
                <w:color w:val="000000" w:themeColor="text1"/>
                <w:lang w:eastAsia="en-ZA"/>
              </w:rPr>
            </w:pPr>
            <w:r w:rsidRPr="00FA281A">
              <w:rPr>
                <w:rFonts w:ascii="Times New Roman" w:eastAsia="Times New Roman" w:hAnsi="Times New Roman" w:cs="Times New Roman"/>
                <w:color w:val="000000" w:themeColor="text1"/>
                <w:lang w:eastAsia="en-ZA"/>
              </w:rPr>
              <w:t>Cladribine</w:t>
            </w:r>
          </w:p>
        </w:tc>
        <w:tc>
          <w:tcPr>
            <w:tcW w:w="2136" w:type="dxa"/>
            <w:shd w:val="clear" w:color="auto" w:fill="FFFFFF" w:themeFill="background1"/>
            <w:noWrap/>
            <w:vAlign w:val="bottom"/>
            <w:hideMark/>
          </w:tcPr>
          <w:p w14:paraId="5C502B6C" w14:textId="77777777" w:rsidR="00BA5A5E" w:rsidRPr="00FA281A" w:rsidRDefault="00BA5A5E" w:rsidP="00727472">
            <w:pPr>
              <w:spacing w:after="0" w:line="240" w:lineRule="auto"/>
              <w:rPr>
                <w:rFonts w:ascii="Times New Roman" w:eastAsia="Times New Roman" w:hAnsi="Times New Roman" w:cs="Times New Roman"/>
                <w:color w:val="000000" w:themeColor="text1"/>
                <w:lang w:eastAsia="en-ZA"/>
              </w:rPr>
            </w:pPr>
            <w:r w:rsidRPr="00FA281A">
              <w:rPr>
                <w:rFonts w:ascii="Times New Roman" w:eastAsia="Times New Roman" w:hAnsi="Times New Roman" w:cs="Times New Roman"/>
                <w:color w:val="000000" w:themeColor="text1"/>
                <w:lang w:eastAsia="en-ZA"/>
              </w:rPr>
              <w:t>Anti-metabolite; Purine analog</w:t>
            </w:r>
          </w:p>
        </w:tc>
        <w:tc>
          <w:tcPr>
            <w:tcW w:w="4923" w:type="dxa"/>
            <w:shd w:val="clear" w:color="auto" w:fill="FFFFFF" w:themeFill="background1"/>
          </w:tcPr>
          <w:p w14:paraId="1B53B36A" w14:textId="27E8816A" w:rsidR="00BA5A5E" w:rsidRPr="00FA281A" w:rsidRDefault="00BA5A5E" w:rsidP="00727472">
            <w:pPr>
              <w:spacing w:after="0" w:line="240" w:lineRule="auto"/>
              <w:rPr>
                <w:rFonts w:ascii="Times New Roman" w:eastAsia="Times New Roman" w:hAnsi="Times New Roman" w:cs="Times New Roman"/>
                <w:color w:val="000000" w:themeColor="text1"/>
                <w:lang w:eastAsia="en-ZA"/>
              </w:rPr>
            </w:pPr>
            <w:r>
              <w:rPr>
                <w:rFonts w:ascii="Times New Roman" w:eastAsia="Times New Roman" w:hAnsi="Times New Roman" w:cs="Times New Roman"/>
                <w:color w:val="000000" w:themeColor="text1"/>
                <w:lang w:eastAsia="en-ZA"/>
              </w:rPr>
              <w:t xml:space="preserve">Cladribine </w:t>
            </w:r>
            <w:r w:rsidR="003C74D6">
              <w:rPr>
                <w:rFonts w:ascii="Times New Roman" w:eastAsia="Times New Roman" w:hAnsi="Times New Roman" w:cs="Times New Roman"/>
                <w:color w:val="000000" w:themeColor="text1"/>
                <w:lang w:eastAsia="en-ZA"/>
              </w:rPr>
              <w:t>is</w:t>
            </w:r>
            <w:r>
              <w:rPr>
                <w:rFonts w:ascii="Times New Roman" w:eastAsia="Times New Roman" w:hAnsi="Times New Roman" w:cs="Times New Roman"/>
                <w:color w:val="000000" w:themeColor="text1"/>
                <w:lang w:eastAsia="en-ZA"/>
              </w:rPr>
              <w:t xml:space="preserve"> given for leukemia treatment</w:t>
            </w:r>
            <w:r>
              <w:rPr>
                <w:rFonts w:ascii="Times New Roman" w:eastAsia="Times New Roman" w:hAnsi="Times New Roman" w:cs="Times New Roman"/>
                <w:color w:val="000000" w:themeColor="text1"/>
                <w:lang w:eastAsia="en-ZA"/>
              </w:rPr>
              <w:fldChar w:fldCharType="begin"/>
            </w:r>
            <w:r w:rsidR="003C74D6">
              <w:rPr>
                <w:rFonts w:ascii="Times New Roman" w:eastAsia="Times New Roman" w:hAnsi="Times New Roman" w:cs="Times New Roman"/>
                <w:color w:val="000000" w:themeColor="text1"/>
                <w:lang w:eastAsia="en-ZA"/>
              </w:rPr>
              <w:instrText xml:space="preserve"> ADDIN ZOTERO_ITEM CSL_CITATION {"citationID":"lVaVbFEL","properties":{"formattedCitation":"\\super 1\\uc0\\u8211{}3\\nosupersub{}","plainCitation":"1–3","noteIndex":0},"citationItems":[{"id":97,"uris":["http://zotero.org/users/local/qSoqcP4W/items/ICGJIZER"],"itemData":{"id":97,"type":"article-journal","abstract":"Purpose\nIn contrast to the classic form, variant hairy cell leukemia (HCLv) responds poorly to single-agent purine analogs, expresses unmutated BRAF, has shorter overall survival, and lacks effective standard therapy. No treatment has achieved a high complete remission rate even in small series, and of 39 reported cases from 6 studies, overall response rate after cladribine was 44% with 8% complete remissions. Rituximab has been found to increase the sensitivity of malignant cells to cladribine, suggesting that combination with cladribine might improve response in HCLv. To test this hypothesis, HCLv patients were treated with simultaneous cladribine and rituximab.\n\nExperimental design\nHCLv patients with 0-1 prior courses of cladribine received cladribine 0.15 mg/Kg days 1–5, with 8 weekly doses of rituximab 375 mg/m2 beginning day 1. Restaging was performed, and minimal residual disease (MRD) in blood and marrow was quantified using PCR, immunohistochemistry, and flow cytometry.\n\nResults\nBy 6 months, 9 (90%) of 10 patients achieved complete remission (CR), compared to 3 (8%) of 39 reported cases treated with cladribine alone (p&lt;0.0001). Of the 9 CRs, 8 remain free of MRD at 12–48 (median 27) months of follow-up. No dose-limiting toxicities were observed when beginning cladribine and rituximab on the same day, although most patients required short-term steroids to prevent and treat rituximab infusion reactions. Cytopenias in CRs resolved in 7–211 (median 34) days without major infections.\n\nConclusion\nAlthough cladribine alone lacks effectiveness for early or relapsed HCLv, cladribine with immediate rituximab achieves CRs without MRD and is feasible to administer.","container-title":"Clinical cancer research : an official journal of the American Association for Cancer Research","DOI":"10.1158/1078-0432.CCR-13-1752","ISSN":"1078-0432","issue":"24","journalAbbreviation":"Clin Cancer Res","note":"PMID: 24277451\nPMCID: PMC3867590","page":"10.1158/1078-0432.CCR-13-1752","source":"PubMed Central","title":"Cladribine with immediate rituximab for the treatment of patients with variant hairy cell leukemia","volume":"19","author":[{"family":"Kreitman","given":"Robert J."},{"family":"Wilson","given":"Wyndham"},{"family":"Calvo","given":"Katherine R."},{"family":"Arons","given":"Evgeny"},{"family":"Roth","given":"Laura"},{"family":"Sapolsky","given":"Jeffrey"},{"family":"Zhou","given":"Hong"},{"family":"Raffeld","given":"Mark"},{"family":"Stetler-Stevenson","given":"Maryalice"}],"issued":{"date-parts":[["2013",12,15]]}}},{"id":100,"uris":["http://zotero.org/users/local/qSoqcP4W/items/R5YB8LIV"],"itemData":{"id":100,"type":"article-journal","abstract":"Introduction: Patients with acute myeloid leukemia (AML) evolving from myeloproliferative neoplasms (MPN) have poor survival with median of 4-6 months and limited therapeutic options that could induce up to 60% of overall responses, but they are usually transient. Cladribine added to a backbone regimen of high dose cytarabine [≥ 1 gram per m2 intravenously (IV) for up to 5 days] and idarubicin (CLIA; further HD-clad) or low dose cytarabine [LDAC; 20 mg twice daily subcutaneously (SQ) for up to 10 days] alternating every two cycles with hypomethylating agent (HMA; regimen referred as LD-clad) have been routinely used in the treatment of AML at our institution.Objectives: We sought to investigate the efficacy and outcome of using HD-clad or LD-clad in patients with AML arising from MPN at our center.Methods: This is a retrospective chart review of patients with AML after previous MPN who were treated with clad-based regimen at our center and had comprehensive clinical data, including next generation molecular sequencing at AML diagnosis (≥ 28-gene myeloid panel). Since HMA-based therapy is often utilized early in MPN patients with accelerated (blasts up to 20%) or blast phase (blasts ≥20 %), and since HMA-treatment can affect outcomes, we separately evaluated patient's outcomes based on their prior exposure to HMA. Responses were according to the 2007 ELN criteria for AML and overall survival was measured from therapy initiation for AML (Kaplan-Meier method with log-rank test).Results: The cohort includes 50 patients (median age 68 years, range 28-83; 66% males); 72%, 18%, and 10% received clad-based therapy as induction (frontline, FL), salvage 1 and salvage 2+, respectively. Among the 36 FL patients, 23 (64%) received LD-clad and 13 (36%) HD-clad regimen. 30% and 38% of patients treated with FL LD-clad and FL HD-clad were previously exposed to HMA therapy; the remaining patients were HMA-naïve. All patients in the salvage (S) setting were pre-treated with HMA. Patients' characteristics at the time of AML therapy initiation are depicted in Table 1. Median time between the diagnosis of MPN and clad-based AML therapy was 62 months (range, 1-299) for FL and 137 months (range, 26-263) for S settings. 64% of patients on FL therapy had advanced grade of reticulin fibrosis, 44% had complex cytogenetics and 56% had JAK2 mutation. Additional co-mutations were detected in 78% of FL patients, the most common (in descending order) being ASXL1, RAS, RUNX1 and TP53. Patients treated with FL HD-clad were significantly younger (median age of 61 vs 72 years for patients on FL LD-clad, p = 0.03, respectively). LD-clad was more common as FL therapy, and was used in 67% of HMA-naïve and 58% of HMA-exposed patients. The complete remission rate with and without count recovery (CR &amp;amp; CRi) for FL HD-clad was 62%: 75% in HMA naïve and 40% in HMA-exposed patients. CR/CRi for FL LD-clad was 43%; 50% in HMA naïve and 29% in HMA-exposed patients. 75% and 50% of patients without previous HMA-exposure were able to proceed with allogeneic stem cell transplantation (SCT) after FL HD-clad and FL LD-clad, respectively. The median OS of 30 months (95% CI, 7-unreached) was the longest in HMA-naïve patients treated with FL HD-clad regimen (Figure; median OS censored for SCT was 15 months, range: not estimated - 24). The median OS for salvage pts treated with LD-clad and HD-clad were 3.25 and 1.85 months, respectively. Among 38 patients without SCT, 10 (26%) lived for more than 12 months since therapy initiation, including 2 patients in the salvage setting.Conclusion: Cladribine added to chemotherapy is an effective approach in patients with AML from MPN, either as an induction therapy for those eligible for SCT or acceptable long-term therapy for non-eligible patients. Noticeably, almost 40% of patients without SCT were alive past 12 months since the initiation of LD-clad therapy. HMA pretreated patients had lower response rates and poor survival even in the frontline setting.","container-title":"Blood","DOI":"10.1182/blood-2023-187968","ISSN":"0006-4971","issue":"Supplement 1","journalAbbreviation":"Blood","page":"4264","source":"Silverchair","title":"Cladribine-Based Chemotherapy for Patients with Secondary Acute Myeloid Leukemia (AML) Arising after Myeloproliferative Neoplasms (MPNs)","volume":"142","author":[{"family":"Masarova","given":"Lucia"},{"family":"Kantarjian","given":"Hagop M."},{"family":"Pemmaraju","given":"Naveen"},{"family":"Abbas","given":"Hussein A"},{"family":"Bose","given":"Prithviraj"},{"family":"Swaminathan","given":"Mahesh"},{"family":"Pierce","given":"Sherry"},{"family":"Sasaki","given":"Koji"},{"family":"Yilmaz","given":"Musa"},{"family":"Short","given":"Nicholas J."},{"family":"Daver","given":"Naval"},{"family":"Borthakur","given":"Gautam"},{"family":"Garcia-Manero","given":"Guillermo"},{"family":"Ohanian","given":"Maro"},{"family":"Bhalla","given":"Kapil N."},{"family":"DiNardo","given":"Courtney D."},{"family":"Kadia","given":"Tapan M."}],"issued":{"date-parts":[["2023",11,2]]}}},{"id":103,"uris":["http://zotero.org/users/local/qSoqcP4W/items/RM3489JA"],"itemData":{"id":103,"type":"article-journal","container-title":"Haematologica","DOI":"10.3324/haematol.2024.284962","ISSN":"1592-8721","issue":"8","language":"en","license":"Copyright (c) 2024 Ferrata Storti Foundation","note":"number: 8","page":"2706-2710","source":"haematologica.org","title":"Cladribine plus cytarabine plus venetoclax in acute myeloid leukemia relapsed or refractory to venetoclax plus hypomethylating agent","volume":"109","author":[{"family":"Steinauer","given":"Nickolas"},{"family":"McCullough","given":"Kristen"},{"family":"Al-Kali","given":"Aref"},{"family":"Alkhateeb","given":"Hassan B."},{"family":"Begna","given":"Kebede H."},{"family":"Mangaonkar","given":"Abhishek A."},{"family":"Saliba","given":"Antoine N."},{"family":"Torghabeh","given":"Mehrdad"},{"family":"Litzow","given":"Mark R."},{"family":"Hogan","given":"William J."},{"family":"Shah","given":"Mithun"},{"family":"Patnaik","given":"Mrinal M."},{"family":"Pardanani","given":"Animesh"},{"family":"Badar","given":"Talha"},{"family":"Murthy","given":"Hemant"},{"family":"Foran","given":"James"},{"family":"Yi","given":"Cecilia Arana"},{"family":"Tefferi","given":"Ayalew"},{"family":"Gangat","given":"Naseema"}],"issued":{"date-parts":[["2024",3,28]]}}}],"schema":"https://github.com/citation-style-language/schema/raw/master/csl-citation.json"} </w:instrText>
            </w:r>
            <w:r>
              <w:rPr>
                <w:rFonts w:ascii="Times New Roman" w:eastAsia="Times New Roman" w:hAnsi="Times New Roman" w:cs="Times New Roman"/>
                <w:color w:val="000000" w:themeColor="text1"/>
                <w:lang w:eastAsia="en-ZA"/>
              </w:rPr>
              <w:fldChar w:fldCharType="separate"/>
            </w:r>
            <w:r w:rsidR="003C74D6" w:rsidRPr="003C74D6">
              <w:rPr>
                <w:rFonts w:ascii="Times New Roman" w:hAnsi="Times New Roman" w:cs="Times New Roman"/>
                <w:vertAlign w:val="superscript"/>
              </w:rPr>
              <w:t>1–3</w:t>
            </w:r>
            <w:r>
              <w:rPr>
                <w:rFonts w:ascii="Times New Roman" w:eastAsia="Times New Roman" w:hAnsi="Times New Roman" w:cs="Times New Roman"/>
                <w:color w:val="000000" w:themeColor="text1"/>
                <w:lang w:eastAsia="en-ZA"/>
              </w:rPr>
              <w:fldChar w:fldCharType="end"/>
            </w:r>
            <w:r w:rsidR="003C74D6">
              <w:rPr>
                <w:rFonts w:ascii="Times New Roman" w:eastAsia="Times New Roman" w:hAnsi="Times New Roman" w:cs="Times New Roman"/>
                <w:color w:val="000000" w:themeColor="text1"/>
                <w:lang w:eastAsia="en-ZA"/>
              </w:rPr>
              <w:t xml:space="preserve">. Some patients in this study are in cladribine treatment. </w:t>
            </w:r>
          </w:p>
        </w:tc>
      </w:tr>
      <w:tr w:rsidR="003C74D6" w:rsidRPr="00FA281A" w14:paraId="2C71EA27" w14:textId="7516975C" w:rsidTr="005D4557">
        <w:trPr>
          <w:trHeight w:val="288"/>
        </w:trPr>
        <w:tc>
          <w:tcPr>
            <w:tcW w:w="485" w:type="dxa"/>
            <w:shd w:val="clear" w:color="auto" w:fill="FFFFFF" w:themeFill="background1"/>
          </w:tcPr>
          <w:p w14:paraId="03831400" w14:textId="77777777" w:rsidR="00BA5A5E" w:rsidRPr="00FA281A" w:rsidRDefault="00BA5A5E" w:rsidP="00727472">
            <w:pPr>
              <w:spacing w:after="0" w:line="240" w:lineRule="auto"/>
              <w:rPr>
                <w:rFonts w:ascii="Times New Roman" w:eastAsia="Times New Roman" w:hAnsi="Times New Roman" w:cs="Times New Roman"/>
                <w:color w:val="000000" w:themeColor="text1"/>
                <w:lang w:eastAsia="en-ZA"/>
              </w:rPr>
            </w:pPr>
            <w:r>
              <w:rPr>
                <w:rFonts w:ascii="Times New Roman" w:eastAsia="Times New Roman" w:hAnsi="Times New Roman" w:cs="Times New Roman"/>
                <w:color w:val="000000" w:themeColor="text1"/>
                <w:lang w:eastAsia="en-ZA"/>
              </w:rPr>
              <w:t>2</w:t>
            </w:r>
          </w:p>
        </w:tc>
        <w:tc>
          <w:tcPr>
            <w:tcW w:w="1925" w:type="dxa"/>
            <w:shd w:val="clear" w:color="auto" w:fill="FFFFFF" w:themeFill="background1"/>
            <w:vAlign w:val="center"/>
            <w:hideMark/>
          </w:tcPr>
          <w:p w14:paraId="56A2FDFE" w14:textId="77777777" w:rsidR="00BA5A5E" w:rsidRPr="00FA281A" w:rsidRDefault="00BA5A5E" w:rsidP="00727472">
            <w:pPr>
              <w:spacing w:after="0" w:line="240" w:lineRule="auto"/>
              <w:rPr>
                <w:rFonts w:ascii="Times New Roman" w:eastAsia="Times New Roman" w:hAnsi="Times New Roman" w:cs="Times New Roman"/>
                <w:color w:val="000000" w:themeColor="text1"/>
                <w:lang w:eastAsia="en-ZA"/>
              </w:rPr>
            </w:pPr>
            <w:r w:rsidRPr="00FA281A">
              <w:rPr>
                <w:rFonts w:ascii="Times New Roman" w:eastAsia="Times New Roman" w:hAnsi="Times New Roman" w:cs="Times New Roman"/>
                <w:color w:val="000000" w:themeColor="text1"/>
                <w:lang w:eastAsia="en-ZA"/>
              </w:rPr>
              <w:t>5-Azacytidine</w:t>
            </w:r>
          </w:p>
        </w:tc>
        <w:tc>
          <w:tcPr>
            <w:tcW w:w="2136" w:type="dxa"/>
            <w:shd w:val="clear" w:color="auto" w:fill="FFFFFF" w:themeFill="background1"/>
            <w:noWrap/>
            <w:vAlign w:val="bottom"/>
            <w:hideMark/>
          </w:tcPr>
          <w:p w14:paraId="45F6E9BE" w14:textId="77777777" w:rsidR="00BA5A5E" w:rsidRPr="00FA281A" w:rsidRDefault="00BA5A5E" w:rsidP="00727472">
            <w:pPr>
              <w:spacing w:after="0" w:line="240" w:lineRule="auto"/>
              <w:rPr>
                <w:rFonts w:ascii="Times New Roman" w:eastAsia="Times New Roman" w:hAnsi="Times New Roman" w:cs="Times New Roman"/>
                <w:color w:val="000000" w:themeColor="text1"/>
                <w:lang w:eastAsia="en-ZA"/>
              </w:rPr>
            </w:pPr>
            <w:r w:rsidRPr="00FA281A">
              <w:rPr>
                <w:rFonts w:ascii="Times New Roman" w:eastAsia="Times New Roman" w:hAnsi="Times New Roman" w:cs="Times New Roman"/>
                <w:color w:val="000000" w:themeColor="text1"/>
                <w:lang w:eastAsia="en-ZA"/>
              </w:rPr>
              <w:t>DNA methylation</w:t>
            </w:r>
          </w:p>
        </w:tc>
        <w:tc>
          <w:tcPr>
            <w:tcW w:w="4923" w:type="dxa"/>
            <w:shd w:val="clear" w:color="auto" w:fill="FFFFFF" w:themeFill="background1"/>
          </w:tcPr>
          <w:p w14:paraId="7EB9AAEA" w14:textId="3CAB1443" w:rsidR="00BA5A5E" w:rsidRPr="00FA281A" w:rsidRDefault="003C74D6" w:rsidP="00727472">
            <w:pPr>
              <w:spacing w:after="0" w:line="240" w:lineRule="auto"/>
              <w:rPr>
                <w:rFonts w:ascii="Times New Roman" w:eastAsia="Times New Roman" w:hAnsi="Times New Roman" w:cs="Times New Roman"/>
                <w:color w:val="000000" w:themeColor="text1"/>
                <w:lang w:eastAsia="en-ZA"/>
              </w:rPr>
            </w:pPr>
            <w:r>
              <w:rPr>
                <w:rFonts w:ascii="Times New Roman" w:eastAsia="Times New Roman" w:hAnsi="Times New Roman" w:cs="Times New Roman"/>
                <w:color w:val="000000" w:themeColor="text1"/>
                <w:lang w:eastAsia="en-ZA"/>
              </w:rPr>
              <w:t xml:space="preserve">Some patients in this study are in 5-azacytidine treatment. </w:t>
            </w:r>
            <w:r w:rsidR="005D4557">
              <w:rPr>
                <w:rFonts w:ascii="Times New Roman" w:eastAsia="Times New Roman" w:hAnsi="Times New Roman" w:cs="Times New Roman"/>
                <w:color w:val="000000" w:themeColor="text1"/>
                <w:lang w:eastAsia="en-ZA"/>
              </w:rPr>
              <w:t xml:space="preserve">It </w:t>
            </w:r>
            <w:r w:rsidR="00231F35">
              <w:rPr>
                <w:rFonts w:ascii="Times New Roman" w:eastAsia="Times New Roman" w:hAnsi="Times New Roman" w:cs="Times New Roman"/>
                <w:color w:val="000000" w:themeColor="text1"/>
                <w:lang w:eastAsia="en-ZA"/>
              </w:rPr>
              <w:t>is</w:t>
            </w:r>
            <w:r w:rsidR="005D4557">
              <w:rPr>
                <w:rFonts w:ascii="Times New Roman" w:eastAsia="Times New Roman" w:hAnsi="Times New Roman" w:cs="Times New Roman"/>
                <w:color w:val="000000" w:themeColor="text1"/>
                <w:lang w:eastAsia="en-ZA"/>
              </w:rPr>
              <w:t xml:space="preserve"> also</w:t>
            </w:r>
            <w:r w:rsidR="00231F35">
              <w:rPr>
                <w:rFonts w:ascii="Times New Roman" w:eastAsia="Times New Roman" w:hAnsi="Times New Roman" w:cs="Times New Roman"/>
                <w:color w:val="000000" w:themeColor="text1"/>
                <w:lang w:eastAsia="en-ZA"/>
              </w:rPr>
              <w:t xml:space="preserve"> given for leukemia treatment</w:t>
            </w:r>
            <w:r w:rsidR="00231F35">
              <w:rPr>
                <w:rFonts w:ascii="Times New Roman" w:eastAsia="Times New Roman" w:hAnsi="Times New Roman" w:cs="Times New Roman"/>
                <w:color w:val="000000" w:themeColor="text1"/>
                <w:lang w:eastAsia="en-ZA"/>
              </w:rPr>
              <w:fldChar w:fldCharType="begin"/>
            </w:r>
            <w:r w:rsidR="00231F35">
              <w:rPr>
                <w:rFonts w:ascii="Times New Roman" w:eastAsia="Times New Roman" w:hAnsi="Times New Roman" w:cs="Times New Roman"/>
                <w:color w:val="000000" w:themeColor="text1"/>
                <w:lang w:eastAsia="en-ZA"/>
              </w:rPr>
              <w:instrText xml:space="preserve"> ADDIN ZOTERO_ITEM CSL_CITATION {"citationID":"nPIhwHRW","properties":{"formattedCitation":"\\super 4\\nosupersub{}","plainCitation":"4","noteIndex":0},"citationItems":[{"id":105,"uris":["http://zotero.org/users/local/qSoqcP4W/items/QMJHCK27"],"itemData":{"id":105,"type":"article-journal","abstract":"Background/Aim: The hypomethylating agent 5-azacytidine has been the standard-of-care for patients with higher-risk myelodysplastic syndrome (MDS) during the past few years. Its efficacy has been proven in large clinical trials, and its safety has been shown to be superior to that of conventional treatments. Patients and Methods: We conducted a retrospective study on the efficacy and safety of 5-azacytidine in 44 consecutive patients with MDS and acute myeloid leukemia treated with 5-azacytidine during a 63-month period. We recorded the clinical and laboratory characteristics of the patients and we analyzed the response to treatment, overall survival and adverse events during treatment. Results: The median overall survival was 13 months, while serious adverse events consisted mostly of neutropenic infections. Conclusion: We reached two possibly valuable conclusions: Younger patients (&lt;73 years), as well as patients receiving treatment at longer than 28-day intervals had a significantly higher overall survival.","container-title":"Anticancer Research","ISSN":"0250-7005, 1791-7530","issue":"9","language":"en","license":"Copyright© 2015 International Institute of Anticancer Research (Dr. John G. Delinassios), All rights reserved","note":"publisher: International Institute of Anticancer Research\nsection: Clinical Studies\nPMID: 26254419","page":"5141-5147","source":"ar.iiarjournals.org","title":"5-Azacytidine in the Treatment of Intermediate-2 and High-risk Myelodysplastic Syndromes and Acute Myeloid Leukemia. A Five-year Experience with 44 Consecutive Patients.","volume":"35","author":[{"family":"Diamantopoulos","given":"Panagiotis"},{"family":"Zervakis","given":"Konstantinos"},{"family":"Papadopoulou","given":"Vasiliki"},{"family":"Iliakis","given":"Theodoros"},{"family":"Kalala","given":"Fani"},{"family":"Giannakopoulou","given":"Nefeli"},{"family":"Rougala","given":"Niki"},{"family":"Galanopoulos","given":"Athanassios"},{"family":"Bakarakos","given":"Panagiotis"},{"family":"Variami","given":"Eleni"},{"family":"Dimitrakopoulou","given":"Aglaia"},{"family":"Viniou","given":"Nora-Athina"}],"issued":{"date-parts":[["2015",9,1]]}}}],"schema":"https://github.com/citation-style-language/schema/raw/master/csl-citation.json"} </w:instrText>
            </w:r>
            <w:r w:rsidR="00231F35">
              <w:rPr>
                <w:rFonts w:ascii="Times New Roman" w:eastAsia="Times New Roman" w:hAnsi="Times New Roman" w:cs="Times New Roman"/>
                <w:color w:val="000000" w:themeColor="text1"/>
                <w:lang w:eastAsia="en-ZA"/>
              </w:rPr>
              <w:fldChar w:fldCharType="separate"/>
            </w:r>
            <w:r w:rsidR="00231F35" w:rsidRPr="00231F35">
              <w:rPr>
                <w:rFonts w:ascii="Times New Roman" w:hAnsi="Times New Roman" w:cs="Times New Roman"/>
                <w:vertAlign w:val="superscript"/>
              </w:rPr>
              <w:t>4</w:t>
            </w:r>
            <w:r w:rsidR="00231F35">
              <w:rPr>
                <w:rFonts w:ascii="Times New Roman" w:eastAsia="Times New Roman" w:hAnsi="Times New Roman" w:cs="Times New Roman"/>
                <w:color w:val="000000" w:themeColor="text1"/>
                <w:lang w:eastAsia="en-ZA"/>
              </w:rPr>
              <w:fldChar w:fldCharType="end"/>
            </w:r>
            <w:r w:rsidR="005D4557">
              <w:rPr>
                <w:rFonts w:ascii="Times New Roman" w:eastAsia="Times New Roman" w:hAnsi="Times New Roman" w:cs="Times New Roman"/>
                <w:color w:val="000000" w:themeColor="text1"/>
                <w:lang w:eastAsia="en-ZA"/>
              </w:rPr>
              <w:t xml:space="preserve">. </w:t>
            </w:r>
            <w:r>
              <w:rPr>
                <w:rFonts w:ascii="Times New Roman" w:eastAsia="Times New Roman" w:hAnsi="Times New Roman" w:cs="Times New Roman"/>
                <w:color w:val="000000" w:themeColor="text1"/>
                <w:lang w:eastAsia="en-ZA"/>
              </w:rPr>
              <w:t xml:space="preserve"> </w:t>
            </w:r>
          </w:p>
        </w:tc>
      </w:tr>
      <w:tr w:rsidR="003C74D6" w:rsidRPr="00FA281A" w14:paraId="293FA099" w14:textId="33DED502" w:rsidTr="005D4557">
        <w:trPr>
          <w:trHeight w:val="288"/>
        </w:trPr>
        <w:tc>
          <w:tcPr>
            <w:tcW w:w="485" w:type="dxa"/>
            <w:shd w:val="clear" w:color="auto" w:fill="FFFFFF" w:themeFill="background1"/>
          </w:tcPr>
          <w:p w14:paraId="2930A2A0" w14:textId="77777777" w:rsidR="00BA5A5E" w:rsidRPr="00FA281A" w:rsidRDefault="00BA5A5E" w:rsidP="00727472">
            <w:pPr>
              <w:spacing w:after="0" w:line="240" w:lineRule="auto"/>
              <w:rPr>
                <w:rFonts w:ascii="Times New Roman" w:eastAsia="Times New Roman" w:hAnsi="Times New Roman" w:cs="Times New Roman"/>
                <w:color w:val="000000" w:themeColor="text1"/>
                <w:lang w:eastAsia="en-ZA"/>
              </w:rPr>
            </w:pPr>
            <w:r>
              <w:rPr>
                <w:rFonts w:ascii="Times New Roman" w:eastAsia="Times New Roman" w:hAnsi="Times New Roman" w:cs="Times New Roman"/>
                <w:color w:val="000000" w:themeColor="text1"/>
                <w:lang w:eastAsia="en-ZA"/>
              </w:rPr>
              <w:t>3</w:t>
            </w:r>
          </w:p>
        </w:tc>
        <w:tc>
          <w:tcPr>
            <w:tcW w:w="1925" w:type="dxa"/>
            <w:shd w:val="clear" w:color="auto" w:fill="FFFFFF" w:themeFill="background1"/>
            <w:vAlign w:val="center"/>
            <w:hideMark/>
          </w:tcPr>
          <w:p w14:paraId="49DBA067" w14:textId="77777777" w:rsidR="00BA5A5E" w:rsidRPr="00FA281A" w:rsidRDefault="00BA5A5E" w:rsidP="00727472">
            <w:pPr>
              <w:spacing w:after="0" w:line="240" w:lineRule="auto"/>
              <w:rPr>
                <w:rFonts w:ascii="Times New Roman" w:eastAsia="Times New Roman" w:hAnsi="Times New Roman" w:cs="Times New Roman"/>
                <w:color w:val="000000" w:themeColor="text1"/>
                <w:lang w:eastAsia="en-ZA"/>
              </w:rPr>
            </w:pPr>
            <w:r w:rsidRPr="00FA281A">
              <w:rPr>
                <w:rFonts w:ascii="Times New Roman" w:eastAsia="Times New Roman" w:hAnsi="Times New Roman" w:cs="Times New Roman"/>
                <w:color w:val="000000" w:themeColor="text1"/>
                <w:lang w:eastAsia="en-ZA"/>
              </w:rPr>
              <w:t>Bendamustine</w:t>
            </w:r>
          </w:p>
        </w:tc>
        <w:tc>
          <w:tcPr>
            <w:tcW w:w="2136" w:type="dxa"/>
            <w:shd w:val="clear" w:color="auto" w:fill="FFFFFF" w:themeFill="background1"/>
            <w:noWrap/>
            <w:vAlign w:val="bottom"/>
            <w:hideMark/>
          </w:tcPr>
          <w:p w14:paraId="09A565D0" w14:textId="77777777" w:rsidR="00BA5A5E" w:rsidRPr="00FA281A" w:rsidRDefault="00BA5A5E" w:rsidP="00727472">
            <w:pPr>
              <w:spacing w:after="0" w:line="240" w:lineRule="auto"/>
              <w:rPr>
                <w:rFonts w:ascii="Times New Roman" w:eastAsia="Times New Roman" w:hAnsi="Times New Roman" w:cs="Times New Roman"/>
                <w:color w:val="000000" w:themeColor="text1"/>
                <w:lang w:eastAsia="en-ZA"/>
              </w:rPr>
            </w:pPr>
            <w:r w:rsidRPr="00FA281A">
              <w:rPr>
                <w:rFonts w:ascii="Times New Roman" w:eastAsia="Times New Roman" w:hAnsi="Times New Roman" w:cs="Times New Roman"/>
                <w:color w:val="000000" w:themeColor="text1"/>
                <w:lang w:eastAsia="en-ZA"/>
              </w:rPr>
              <w:t>DNA-damaging</w:t>
            </w:r>
          </w:p>
        </w:tc>
        <w:tc>
          <w:tcPr>
            <w:tcW w:w="4923" w:type="dxa"/>
            <w:shd w:val="clear" w:color="auto" w:fill="FFFFFF" w:themeFill="background1"/>
          </w:tcPr>
          <w:p w14:paraId="069E8D44" w14:textId="3F5895A6" w:rsidR="00BA5A5E" w:rsidRPr="00FA281A" w:rsidRDefault="005D4557" w:rsidP="00727472">
            <w:pPr>
              <w:spacing w:after="0" w:line="240" w:lineRule="auto"/>
              <w:rPr>
                <w:rFonts w:ascii="Times New Roman" w:eastAsia="Times New Roman" w:hAnsi="Times New Roman" w:cs="Times New Roman"/>
                <w:color w:val="000000" w:themeColor="text1"/>
                <w:lang w:eastAsia="en-ZA"/>
              </w:rPr>
            </w:pPr>
            <w:r>
              <w:rPr>
                <w:rFonts w:ascii="Times New Roman" w:eastAsia="Times New Roman" w:hAnsi="Times New Roman" w:cs="Times New Roman"/>
                <w:color w:val="000000" w:themeColor="text1"/>
                <w:lang w:eastAsia="en-ZA"/>
              </w:rPr>
              <w:t xml:space="preserve">Some patients in this study are in bendamustine treatment. </w:t>
            </w:r>
          </w:p>
        </w:tc>
      </w:tr>
      <w:tr w:rsidR="003C74D6" w:rsidRPr="00FA281A" w14:paraId="0F46D96A" w14:textId="0B9E0D86" w:rsidTr="005D4557">
        <w:trPr>
          <w:trHeight w:val="288"/>
        </w:trPr>
        <w:tc>
          <w:tcPr>
            <w:tcW w:w="485" w:type="dxa"/>
            <w:shd w:val="clear" w:color="auto" w:fill="FFFFFF" w:themeFill="background1"/>
          </w:tcPr>
          <w:p w14:paraId="0900E4BA" w14:textId="77777777" w:rsidR="00BA5A5E" w:rsidRPr="00FA281A" w:rsidRDefault="00BA5A5E" w:rsidP="00727472">
            <w:pPr>
              <w:spacing w:after="0" w:line="240" w:lineRule="auto"/>
              <w:rPr>
                <w:rFonts w:ascii="Times New Roman" w:eastAsia="Times New Roman" w:hAnsi="Times New Roman" w:cs="Times New Roman"/>
                <w:color w:val="000000" w:themeColor="text1"/>
                <w:lang w:eastAsia="en-ZA"/>
              </w:rPr>
            </w:pPr>
            <w:r>
              <w:rPr>
                <w:rFonts w:ascii="Times New Roman" w:eastAsia="Times New Roman" w:hAnsi="Times New Roman" w:cs="Times New Roman"/>
                <w:color w:val="000000" w:themeColor="text1"/>
                <w:lang w:eastAsia="en-ZA"/>
              </w:rPr>
              <w:t>4</w:t>
            </w:r>
          </w:p>
        </w:tc>
        <w:tc>
          <w:tcPr>
            <w:tcW w:w="1925" w:type="dxa"/>
            <w:shd w:val="clear" w:color="auto" w:fill="FFFFFF" w:themeFill="background1"/>
            <w:vAlign w:val="center"/>
            <w:hideMark/>
          </w:tcPr>
          <w:p w14:paraId="02537091" w14:textId="77777777" w:rsidR="00BA5A5E" w:rsidRPr="00FA281A" w:rsidRDefault="00BA5A5E" w:rsidP="00727472">
            <w:pPr>
              <w:spacing w:after="0" w:line="240" w:lineRule="auto"/>
              <w:rPr>
                <w:rFonts w:ascii="Times New Roman" w:eastAsia="Times New Roman" w:hAnsi="Times New Roman" w:cs="Times New Roman"/>
                <w:color w:val="000000" w:themeColor="text1"/>
                <w:lang w:eastAsia="en-ZA"/>
              </w:rPr>
            </w:pPr>
            <w:r w:rsidRPr="00FA281A">
              <w:rPr>
                <w:rFonts w:ascii="Times New Roman" w:eastAsia="Times New Roman" w:hAnsi="Times New Roman" w:cs="Times New Roman"/>
                <w:color w:val="000000" w:themeColor="text1"/>
                <w:lang w:eastAsia="en-ZA"/>
              </w:rPr>
              <w:t>Bortezomib</w:t>
            </w:r>
          </w:p>
        </w:tc>
        <w:tc>
          <w:tcPr>
            <w:tcW w:w="2136" w:type="dxa"/>
            <w:shd w:val="clear" w:color="auto" w:fill="FFFFFF" w:themeFill="background1"/>
            <w:noWrap/>
            <w:vAlign w:val="bottom"/>
            <w:hideMark/>
          </w:tcPr>
          <w:p w14:paraId="5612189B" w14:textId="77777777" w:rsidR="00BA5A5E" w:rsidRPr="00FA281A" w:rsidRDefault="00BA5A5E" w:rsidP="00727472">
            <w:pPr>
              <w:spacing w:after="0" w:line="240" w:lineRule="auto"/>
              <w:rPr>
                <w:rFonts w:ascii="Times New Roman" w:eastAsia="Times New Roman" w:hAnsi="Times New Roman" w:cs="Times New Roman"/>
                <w:color w:val="000000" w:themeColor="text1"/>
                <w:lang w:eastAsia="en-ZA"/>
              </w:rPr>
            </w:pPr>
            <w:r w:rsidRPr="00FA281A">
              <w:rPr>
                <w:rFonts w:ascii="Times New Roman" w:eastAsia="Times New Roman" w:hAnsi="Times New Roman" w:cs="Times New Roman"/>
                <w:color w:val="000000" w:themeColor="text1"/>
                <w:lang w:eastAsia="en-ZA"/>
              </w:rPr>
              <w:t>Proteasome inhibitor (26S subunit)</w:t>
            </w:r>
          </w:p>
        </w:tc>
        <w:tc>
          <w:tcPr>
            <w:tcW w:w="4923" w:type="dxa"/>
            <w:shd w:val="clear" w:color="auto" w:fill="FFFFFF" w:themeFill="background1"/>
          </w:tcPr>
          <w:p w14:paraId="49797A69" w14:textId="37F90D5F" w:rsidR="00BA5A5E" w:rsidRPr="00FA281A" w:rsidRDefault="003820BD" w:rsidP="00727472">
            <w:pPr>
              <w:spacing w:after="0" w:line="240" w:lineRule="auto"/>
              <w:rPr>
                <w:rFonts w:ascii="Times New Roman" w:eastAsia="Times New Roman" w:hAnsi="Times New Roman" w:cs="Times New Roman"/>
                <w:color w:val="000000" w:themeColor="text1"/>
                <w:lang w:eastAsia="en-ZA"/>
              </w:rPr>
            </w:pPr>
            <w:r>
              <w:rPr>
                <w:rFonts w:ascii="Times New Roman" w:eastAsia="Times New Roman" w:hAnsi="Times New Roman" w:cs="Times New Roman"/>
                <w:color w:val="000000" w:themeColor="text1"/>
                <w:lang w:eastAsia="en-ZA"/>
              </w:rPr>
              <w:t>Bortezomib was used to study an ex vivo drug sensitivity test in leukemia</w:t>
            </w:r>
            <w:r>
              <w:rPr>
                <w:rFonts w:ascii="Times New Roman" w:eastAsia="Times New Roman" w:hAnsi="Times New Roman" w:cs="Times New Roman"/>
                <w:color w:val="000000" w:themeColor="text1"/>
                <w:lang w:eastAsia="en-ZA"/>
              </w:rPr>
              <w:fldChar w:fldCharType="begin"/>
            </w:r>
            <w:r>
              <w:rPr>
                <w:rFonts w:ascii="Times New Roman" w:eastAsia="Times New Roman" w:hAnsi="Times New Roman" w:cs="Times New Roman"/>
                <w:color w:val="000000" w:themeColor="text1"/>
                <w:lang w:eastAsia="en-ZA"/>
              </w:rPr>
              <w:instrText xml:space="preserve"> ADDIN ZOTERO_ITEM CSL_CITATION {"citationID":"XqTTO6Wt","properties":{"formattedCitation":"\\super 5\\nosupersub{}","plainCitation":"5","noteIndex":0},"citationItems":[{"id":114,"uris":["http://zotero.org/users/local/qSoqcP4W/items/J2REPBLN"],"itemData":{"id":114,"type":"article-journal","abstract":"Although there is effective chemotherapy for many patients with leukemia, 20% of children and up to 65% of adults relapse. Novel therapies are needed to treat these patients. Leukemia cells are very sensitive to the proteasome inhibitor bortezomib (VELCADE(R), PS-341), which enhances the in vitro cytotoxic effects of dexamethasone and doxorubicin in multiple myeloma. To determine if bortezomib enhances the cytotoxicity of agents used in leukemia, we employed an in vitro tetrazolium-based colorimetric assay (MTT) to evaluate the cytotoxic effects of bortezomib alone and in combination with dexamethasone, vincristine, doxorubicin, cytarabine, asparaginase, geldanamycin, trichostatin A, and the bcl-2 inhibitor HA14.1. We demonstrated that primary leukemia lymphoblasts and leukemia cell lines are sensitive to bortezomib, with an average IC(50) of 12 nM. Qualitative and quantitative bortezomib-drug interactions were evaluated using the universal response surface approach (URSA). Bortezomib was synergistic with dexamethasone in dexamethasone-sensitive leukemia cells, and additive with vincristine, asparaginase, cytarabine, and doxorubicin. The anti-leukemic activity of bortezomib was also additive with geldanamycin and HA14.1, and additive or synergistic with trichostatin A. These results were compared to analysis using the median-dose effect method, which generated complex drug interactions due to differences in dose-response curve sigmoidicities. These data suggest bortezomib could potentiate the cytotoxic effects of combination chemotherapy in patients with leukemia.","container-title":"Cancer Chemotherapy and Pharmacology","DOI":"10.1007/s00280-005-0135-z","ISSN":"0344-5704","issue":"1","journalAbbreviation":"Cancer Chemother Pharmacol","language":"eng","note":"PMID: 16292537","page":"13-23","source":"PubMed","title":"Bortezomib interactions with chemotherapy agents in acute leukemia in vitro","volume":"58","author":[{"family":"Horton","given":"Terzah M."},{"family":"Gannavarapu","given":"Anurhadha"},{"family":"Blaney","given":"Susan M."},{"family":"D'Argenio","given":"David Z."},{"family":"Plon","given":"Sharon E."},{"family":"Berg","given":"Stacey L."}],"issued":{"date-parts":[["2006",7]]}}}],"schema":"https://github.com/citation-style-language/schema/raw/master/csl-citation.json"} </w:instrText>
            </w:r>
            <w:r>
              <w:rPr>
                <w:rFonts w:ascii="Times New Roman" w:eastAsia="Times New Roman" w:hAnsi="Times New Roman" w:cs="Times New Roman"/>
                <w:color w:val="000000" w:themeColor="text1"/>
                <w:lang w:eastAsia="en-ZA"/>
              </w:rPr>
              <w:fldChar w:fldCharType="separate"/>
            </w:r>
            <w:r w:rsidRPr="003820BD">
              <w:rPr>
                <w:rFonts w:ascii="Times New Roman" w:hAnsi="Times New Roman" w:cs="Times New Roman"/>
                <w:vertAlign w:val="superscript"/>
              </w:rPr>
              <w:t>5</w:t>
            </w:r>
            <w:r>
              <w:rPr>
                <w:rFonts w:ascii="Times New Roman" w:eastAsia="Times New Roman" w:hAnsi="Times New Roman" w:cs="Times New Roman"/>
                <w:color w:val="000000" w:themeColor="text1"/>
                <w:lang w:eastAsia="en-ZA"/>
              </w:rPr>
              <w:fldChar w:fldCharType="end"/>
            </w:r>
            <w:r>
              <w:rPr>
                <w:rFonts w:ascii="Times New Roman" w:eastAsia="Times New Roman" w:hAnsi="Times New Roman" w:cs="Times New Roman"/>
                <w:color w:val="000000" w:themeColor="text1"/>
                <w:lang w:eastAsia="en-ZA"/>
              </w:rPr>
              <w:t xml:space="preserve"> and also in clinical trial</w:t>
            </w:r>
            <w:r>
              <w:rPr>
                <w:rFonts w:ascii="Times New Roman" w:eastAsia="Times New Roman" w:hAnsi="Times New Roman" w:cs="Times New Roman"/>
                <w:color w:val="000000" w:themeColor="text1"/>
                <w:lang w:eastAsia="en-ZA"/>
              </w:rPr>
              <w:fldChar w:fldCharType="begin"/>
            </w:r>
            <w:r>
              <w:rPr>
                <w:rFonts w:ascii="Times New Roman" w:eastAsia="Times New Roman" w:hAnsi="Times New Roman" w:cs="Times New Roman"/>
                <w:color w:val="000000" w:themeColor="text1"/>
                <w:lang w:eastAsia="en-ZA"/>
              </w:rPr>
              <w:instrText xml:space="preserve"> ADDIN ZOTERO_ITEM CSL_CITATION {"citationID":"KXB3ZfCw","properties":{"formattedCitation":"\\super 6\\nosupersub{}","plainCitation":"6","noteIndex":0},"citationItems":[{"id":116,"uris":["http://zotero.org/users/local/qSoqcP4W/items/L2A5MRZ8"],"itemData":{"id":116,"type":"article-journal","abstract":"Therapy of relapsed pediatric acute lymphoblastic leukemia (ALL) is hampered by low remission rates and high toxicity, especially in second and subsequent relapses. Our phase 1 study, T2005-003, showed that the combination of bortezomib with vincristine, dexamethasone, pegylated asparaginase, and doxorubicin had acceptable toxicity. We report the phase 2 expansion of this combination in patients with relapsed ALL who failed 2-3 previous regimens. Twenty-two patients with relapsed ALL were treated with bortezomib combined with this regimen; their ages ranged from 1 to 22 years, and they had either B-precursor ALL (n = 20) or T-cell ALL (n = 2). Grade 3 peripheral neuropathy developed in 2 (9%) patients. After 3 patients died from bacterial infections, treatment with vancomycin, levofloxacin, and voriconazole prophylaxis resulted in no further infectious mortality in the last 6 patients. Fourteen patients achieved complete remission (CR), and 2 achieved CR without platelet recovery, for an overall 73% response rate, meeting predefined criteria allowing for early closure. B-precursor patients faired best, with 16 of 20 (80%) CR + CR without platelet recovery, whereas the 2 patients with T-cell ALL did not respond. Thus, this combination of bortezomib with chemotherapy is active in B-precursor ALL, and prophylactic antibiotics may be useful in reducing mortality. Bortezomib merits further evaluation in combination therapy in pediatric B-precursor ALL. This study is registered at http://www.clinicaltrials.gov as NCT00440726.","container-title":"Blood","DOI":"10.1182/blood-2012-04-418640","ISSN":"0006-4971","issue":"2","journalAbbreviation":"Blood","page":"285-290","source":"Silverchair","title":"Bortezomib with chemotherapy is highly active in advanced B-precursor acute lymphoblastic leukemia: Therapeutic Advances in Childhood Leukemia &amp; Lymphoma (TACL) Study","title-short":"Bortezomib with chemotherapy is highly active in advanced B-precursor acute lymphoblastic leukemia","volume":"120","author":[{"family":"Messinger","given":"Yoav H."},{"family":"Gaynon","given":"Paul S."},{"family":"Sposto","given":"Richard"},{"family":"Giessen","given":"Jeannette","non-dropping-particle":"van der"},{"family":"Eckroth","given":"Elena"},{"family":"Malvar","given":"Jemily"},{"family":"Bostrom","given":"Bruce C."},{"literal":"for the Therapeutic Advances in Childhood Leukemia &amp; Lymphoma (TACL) Consortium"}],"issued":{"date-parts":[["2012",7,12]]}}}],"schema":"https://github.com/citation-style-language/schema/raw/master/csl-citation.json"} </w:instrText>
            </w:r>
            <w:r>
              <w:rPr>
                <w:rFonts w:ascii="Times New Roman" w:eastAsia="Times New Roman" w:hAnsi="Times New Roman" w:cs="Times New Roman"/>
                <w:color w:val="000000" w:themeColor="text1"/>
                <w:lang w:eastAsia="en-ZA"/>
              </w:rPr>
              <w:fldChar w:fldCharType="separate"/>
            </w:r>
            <w:r w:rsidRPr="003820BD">
              <w:rPr>
                <w:rFonts w:ascii="Times New Roman" w:hAnsi="Times New Roman" w:cs="Times New Roman"/>
                <w:vertAlign w:val="superscript"/>
              </w:rPr>
              <w:t>6</w:t>
            </w:r>
            <w:r>
              <w:rPr>
                <w:rFonts w:ascii="Times New Roman" w:eastAsia="Times New Roman" w:hAnsi="Times New Roman" w:cs="Times New Roman"/>
                <w:color w:val="000000" w:themeColor="text1"/>
                <w:lang w:eastAsia="en-ZA"/>
              </w:rPr>
              <w:fldChar w:fldCharType="end"/>
            </w:r>
            <w:r>
              <w:rPr>
                <w:rFonts w:ascii="Times New Roman" w:eastAsia="Times New Roman" w:hAnsi="Times New Roman" w:cs="Times New Roman"/>
                <w:color w:val="000000" w:themeColor="text1"/>
                <w:lang w:eastAsia="en-ZA"/>
              </w:rPr>
              <w:t>.</w:t>
            </w:r>
          </w:p>
        </w:tc>
      </w:tr>
      <w:tr w:rsidR="003C74D6" w:rsidRPr="00FA281A" w14:paraId="46BD5A48" w14:textId="5459F8D7" w:rsidTr="005D4557">
        <w:trPr>
          <w:trHeight w:val="288"/>
        </w:trPr>
        <w:tc>
          <w:tcPr>
            <w:tcW w:w="485" w:type="dxa"/>
            <w:shd w:val="clear" w:color="auto" w:fill="FFFFFF" w:themeFill="background1"/>
          </w:tcPr>
          <w:p w14:paraId="2C0F7F97" w14:textId="77777777" w:rsidR="00BA5A5E" w:rsidRPr="00FA281A" w:rsidRDefault="00BA5A5E" w:rsidP="00727472">
            <w:pPr>
              <w:spacing w:after="0" w:line="240" w:lineRule="auto"/>
              <w:rPr>
                <w:rFonts w:ascii="Times New Roman" w:eastAsia="Times New Roman" w:hAnsi="Times New Roman" w:cs="Times New Roman"/>
                <w:color w:val="000000" w:themeColor="text1"/>
                <w:lang w:eastAsia="en-ZA"/>
              </w:rPr>
            </w:pPr>
            <w:r>
              <w:rPr>
                <w:rFonts w:ascii="Times New Roman" w:eastAsia="Times New Roman" w:hAnsi="Times New Roman" w:cs="Times New Roman"/>
                <w:color w:val="000000" w:themeColor="text1"/>
                <w:lang w:eastAsia="en-ZA"/>
              </w:rPr>
              <w:t>5</w:t>
            </w:r>
          </w:p>
        </w:tc>
        <w:tc>
          <w:tcPr>
            <w:tcW w:w="1925" w:type="dxa"/>
            <w:shd w:val="clear" w:color="auto" w:fill="FFFFFF" w:themeFill="background1"/>
            <w:vAlign w:val="center"/>
            <w:hideMark/>
          </w:tcPr>
          <w:p w14:paraId="699E93A7" w14:textId="77777777" w:rsidR="00BA5A5E" w:rsidRPr="00FA281A" w:rsidRDefault="00BA5A5E" w:rsidP="00727472">
            <w:pPr>
              <w:spacing w:after="0" w:line="240" w:lineRule="auto"/>
              <w:rPr>
                <w:rFonts w:ascii="Times New Roman" w:eastAsia="Times New Roman" w:hAnsi="Times New Roman" w:cs="Times New Roman"/>
                <w:color w:val="000000" w:themeColor="text1"/>
                <w:lang w:eastAsia="en-ZA"/>
              </w:rPr>
            </w:pPr>
            <w:r w:rsidRPr="00FA281A">
              <w:rPr>
                <w:rFonts w:ascii="Times New Roman" w:eastAsia="Times New Roman" w:hAnsi="Times New Roman" w:cs="Times New Roman"/>
                <w:color w:val="000000" w:themeColor="text1"/>
                <w:lang w:eastAsia="en-ZA"/>
              </w:rPr>
              <w:t>Busulfan</w:t>
            </w:r>
          </w:p>
        </w:tc>
        <w:tc>
          <w:tcPr>
            <w:tcW w:w="2136" w:type="dxa"/>
            <w:shd w:val="clear" w:color="auto" w:fill="FFFFFF" w:themeFill="background1"/>
            <w:noWrap/>
            <w:vAlign w:val="bottom"/>
            <w:hideMark/>
          </w:tcPr>
          <w:p w14:paraId="039358AB" w14:textId="77777777" w:rsidR="00BA5A5E" w:rsidRPr="00FA281A" w:rsidRDefault="00BA5A5E" w:rsidP="00727472">
            <w:pPr>
              <w:spacing w:after="0" w:line="240" w:lineRule="auto"/>
              <w:rPr>
                <w:rFonts w:ascii="Times New Roman" w:eastAsia="Times New Roman" w:hAnsi="Times New Roman" w:cs="Times New Roman"/>
                <w:color w:val="000000" w:themeColor="text1"/>
                <w:lang w:eastAsia="en-ZA"/>
              </w:rPr>
            </w:pPr>
            <w:r w:rsidRPr="00FA281A">
              <w:rPr>
                <w:rFonts w:ascii="Times New Roman" w:eastAsia="Times New Roman" w:hAnsi="Times New Roman" w:cs="Times New Roman"/>
                <w:color w:val="000000" w:themeColor="text1"/>
                <w:lang w:eastAsia="en-ZA"/>
              </w:rPr>
              <w:t>Alkylating agent</w:t>
            </w:r>
          </w:p>
        </w:tc>
        <w:tc>
          <w:tcPr>
            <w:tcW w:w="4923" w:type="dxa"/>
            <w:shd w:val="clear" w:color="auto" w:fill="FFFFFF" w:themeFill="background1"/>
          </w:tcPr>
          <w:p w14:paraId="1AAC431F" w14:textId="08068409" w:rsidR="00BA5A5E" w:rsidRPr="00FA281A" w:rsidRDefault="003820BD" w:rsidP="00727472">
            <w:pPr>
              <w:spacing w:after="0" w:line="240" w:lineRule="auto"/>
              <w:rPr>
                <w:rFonts w:ascii="Times New Roman" w:eastAsia="Times New Roman" w:hAnsi="Times New Roman" w:cs="Times New Roman"/>
                <w:color w:val="000000" w:themeColor="text1"/>
                <w:lang w:eastAsia="en-ZA"/>
              </w:rPr>
            </w:pPr>
            <w:r>
              <w:rPr>
                <w:rFonts w:ascii="Times New Roman" w:eastAsia="Times New Roman" w:hAnsi="Times New Roman" w:cs="Times New Roman"/>
                <w:color w:val="000000" w:themeColor="text1"/>
                <w:lang w:eastAsia="en-ZA"/>
              </w:rPr>
              <w:t>Busulfan are given for leukemia treatment</w:t>
            </w:r>
            <w:r>
              <w:rPr>
                <w:rFonts w:ascii="Times New Roman" w:eastAsia="Times New Roman" w:hAnsi="Times New Roman" w:cs="Times New Roman"/>
                <w:color w:val="000000" w:themeColor="text1"/>
                <w:lang w:eastAsia="en-ZA"/>
              </w:rPr>
              <w:fldChar w:fldCharType="begin"/>
            </w:r>
            <w:r w:rsidR="004D0CBF">
              <w:rPr>
                <w:rFonts w:ascii="Times New Roman" w:eastAsia="Times New Roman" w:hAnsi="Times New Roman" w:cs="Times New Roman"/>
                <w:color w:val="000000" w:themeColor="text1"/>
                <w:lang w:eastAsia="en-ZA"/>
              </w:rPr>
              <w:instrText xml:space="preserve"> ADDIN ZOTERO_ITEM CSL_CITATION {"citationID":"uLW4cJl0","properties":{"formattedCitation":"\\super 7,8\\nosupersub{}","plainCitation":"7,8","noteIndex":0},"citationItems":[{"id":119,"uris":["http://zotero.org/users/local/qSoqcP4W/items/H8WGNGVG"],"itemData":{"id":119,"type":"article-journal","abstract":"Busulfan 16 mg/kg and cyclophosphamide 120 mg/kg were used as conditioning prior to allogeneic marrow transplantation in 50 adult patients with acute nonlymphocytic leukemia (ANLL), acute lymphocytic leukemia (ALL), and chronic myelogenous leukemia (CML). A standard risk group of 20 patients included those with acute leukemia in remission and CML in chronic phase. A high-risk group of 30 patients included individuals with refractory acute leukemia, acute leukemia in relapse, acute leukemia following preleukemia, and CML in accelerated and blastic phase. Complete remission and sustained complete engraftment were achieved in all evaluable patients. The duration of aplasia was remarkably short (median of 8 days), resulting in a low infection rate during the period of neutropenia, a reduced need for blood product support, and a short length of hospital stay. Three-year actuarial relapse-free survival in both standard-risk (88.9% +/- 10.5%) and high-risk (50.5% +/- 9.6%) groups compares favorably with that reported with total body irradiation (TBI) containing regimens.","container-title":"Blood","ISSN":"0006-4971","issue":"5","journalAbbreviation":"Blood","language":"eng","note":"PMID: 3311203","page":"1382-1388","source":"PubMed","title":"Bone marrow transplantation for leukemia following a new busulfan and cyclophosphamide regimen","volume":"70","author":[{"family":"Tutschka","given":"P. J."},{"family":"Copelan","given":"E. A."},{"family":"Klein","given":"J. P."}],"issued":{"date-parts":[["1987",11]]}}},{"id":123,"uris":["http://zotero.org/users/local/qSoqcP4W/items/FVKHUCD2"],"itemData":{"id":123,"type":"article-journal","abstract":"PurposeIt remains controversial whether busulfan-based versus total body irradiation (TBI)–based regimens have comparable outcomes in patients with acute lymphoblastic leukemia (ALL) undergoing allogeneic hematopoietic stem-cell transplantation (allo-HSCT). We investigated the efficacy and toxicity of busulfan plus cyclophosphamide (BuCy) and TBI plus cyclophosphamide (TBI-Cy) conditioning in allo-HSCT for adult standard-risk B-cell-ALL in first complete remission (CR1).Patients and MethodsWe performed an open-label, randomized phase III trial at 13 hospitals in China. Eligible patients (age 14-65 years) had standard-risk ALL in CR1. Patients were randomly assigned (1:1) to BuCy (0.8 mg/kg four times per day on days –7 to –4 and cyclophosphamide 60 mg/kg once daily on days –3 to –2) or TBI-Cy (4.5 Gy TBI on days –5 to –4 and cyclophosphamide 60 mg/kg once daily on days –3 to –2). The primary end point was 2-year overall survival. Analysis was per protocol. This trial is registered with ClinicalTrials.gov (identifier: NCT02670252) and is complete.ResultsBetween January 2016 and February 2020, 275 patients were assigned to receive BuCy (273 assessed) and 275 to TBI-Cy (272 assessed). The 2-year overall survival was 76.6% (95% CI, 71.7 to 81.8) and 79.4% (74.7 to 84.4; P = .457; difference 2.9%; 95% CI, –4.1 to 9.8; P = .022), indicating noninferiority of BuCy. The 2-year relapse was 20.2% (95% CI, 15.6 to 25.1) and 18.4% (14.0 to 23.2; P = .616), and the nonrelapse mortality was 11.0% (95% CI, 7.6 to 15.0) and 11.0% (7.7 to 15.1; P = .988) in the BuCy and TBI-Cy groups, respectively. There were no differences in regimen-related toxicity, graft-versus-host disease, or late effects between the two groups.ConclusionThe BuCy regimen has noninferior efficiency and safety as TBI-Cy (4.5 Gy × 2) for patients with adult standard-risk B cell-ALL in CR1 undergoing HLA-matched allo-HSCT.","container-title":"Journal of Clinical Oncology","DOI":"10.1200/JCO.22.00767","ISSN":"0732-183X","issue":"2","journalAbbreviation":"JCO","note":"publisher: Wolters Kluwer","page":"343-353","source":"ascopubs.org (Atypon)","title":"Busulfan Plus Cyclophosphamide Versus Total Body Irradiation Plus Cyclophosphamide for Adults Acute B Lymphoblastic Leukemia: An Open-Label, Multicenter, Phase III Trial","title-short":"Busulfan Plus Cyclophosphamide Versus Total Body Irradiation Plus Cyclophosphamide for Adults Acute B Lymphoblastic Leukemia","volume":"41","author":[{"family":"Zhang","given":"Haiyan"},{"family":"Fan","given":"Zhiping"},{"family":"Huang","given":"Fen"},{"family":"Han","given":"Lijie"},{"family":"Xu","given":"Yajing"},{"family":"Xu","given":"Na"},{"family":"Deng","given":"Lan"},{"family":"Wang","given":"Shunqing"},{"family":"Lin","given":"Dongjun"},{"family":"Luo","given":"Xiaodan"},{"family":"Zhang","given":"Qing"},{"family":"Liu","given":"Xiaodan"},{"family":"Li","given":"Xudong"},{"family":"Liang","given":"Xinquan"},{"family":"Xie","given":"Shuangfeng"},{"family":"Qu","given":"Hong"},{"family":"Yu","given":"Sijian"},{"family":"Zhou","given":"Hongsheng"},{"family":"Shi","given":"Pengcheng"},{"family":"Xuan","given":"Li"},{"family":"Lin","given":"Ren"},{"family":"Liu","given":"Hui"},{"family":"Jin","given":"Hua"},{"family":"Sun","given":"Jing"},{"family":"Liu","given":"Qifa"}],"issued":{"date-parts":[["2023",1,10]]}}}],"schema":"https://github.com/citation-style-language/schema/raw/master/csl-citation.json"} </w:instrText>
            </w:r>
            <w:r>
              <w:rPr>
                <w:rFonts w:ascii="Times New Roman" w:eastAsia="Times New Roman" w:hAnsi="Times New Roman" w:cs="Times New Roman"/>
                <w:color w:val="000000" w:themeColor="text1"/>
                <w:lang w:eastAsia="en-ZA"/>
              </w:rPr>
              <w:fldChar w:fldCharType="separate"/>
            </w:r>
            <w:r w:rsidR="004D0CBF" w:rsidRPr="004D0CBF">
              <w:rPr>
                <w:rFonts w:ascii="Times New Roman" w:hAnsi="Times New Roman" w:cs="Times New Roman"/>
                <w:vertAlign w:val="superscript"/>
              </w:rPr>
              <w:t>7,8</w:t>
            </w:r>
            <w:r>
              <w:rPr>
                <w:rFonts w:ascii="Times New Roman" w:eastAsia="Times New Roman" w:hAnsi="Times New Roman" w:cs="Times New Roman"/>
                <w:color w:val="000000" w:themeColor="text1"/>
                <w:lang w:eastAsia="en-ZA"/>
              </w:rPr>
              <w:fldChar w:fldCharType="end"/>
            </w:r>
          </w:p>
        </w:tc>
      </w:tr>
      <w:tr w:rsidR="003C74D6" w:rsidRPr="00FA281A" w14:paraId="350E79EF" w14:textId="5D97CF22" w:rsidTr="005D4557">
        <w:trPr>
          <w:trHeight w:val="288"/>
        </w:trPr>
        <w:tc>
          <w:tcPr>
            <w:tcW w:w="485" w:type="dxa"/>
            <w:shd w:val="clear" w:color="auto" w:fill="FFFFFF" w:themeFill="background1"/>
          </w:tcPr>
          <w:p w14:paraId="693D64E7" w14:textId="77777777" w:rsidR="00BA5A5E" w:rsidRPr="00FA281A" w:rsidRDefault="00BA5A5E" w:rsidP="00727472">
            <w:pPr>
              <w:spacing w:after="0" w:line="240" w:lineRule="auto"/>
              <w:rPr>
                <w:rFonts w:ascii="Times New Roman" w:eastAsia="Times New Roman" w:hAnsi="Times New Roman" w:cs="Times New Roman"/>
                <w:color w:val="000000" w:themeColor="text1"/>
                <w:lang w:eastAsia="en-ZA"/>
              </w:rPr>
            </w:pPr>
            <w:r>
              <w:rPr>
                <w:rFonts w:ascii="Times New Roman" w:eastAsia="Times New Roman" w:hAnsi="Times New Roman" w:cs="Times New Roman"/>
                <w:color w:val="000000" w:themeColor="text1"/>
                <w:lang w:eastAsia="en-ZA"/>
              </w:rPr>
              <w:t>6</w:t>
            </w:r>
          </w:p>
        </w:tc>
        <w:tc>
          <w:tcPr>
            <w:tcW w:w="1925" w:type="dxa"/>
            <w:shd w:val="clear" w:color="auto" w:fill="FFFFFF" w:themeFill="background1"/>
            <w:vAlign w:val="center"/>
            <w:hideMark/>
          </w:tcPr>
          <w:p w14:paraId="7354EF92" w14:textId="77777777" w:rsidR="00BA5A5E" w:rsidRPr="00FA281A" w:rsidRDefault="00BA5A5E" w:rsidP="00727472">
            <w:pPr>
              <w:spacing w:after="0" w:line="240" w:lineRule="auto"/>
              <w:rPr>
                <w:rFonts w:ascii="Times New Roman" w:eastAsia="Times New Roman" w:hAnsi="Times New Roman" w:cs="Times New Roman"/>
                <w:color w:val="000000" w:themeColor="text1"/>
                <w:lang w:eastAsia="en-ZA"/>
              </w:rPr>
            </w:pPr>
            <w:r w:rsidRPr="00FA281A">
              <w:rPr>
                <w:rFonts w:ascii="Times New Roman" w:eastAsia="Times New Roman" w:hAnsi="Times New Roman" w:cs="Times New Roman"/>
                <w:color w:val="000000" w:themeColor="text1"/>
                <w:lang w:eastAsia="en-ZA"/>
              </w:rPr>
              <w:t>Chlorambucil</w:t>
            </w:r>
          </w:p>
        </w:tc>
        <w:tc>
          <w:tcPr>
            <w:tcW w:w="2136" w:type="dxa"/>
            <w:shd w:val="clear" w:color="auto" w:fill="FFFFFF" w:themeFill="background1"/>
            <w:noWrap/>
            <w:vAlign w:val="bottom"/>
            <w:hideMark/>
          </w:tcPr>
          <w:p w14:paraId="1C77A555" w14:textId="77777777" w:rsidR="00BA5A5E" w:rsidRPr="00FA281A" w:rsidRDefault="00BA5A5E" w:rsidP="00727472">
            <w:pPr>
              <w:spacing w:after="0" w:line="240" w:lineRule="auto"/>
              <w:rPr>
                <w:rFonts w:ascii="Times New Roman" w:eastAsia="Times New Roman" w:hAnsi="Times New Roman" w:cs="Times New Roman"/>
                <w:color w:val="000000" w:themeColor="text1"/>
                <w:lang w:eastAsia="en-ZA"/>
              </w:rPr>
            </w:pPr>
            <w:r w:rsidRPr="00FA281A">
              <w:rPr>
                <w:rFonts w:ascii="Times New Roman" w:eastAsia="Times New Roman" w:hAnsi="Times New Roman" w:cs="Times New Roman"/>
                <w:color w:val="000000" w:themeColor="text1"/>
                <w:lang w:eastAsia="en-ZA"/>
              </w:rPr>
              <w:t>Alkylating agent</w:t>
            </w:r>
          </w:p>
        </w:tc>
        <w:tc>
          <w:tcPr>
            <w:tcW w:w="4923" w:type="dxa"/>
            <w:shd w:val="clear" w:color="auto" w:fill="FFFFFF" w:themeFill="background1"/>
          </w:tcPr>
          <w:p w14:paraId="23F22126" w14:textId="24C339CD" w:rsidR="00BA5A5E" w:rsidRPr="00FA281A" w:rsidRDefault="005D4557" w:rsidP="00727472">
            <w:pPr>
              <w:spacing w:after="0" w:line="240" w:lineRule="auto"/>
              <w:rPr>
                <w:rFonts w:ascii="Times New Roman" w:eastAsia="Times New Roman" w:hAnsi="Times New Roman" w:cs="Times New Roman"/>
                <w:color w:val="000000" w:themeColor="text1"/>
                <w:lang w:eastAsia="en-ZA"/>
              </w:rPr>
            </w:pPr>
            <w:r>
              <w:rPr>
                <w:rFonts w:ascii="Times New Roman" w:eastAsia="Times New Roman" w:hAnsi="Times New Roman" w:cs="Times New Roman"/>
                <w:color w:val="000000" w:themeColor="text1"/>
                <w:lang w:eastAsia="en-ZA"/>
              </w:rPr>
              <w:t xml:space="preserve">Some patients in this study are in chlorambucil treatment. </w:t>
            </w:r>
          </w:p>
        </w:tc>
      </w:tr>
      <w:tr w:rsidR="003C74D6" w:rsidRPr="00FA281A" w14:paraId="19315806" w14:textId="1AEE6175" w:rsidTr="005D4557">
        <w:trPr>
          <w:trHeight w:val="78"/>
        </w:trPr>
        <w:tc>
          <w:tcPr>
            <w:tcW w:w="485" w:type="dxa"/>
            <w:shd w:val="clear" w:color="auto" w:fill="FFFFFF" w:themeFill="background1"/>
          </w:tcPr>
          <w:p w14:paraId="07688751" w14:textId="77777777" w:rsidR="00BA5A5E" w:rsidRPr="00FA281A" w:rsidRDefault="00BA5A5E" w:rsidP="00727472">
            <w:pPr>
              <w:spacing w:after="0" w:line="240" w:lineRule="auto"/>
              <w:rPr>
                <w:rFonts w:ascii="Times New Roman" w:eastAsia="Times New Roman" w:hAnsi="Times New Roman" w:cs="Times New Roman"/>
                <w:color w:val="000000" w:themeColor="text1"/>
                <w:lang w:eastAsia="en-ZA"/>
              </w:rPr>
            </w:pPr>
            <w:r>
              <w:rPr>
                <w:rFonts w:ascii="Times New Roman" w:eastAsia="Times New Roman" w:hAnsi="Times New Roman" w:cs="Times New Roman"/>
                <w:color w:val="000000" w:themeColor="text1"/>
                <w:lang w:eastAsia="en-ZA"/>
              </w:rPr>
              <w:t>7</w:t>
            </w:r>
          </w:p>
        </w:tc>
        <w:tc>
          <w:tcPr>
            <w:tcW w:w="1925" w:type="dxa"/>
            <w:shd w:val="clear" w:color="auto" w:fill="FFFFFF" w:themeFill="background1"/>
            <w:vAlign w:val="center"/>
            <w:hideMark/>
          </w:tcPr>
          <w:p w14:paraId="501BD876" w14:textId="77777777" w:rsidR="00BA5A5E" w:rsidRPr="00FA281A" w:rsidRDefault="00BA5A5E" w:rsidP="00727472">
            <w:pPr>
              <w:spacing w:after="0" w:line="240" w:lineRule="auto"/>
              <w:rPr>
                <w:rFonts w:ascii="Times New Roman" w:eastAsia="Times New Roman" w:hAnsi="Times New Roman" w:cs="Times New Roman"/>
                <w:color w:val="000000" w:themeColor="text1"/>
                <w:lang w:eastAsia="en-ZA"/>
              </w:rPr>
            </w:pPr>
            <w:r w:rsidRPr="00FA281A">
              <w:rPr>
                <w:rFonts w:ascii="Times New Roman" w:eastAsia="Times New Roman" w:hAnsi="Times New Roman" w:cs="Times New Roman"/>
                <w:color w:val="000000" w:themeColor="text1"/>
                <w:lang w:eastAsia="en-ZA"/>
              </w:rPr>
              <w:t>Cyclophosphamide monohydrate</w:t>
            </w:r>
          </w:p>
        </w:tc>
        <w:tc>
          <w:tcPr>
            <w:tcW w:w="2136" w:type="dxa"/>
            <w:shd w:val="clear" w:color="auto" w:fill="FFFFFF" w:themeFill="background1"/>
            <w:noWrap/>
            <w:vAlign w:val="bottom"/>
            <w:hideMark/>
          </w:tcPr>
          <w:p w14:paraId="574BFCE2" w14:textId="77777777" w:rsidR="00BA5A5E" w:rsidRPr="00FA281A" w:rsidRDefault="00BA5A5E" w:rsidP="00727472">
            <w:pPr>
              <w:spacing w:after="0" w:line="240" w:lineRule="auto"/>
              <w:rPr>
                <w:rFonts w:ascii="Times New Roman" w:eastAsia="Times New Roman" w:hAnsi="Times New Roman" w:cs="Times New Roman"/>
                <w:color w:val="000000" w:themeColor="text1"/>
                <w:lang w:eastAsia="en-ZA"/>
              </w:rPr>
            </w:pPr>
            <w:r w:rsidRPr="00FA281A">
              <w:rPr>
                <w:rFonts w:ascii="Times New Roman" w:eastAsia="Times New Roman" w:hAnsi="Times New Roman" w:cs="Times New Roman"/>
                <w:color w:val="000000" w:themeColor="text1"/>
                <w:lang w:eastAsia="en-ZA"/>
              </w:rPr>
              <w:t>Alkylating agent</w:t>
            </w:r>
          </w:p>
        </w:tc>
        <w:tc>
          <w:tcPr>
            <w:tcW w:w="4923" w:type="dxa"/>
            <w:shd w:val="clear" w:color="auto" w:fill="FFFFFF" w:themeFill="background1"/>
          </w:tcPr>
          <w:p w14:paraId="461D9740" w14:textId="3BAC3017" w:rsidR="00BA5A5E" w:rsidRPr="00FA281A" w:rsidRDefault="004D0CBF" w:rsidP="00727472">
            <w:pPr>
              <w:spacing w:after="0" w:line="240" w:lineRule="auto"/>
              <w:rPr>
                <w:rFonts w:ascii="Times New Roman" w:eastAsia="Times New Roman" w:hAnsi="Times New Roman" w:cs="Times New Roman"/>
                <w:color w:val="000000" w:themeColor="text1"/>
                <w:lang w:eastAsia="en-ZA"/>
              </w:rPr>
            </w:pPr>
            <w:r>
              <w:rPr>
                <w:rFonts w:ascii="Times New Roman" w:eastAsia="Times New Roman" w:hAnsi="Times New Roman" w:cs="Times New Roman"/>
                <w:color w:val="000000" w:themeColor="text1"/>
                <w:lang w:eastAsia="en-ZA"/>
              </w:rPr>
              <w:t>Cyclophosphamide monohydrate are given for leukemia treatment</w:t>
            </w:r>
            <w:r>
              <w:rPr>
                <w:rFonts w:ascii="Times New Roman" w:eastAsia="Times New Roman" w:hAnsi="Times New Roman" w:cs="Times New Roman"/>
                <w:color w:val="000000" w:themeColor="text1"/>
                <w:lang w:eastAsia="en-ZA"/>
              </w:rPr>
              <w:fldChar w:fldCharType="begin"/>
            </w:r>
            <w:r>
              <w:rPr>
                <w:rFonts w:ascii="Times New Roman" w:eastAsia="Times New Roman" w:hAnsi="Times New Roman" w:cs="Times New Roman"/>
                <w:color w:val="000000" w:themeColor="text1"/>
                <w:lang w:eastAsia="en-ZA"/>
              </w:rPr>
              <w:instrText xml:space="preserve"> ADDIN ZOTERO_ITEM CSL_CITATION {"citationID":"pidM4oAc","properties":{"formattedCitation":"\\super 8\\nosupersub{}","plainCitation":"8","noteIndex":0},"citationItems":[{"id":123,"uris":["http://zotero.org/users/local/qSoqcP4W/items/FVKHUCD2"],"itemData":{"id":123,"type":"article-journal","abstract":"PurposeIt remains controversial whether busulfan-based versus total body irradiation (TBI)–based regimens have comparable outcomes in patients with acute lymphoblastic leukemia (ALL) undergoing allogeneic hematopoietic stem-cell transplantation (allo-HSCT). We investigated the efficacy and toxicity of busulfan plus cyclophosphamide (BuCy) and TBI plus cyclophosphamide (TBI-Cy) conditioning in allo-HSCT for adult standard-risk B-cell-ALL in first complete remission (CR1).Patients and MethodsWe performed an open-label, randomized phase III trial at 13 hospitals in China. Eligible patients (age 14-65 years) had standard-risk ALL in CR1. Patients were randomly assigned (1:1) to BuCy (0.8 mg/kg four times per day on days –7 to –4 and cyclophosphamide 60 mg/kg once daily on days –3 to –2) or TBI-Cy (4.5 Gy TBI on days –5 to –4 and cyclophosphamide 60 mg/kg once daily on days –3 to –2). The primary end point was 2-year overall survival. Analysis was per protocol. This trial is registered with ClinicalTrials.gov (identifier: NCT02670252) and is complete.ResultsBetween January 2016 and February 2020, 275 patients were assigned to receive BuCy (273 assessed) and 275 to TBI-Cy (272 assessed). The 2-year overall survival was 76.6% (95% CI, 71.7 to 81.8) and 79.4% (74.7 to 84.4; P = .457; difference 2.9%; 95% CI, –4.1 to 9.8; P = .022), indicating noninferiority of BuCy. The 2-year relapse was 20.2% (95% CI, 15.6 to 25.1) and 18.4% (14.0 to 23.2; P = .616), and the nonrelapse mortality was 11.0% (95% CI, 7.6 to 15.0) and 11.0% (7.7 to 15.1; P = .988) in the BuCy and TBI-Cy groups, respectively. There were no differences in regimen-related toxicity, graft-versus-host disease, or late effects between the two groups.ConclusionThe BuCy regimen has noninferior efficiency and safety as TBI-Cy (4.5 Gy × 2) for patients with adult standard-risk B cell-ALL in CR1 undergoing HLA-matched allo-HSCT.","container-title":"Journal of Clinical Oncology","DOI":"10.1200/JCO.22.00767","ISSN":"0732-183X","issue":"2","journalAbbreviation":"JCO","note":"publisher: Wolters Kluwer","page":"343-353","source":"ascopubs.org (Atypon)","title":"Busulfan Plus Cyclophosphamide Versus Total Body Irradiation Plus Cyclophosphamide for Adults Acute B Lymphoblastic Leukemia: An Open-Label, Multicenter, Phase III Trial","title-short":"Busulfan Plus Cyclophosphamide Versus Total Body Irradiation Plus Cyclophosphamide for Adults Acute B Lymphoblastic Leukemia","volume":"41","author":[{"family":"Zhang","given":"Haiyan"},{"family":"Fan","given":"Zhiping"},{"family":"Huang","given":"Fen"},{"family":"Han","given":"Lijie"},{"family":"Xu","given":"Yajing"},{"family":"Xu","given":"Na"},{"family":"Deng","given":"Lan"},{"family":"Wang","given":"Shunqing"},{"family":"Lin","given":"Dongjun"},{"family":"Luo","given":"Xiaodan"},{"family":"Zhang","given":"Qing"},{"family":"Liu","given":"Xiaodan"},{"family":"Li","given":"Xudong"},{"family":"Liang","given":"Xinquan"},{"family":"Xie","given":"Shuangfeng"},{"family":"Qu","given":"Hong"},{"family":"Yu","given":"Sijian"},{"family":"Zhou","given":"Hongsheng"},{"family":"Shi","given":"Pengcheng"},{"family":"Xuan","given":"Li"},{"family":"Lin","given":"Ren"},{"family":"Liu","given":"Hui"},{"family":"Jin","given":"Hua"},{"family":"Sun","given":"Jing"},{"family":"Liu","given":"Qifa"}],"issued":{"date-parts":[["2023",1,10]]}}}],"schema":"https://github.com/citation-style-language/schema/raw/master/csl-citation.json"} </w:instrText>
            </w:r>
            <w:r>
              <w:rPr>
                <w:rFonts w:ascii="Times New Roman" w:eastAsia="Times New Roman" w:hAnsi="Times New Roman" w:cs="Times New Roman"/>
                <w:color w:val="000000" w:themeColor="text1"/>
                <w:lang w:eastAsia="en-ZA"/>
              </w:rPr>
              <w:fldChar w:fldCharType="separate"/>
            </w:r>
            <w:r w:rsidRPr="004D0CBF">
              <w:rPr>
                <w:rFonts w:ascii="Times New Roman" w:hAnsi="Times New Roman" w:cs="Times New Roman"/>
                <w:vertAlign w:val="superscript"/>
              </w:rPr>
              <w:t>8</w:t>
            </w:r>
            <w:r>
              <w:rPr>
                <w:rFonts w:ascii="Times New Roman" w:eastAsia="Times New Roman" w:hAnsi="Times New Roman" w:cs="Times New Roman"/>
                <w:color w:val="000000" w:themeColor="text1"/>
                <w:lang w:eastAsia="en-ZA"/>
              </w:rPr>
              <w:fldChar w:fldCharType="end"/>
            </w:r>
            <w:r>
              <w:rPr>
                <w:rFonts w:ascii="Times New Roman" w:eastAsia="Times New Roman" w:hAnsi="Times New Roman" w:cs="Times New Roman"/>
                <w:color w:val="000000" w:themeColor="text1"/>
                <w:lang w:eastAsia="en-ZA"/>
              </w:rPr>
              <w:t>.</w:t>
            </w:r>
          </w:p>
        </w:tc>
      </w:tr>
      <w:tr w:rsidR="004D0CBF" w:rsidRPr="00FA281A" w14:paraId="02E43459" w14:textId="7840529B" w:rsidTr="00740627">
        <w:trPr>
          <w:trHeight w:val="288"/>
        </w:trPr>
        <w:tc>
          <w:tcPr>
            <w:tcW w:w="485" w:type="dxa"/>
            <w:shd w:val="clear" w:color="auto" w:fill="FFFFFF" w:themeFill="background1"/>
          </w:tcPr>
          <w:p w14:paraId="150AA391" w14:textId="77777777" w:rsidR="004D0CBF" w:rsidRPr="00FA281A" w:rsidRDefault="004D0CBF" w:rsidP="004D0CBF">
            <w:pPr>
              <w:spacing w:after="0" w:line="240" w:lineRule="auto"/>
              <w:rPr>
                <w:rFonts w:ascii="Times New Roman" w:eastAsia="Times New Roman" w:hAnsi="Times New Roman" w:cs="Times New Roman"/>
                <w:color w:val="000000" w:themeColor="text1"/>
                <w:lang w:eastAsia="en-ZA"/>
              </w:rPr>
            </w:pPr>
            <w:r>
              <w:rPr>
                <w:rFonts w:ascii="Times New Roman" w:eastAsia="Times New Roman" w:hAnsi="Times New Roman" w:cs="Times New Roman"/>
                <w:color w:val="000000" w:themeColor="text1"/>
                <w:lang w:eastAsia="en-ZA"/>
              </w:rPr>
              <w:t>8</w:t>
            </w:r>
          </w:p>
        </w:tc>
        <w:tc>
          <w:tcPr>
            <w:tcW w:w="1925" w:type="dxa"/>
            <w:shd w:val="clear" w:color="auto" w:fill="FFFFFF" w:themeFill="background1"/>
            <w:vAlign w:val="center"/>
            <w:hideMark/>
          </w:tcPr>
          <w:p w14:paraId="5431ACCB" w14:textId="77777777" w:rsidR="004D0CBF" w:rsidRPr="00FA281A" w:rsidRDefault="004D0CBF" w:rsidP="004D0CBF">
            <w:pPr>
              <w:spacing w:after="0" w:line="240" w:lineRule="auto"/>
              <w:rPr>
                <w:rFonts w:ascii="Times New Roman" w:eastAsia="Times New Roman" w:hAnsi="Times New Roman" w:cs="Times New Roman"/>
                <w:color w:val="000000" w:themeColor="text1"/>
                <w:lang w:eastAsia="en-ZA"/>
              </w:rPr>
            </w:pPr>
            <w:r w:rsidRPr="00FA281A">
              <w:rPr>
                <w:rFonts w:ascii="Times New Roman" w:eastAsia="Times New Roman" w:hAnsi="Times New Roman" w:cs="Times New Roman"/>
                <w:color w:val="000000" w:themeColor="text1"/>
                <w:lang w:eastAsia="en-ZA"/>
              </w:rPr>
              <w:t>Cytarabine</w:t>
            </w:r>
          </w:p>
        </w:tc>
        <w:tc>
          <w:tcPr>
            <w:tcW w:w="2136" w:type="dxa"/>
            <w:shd w:val="clear" w:color="auto" w:fill="FFFFFF" w:themeFill="background1"/>
            <w:noWrap/>
            <w:vAlign w:val="bottom"/>
            <w:hideMark/>
          </w:tcPr>
          <w:p w14:paraId="10BECDA7" w14:textId="77777777" w:rsidR="004D0CBF" w:rsidRPr="00FA281A" w:rsidRDefault="004D0CBF" w:rsidP="004D0CBF">
            <w:pPr>
              <w:spacing w:after="0" w:line="240" w:lineRule="auto"/>
              <w:rPr>
                <w:rFonts w:ascii="Times New Roman" w:eastAsia="Times New Roman" w:hAnsi="Times New Roman" w:cs="Times New Roman"/>
                <w:color w:val="000000" w:themeColor="text1"/>
                <w:lang w:eastAsia="en-ZA"/>
              </w:rPr>
            </w:pPr>
            <w:r w:rsidRPr="00FA281A">
              <w:rPr>
                <w:rFonts w:ascii="Times New Roman" w:eastAsia="Times New Roman" w:hAnsi="Times New Roman" w:cs="Times New Roman"/>
                <w:color w:val="000000" w:themeColor="text1"/>
                <w:lang w:eastAsia="en-ZA"/>
              </w:rPr>
              <w:t>DNA synthesis</w:t>
            </w:r>
          </w:p>
        </w:tc>
        <w:tc>
          <w:tcPr>
            <w:tcW w:w="4923" w:type="dxa"/>
            <w:shd w:val="clear" w:color="auto" w:fill="FFFFFF" w:themeFill="background1"/>
            <w:vAlign w:val="center"/>
          </w:tcPr>
          <w:p w14:paraId="56ADF4C6" w14:textId="2278FBC9" w:rsidR="004D0CBF" w:rsidRPr="00FA281A" w:rsidRDefault="004D0CBF" w:rsidP="004D0CBF">
            <w:pPr>
              <w:spacing w:after="0" w:line="240" w:lineRule="auto"/>
              <w:rPr>
                <w:rFonts w:ascii="Times New Roman" w:eastAsia="Times New Roman" w:hAnsi="Times New Roman" w:cs="Times New Roman"/>
                <w:color w:val="000000" w:themeColor="text1"/>
                <w:lang w:eastAsia="en-ZA"/>
              </w:rPr>
            </w:pPr>
            <w:r w:rsidRPr="00FA281A">
              <w:rPr>
                <w:rFonts w:ascii="Times New Roman" w:eastAsia="Times New Roman" w:hAnsi="Times New Roman" w:cs="Times New Roman"/>
                <w:color w:val="000000" w:themeColor="text1"/>
                <w:lang w:eastAsia="en-ZA"/>
              </w:rPr>
              <w:t>Cytarabine</w:t>
            </w:r>
            <w:r>
              <w:rPr>
                <w:rFonts w:ascii="Times New Roman" w:eastAsia="Times New Roman" w:hAnsi="Times New Roman" w:cs="Times New Roman"/>
                <w:color w:val="000000" w:themeColor="text1"/>
                <w:lang w:eastAsia="en-ZA"/>
              </w:rPr>
              <w:t xml:space="preserve"> are given for leukemia treatment</w:t>
            </w:r>
            <w:r>
              <w:rPr>
                <w:rFonts w:ascii="Times New Roman" w:eastAsia="Times New Roman" w:hAnsi="Times New Roman" w:cs="Times New Roman"/>
                <w:color w:val="000000" w:themeColor="text1"/>
                <w:lang w:eastAsia="en-ZA"/>
              </w:rPr>
              <w:fldChar w:fldCharType="begin"/>
            </w:r>
            <w:r>
              <w:rPr>
                <w:rFonts w:ascii="Times New Roman" w:eastAsia="Times New Roman" w:hAnsi="Times New Roman" w:cs="Times New Roman"/>
                <w:color w:val="000000" w:themeColor="text1"/>
                <w:lang w:eastAsia="en-ZA"/>
              </w:rPr>
              <w:instrText xml:space="preserve"> ADDIN ZOTERO_ITEM CSL_CITATION {"citationID":"g6loiWsw","properties":{"formattedCitation":"\\super 9\\nosupersub{}","plainCitation":"9","noteIndex":0},"citationItems":[{"id":125,"uris":["http://zotero.org/users/local/qSoqcP4W/items/RWFI3GBK"],"itemData":{"id":125,"type":"article-journal","abstract":"Prior experience indicated that use of higher doses of cytarabine during induction for acute myeloid leukemia (AML) with a histone deacetylase inhibitor resulted in high response rates. S1203 was a randomized multicenter trial for previously untreated patients aged 18-60 with AML which compared daunorubicin and cytarabine (DA), idarubicin with higher dose cytarabine (IA) and IA with vorinostat (IA + V). The primary endpoint was event free survival (EFS). 738 patients were randomized: 261 to each DA and IA arms and 216 to the IA + V arm. 96, 456, and 150 patients had favorable-, intermediate-, and unfavorable-risk cytogenetics, respectively. 152 were NPM1 and 158 FLT3 mutated. The overall remission rate was 77.5% including 62.5% CR and 15.0% CRi. No differences in remission, EFS, or overall survival were observed among the 3 arms except for the favorable cytogenetics subset who had improved outcomes with DA and postremission high dose cytarabine. A trend towards increased toxicity was observed with the IA and IA + V arms. The use of higher dose cytarabine during induction therapy in younger patients with AML, with or without vorinostat, does not result in improved outcomes. (Funded by the US National Institutes of Health and others, ClinicalTrials.gov number, NCT01802333.).","container-title":"Leukemia","DOI":"10.1038/s41375-023-02073-x","ISSN":"1476-5551","issue":"1","journalAbbreviation":"Leukemia","language":"eng","note":"PMID: 37935977\nPMCID: PMC11729399","page":"58-66","source":"PubMed","title":"A randomized phase III study of standard versus high-dose cytarabine with or without vorinostat for AML","volume":"38","author":[{"family":"Garcia-Manero","given":"Guillermo"},{"family":"Podoltsev","given":"Nikolai A."},{"family":"Othus","given":"Megan"},{"family":"Pagel","given":"John M."},{"family":"Radich","given":"Jerald P."},{"family":"Fang","given":"Min"},{"family":"Rizzieri","given":"David A."},{"family":"Marcucci","given":"Guido"},{"family":"Strickland","given":"Stephen A."},{"family":"Litzow","given":"Mark R."},{"family":"Savoie","given":"M. Lynn"},{"family":"Medeiros","given":"Bruno C."},{"family":"Sekeres","given":"Mikkael A."},{"family":"Lin","given":"Tara L."},{"family":"Uy","given":"Geoffrey L."},{"family":"Powell","given":"Bayard L."},{"family":"Kolitz","given":"Jonathan E."},{"family":"Larson","given":"Richard A."},{"family":"Stone","given":"Richard M."},{"family":"Claxton","given":"David"},{"family":"Essell","given":"James"},{"family":"Luger","given":"Selina M."},{"family":"Mohan","given":"Sanjay R."},{"family":"Moseley","given":"Anna"},{"family":"Appelbaum","given":"Frederick R."},{"family":"Erba","given":"Harry P."}],"issued":{"date-parts":[["2024",1]]}}}],"schema":"https://github.com/citation-style-language/schema/raw/master/csl-citation.json"} </w:instrText>
            </w:r>
            <w:r>
              <w:rPr>
                <w:rFonts w:ascii="Times New Roman" w:eastAsia="Times New Roman" w:hAnsi="Times New Roman" w:cs="Times New Roman"/>
                <w:color w:val="000000" w:themeColor="text1"/>
                <w:lang w:eastAsia="en-ZA"/>
              </w:rPr>
              <w:fldChar w:fldCharType="separate"/>
            </w:r>
            <w:r w:rsidRPr="004D0CBF">
              <w:rPr>
                <w:rFonts w:ascii="Times New Roman" w:hAnsi="Times New Roman" w:cs="Times New Roman"/>
                <w:vertAlign w:val="superscript"/>
              </w:rPr>
              <w:t>9</w:t>
            </w:r>
            <w:r>
              <w:rPr>
                <w:rFonts w:ascii="Times New Roman" w:eastAsia="Times New Roman" w:hAnsi="Times New Roman" w:cs="Times New Roman"/>
                <w:color w:val="000000" w:themeColor="text1"/>
                <w:lang w:eastAsia="en-ZA"/>
              </w:rPr>
              <w:fldChar w:fldCharType="end"/>
            </w:r>
          </w:p>
        </w:tc>
      </w:tr>
      <w:tr w:rsidR="004D0CBF" w:rsidRPr="00FA281A" w14:paraId="29D58518" w14:textId="6A94427E" w:rsidTr="005D4557">
        <w:trPr>
          <w:trHeight w:val="288"/>
        </w:trPr>
        <w:tc>
          <w:tcPr>
            <w:tcW w:w="485" w:type="dxa"/>
            <w:shd w:val="clear" w:color="auto" w:fill="FFFFFF" w:themeFill="background1"/>
          </w:tcPr>
          <w:p w14:paraId="07B8E20C" w14:textId="77777777" w:rsidR="004D0CBF" w:rsidRPr="00FA281A" w:rsidRDefault="004D0CBF" w:rsidP="004D0CBF">
            <w:pPr>
              <w:spacing w:after="0" w:line="240" w:lineRule="auto"/>
              <w:rPr>
                <w:rFonts w:ascii="Times New Roman" w:eastAsia="Times New Roman" w:hAnsi="Times New Roman" w:cs="Times New Roman"/>
                <w:color w:val="000000" w:themeColor="text1"/>
                <w:lang w:eastAsia="en-ZA"/>
              </w:rPr>
            </w:pPr>
            <w:r>
              <w:rPr>
                <w:rFonts w:ascii="Times New Roman" w:eastAsia="Times New Roman" w:hAnsi="Times New Roman" w:cs="Times New Roman"/>
                <w:color w:val="000000" w:themeColor="text1"/>
                <w:lang w:eastAsia="en-ZA"/>
              </w:rPr>
              <w:t>9</w:t>
            </w:r>
          </w:p>
        </w:tc>
        <w:tc>
          <w:tcPr>
            <w:tcW w:w="1925" w:type="dxa"/>
            <w:shd w:val="clear" w:color="auto" w:fill="FFFFFF" w:themeFill="background1"/>
            <w:vAlign w:val="center"/>
            <w:hideMark/>
          </w:tcPr>
          <w:p w14:paraId="5AC4A42D" w14:textId="77777777" w:rsidR="004D0CBF" w:rsidRPr="00FA281A" w:rsidRDefault="004D0CBF" w:rsidP="004D0CBF">
            <w:pPr>
              <w:spacing w:after="0" w:line="240" w:lineRule="auto"/>
              <w:rPr>
                <w:rFonts w:ascii="Times New Roman" w:eastAsia="Times New Roman" w:hAnsi="Times New Roman" w:cs="Times New Roman"/>
                <w:color w:val="000000" w:themeColor="text1"/>
                <w:lang w:eastAsia="en-ZA"/>
              </w:rPr>
            </w:pPr>
            <w:r w:rsidRPr="00FA281A">
              <w:rPr>
                <w:rFonts w:ascii="Times New Roman" w:eastAsia="Times New Roman" w:hAnsi="Times New Roman" w:cs="Times New Roman"/>
                <w:color w:val="000000" w:themeColor="text1"/>
                <w:lang w:eastAsia="en-ZA"/>
              </w:rPr>
              <w:t>Dasatinib</w:t>
            </w:r>
          </w:p>
        </w:tc>
        <w:tc>
          <w:tcPr>
            <w:tcW w:w="2136" w:type="dxa"/>
            <w:shd w:val="clear" w:color="auto" w:fill="FFFFFF" w:themeFill="background1"/>
            <w:noWrap/>
            <w:vAlign w:val="bottom"/>
            <w:hideMark/>
          </w:tcPr>
          <w:p w14:paraId="44DB3D90" w14:textId="77777777" w:rsidR="004D0CBF" w:rsidRPr="00FA281A" w:rsidRDefault="004D0CBF" w:rsidP="004D0CBF">
            <w:pPr>
              <w:spacing w:after="0" w:line="240" w:lineRule="auto"/>
              <w:rPr>
                <w:rFonts w:ascii="Times New Roman" w:eastAsia="Times New Roman" w:hAnsi="Times New Roman" w:cs="Times New Roman"/>
                <w:color w:val="000000" w:themeColor="text1"/>
                <w:lang w:eastAsia="en-ZA"/>
              </w:rPr>
            </w:pPr>
            <w:r w:rsidRPr="00FA281A">
              <w:rPr>
                <w:rFonts w:ascii="Times New Roman" w:eastAsia="Times New Roman" w:hAnsi="Times New Roman" w:cs="Times New Roman"/>
                <w:color w:val="000000" w:themeColor="text1"/>
                <w:lang w:eastAsia="en-ZA"/>
              </w:rPr>
              <w:t>Abl, Src, c-Kit</w:t>
            </w:r>
          </w:p>
        </w:tc>
        <w:tc>
          <w:tcPr>
            <w:tcW w:w="4923" w:type="dxa"/>
            <w:shd w:val="clear" w:color="auto" w:fill="FFFFFF" w:themeFill="background1"/>
          </w:tcPr>
          <w:p w14:paraId="54C7D18F" w14:textId="0539DB72" w:rsidR="004D0CBF" w:rsidRPr="00FA281A" w:rsidRDefault="004D0CBF" w:rsidP="004D0CBF">
            <w:pPr>
              <w:spacing w:after="0" w:line="240" w:lineRule="auto"/>
              <w:rPr>
                <w:rFonts w:ascii="Times New Roman" w:eastAsia="Times New Roman" w:hAnsi="Times New Roman" w:cs="Times New Roman"/>
                <w:color w:val="000000" w:themeColor="text1"/>
                <w:lang w:eastAsia="en-ZA"/>
              </w:rPr>
            </w:pPr>
            <w:r>
              <w:rPr>
                <w:rFonts w:ascii="Times New Roman" w:eastAsia="Times New Roman" w:hAnsi="Times New Roman" w:cs="Times New Roman"/>
                <w:color w:val="000000" w:themeColor="text1"/>
                <w:lang w:eastAsia="en-ZA"/>
              </w:rPr>
              <w:t xml:space="preserve">Some patients in this study are in Dastinib treatment. </w:t>
            </w:r>
          </w:p>
        </w:tc>
      </w:tr>
      <w:tr w:rsidR="004D0CBF" w:rsidRPr="00FA281A" w14:paraId="1A7AA69D" w14:textId="10BF4979" w:rsidTr="005D4557">
        <w:trPr>
          <w:trHeight w:val="288"/>
        </w:trPr>
        <w:tc>
          <w:tcPr>
            <w:tcW w:w="485" w:type="dxa"/>
            <w:shd w:val="clear" w:color="auto" w:fill="FFFFFF" w:themeFill="background1"/>
          </w:tcPr>
          <w:p w14:paraId="7F5FC401" w14:textId="77777777" w:rsidR="004D0CBF" w:rsidRPr="00FA281A" w:rsidRDefault="004D0CBF" w:rsidP="004D0CBF">
            <w:pPr>
              <w:spacing w:after="0" w:line="240" w:lineRule="auto"/>
              <w:rPr>
                <w:rFonts w:ascii="Times New Roman" w:eastAsia="Times New Roman" w:hAnsi="Times New Roman" w:cs="Times New Roman"/>
                <w:color w:val="000000" w:themeColor="text1"/>
                <w:lang w:eastAsia="en-ZA"/>
              </w:rPr>
            </w:pPr>
            <w:r>
              <w:rPr>
                <w:rFonts w:ascii="Times New Roman" w:eastAsia="Times New Roman" w:hAnsi="Times New Roman" w:cs="Times New Roman"/>
                <w:color w:val="000000" w:themeColor="text1"/>
                <w:lang w:eastAsia="en-ZA"/>
              </w:rPr>
              <w:t>10</w:t>
            </w:r>
          </w:p>
        </w:tc>
        <w:tc>
          <w:tcPr>
            <w:tcW w:w="1925" w:type="dxa"/>
            <w:shd w:val="clear" w:color="auto" w:fill="FFFFFF" w:themeFill="background1"/>
            <w:vAlign w:val="center"/>
            <w:hideMark/>
          </w:tcPr>
          <w:p w14:paraId="17EF55D9" w14:textId="77777777" w:rsidR="004D0CBF" w:rsidRPr="00FA281A" w:rsidRDefault="004D0CBF" w:rsidP="004D0CBF">
            <w:pPr>
              <w:spacing w:after="0" w:line="240" w:lineRule="auto"/>
              <w:rPr>
                <w:rFonts w:ascii="Times New Roman" w:eastAsia="Times New Roman" w:hAnsi="Times New Roman" w:cs="Times New Roman"/>
                <w:color w:val="000000" w:themeColor="text1"/>
                <w:lang w:eastAsia="en-ZA"/>
              </w:rPr>
            </w:pPr>
            <w:r w:rsidRPr="00FA281A">
              <w:rPr>
                <w:rFonts w:ascii="Times New Roman" w:eastAsia="Times New Roman" w:hAnsi="Times New Roman" w:cs="Times New Roman"/>
                <w:color w:val="000000" w:themeColor="text1"/>
                <w:lang w:eastAsia="en-ZA"/>
              </w:rPr>
              <w:t>Dexamethasone</w:t>
            </w:r>
          </w:p>
        </w:tc>
        <w:tc>
          <w:tcPr>
            <w:tcW w:w="2136" w:type="dxa"/>
            <w:shd w:val="clear" w:color="auto" w:fill="FFFFFF" w:themeFill="background1"/>
            <w:noWrap/>
            <w:vAlign w:val="bottom"/>
            <w:hideMark/>
          </w:tcPr>
          <w:p w14:paraId="53BD267F" w14:textId="77777777" w:rsidR="004D0CBF" w:rsidRPr="00FA281A" w:rsidRDefault="004D0CBF" w:rsidP="004D0CBF">
            <w:pPr>
              <w:spacing w:after="0" w:line="240" w:lineRule="auto"/>
              <w:rPr>
                <w:rFonts w:ascii="Times New Roman" w:eastAsia="Times New Roman" w:hAnsi="Times New Roman" w:cs="Times New Roman"/>
                <w:color w:val="000000" w:themeColor="text1"/>
                <w:lang w:eastAsia="en-ZA"/>
              </w:rPr>
            </w:pPr>
            <w:r w:rsidRPr="00FA281A">
              <w:rPr>
                <w:rFonts w:ascii="Times New Roman" w:eastAsia="Times New Roman" w:hAnsi="Times New Roman" w:cs="Times New Roman"/>
                <w:color w:val="000000" w:themeColor="text1"/>
                <w:lang w:eastAsia="en-ZA"/>
              </w:rPr>
              <w:t>Interleukin receptor</w:t>
            </w:r>
          </w:p>
        </w:tc>
        <w:tc>
          <w:tcPr>
            <w:tcW w:w="4923" w:type="dxa"/>
            <w:shd w:val="clear" w:color="auto" w:fill="FFFFFF" w:themeFill="background1"/>
          </w:tcPr>
          <w:p w14:paraId="1572575D" w14:textId="498BB8F5" w:rsidR="004D0CBF" w:rsidRPr="00FA281A" w:rsidRDefault="004D0CBF" w:rsidP="004D0CBF">
            <w:pPr>
              <w:spacing w:after="0" w:line="240" w:lineRule="auto"/>
              <w:rPr>
                <w:rFonts w:ascii="Times New Roman" w:eastAsia="Times New Roman" w:hAnsi="Times New Roman" w:cs="Times New Roman"/>
                <w:color w:val="000000" w:themeColor="text1"/>
                <w:lang w:eastAsia="en-ZA"/>
              </w:rPr>
            </w:pPr>
            <w:r>
              <w:rPr>
                <w:rFonts w:ascii="Times New Roman" w:eastAsia="Times New Roman" w:hAnsi="Times New Roman" w:cs="Times New Roman"/>
                <w:color w:val="000000" w:themeColor="text1"/>
                <w:lang w:eastAsia="en-ZA"/>
              </w:rPr>
              <w:t>Dexamethasone are given for leukemia treatment</w:t>
            </w:r>
            <w:r>
              <w:rPr>
                <w:rFonts w:ascii="Times New Roman" w:eastAsia="Times New Roman" w:hAnsi="Times New Roman" w:cs="Times New Roman"/>
                <w:color w:val="000000" w:themeColor="text1"/>
                <w:lang w:eastAsia="en-ZA"/>
              </w:rPr>
              <w:fldChar w:fldCharType="begin"/>
            </w:r>
            <w:r>
              <w:rPr>
                <w:rFonts w:ascii="Times New Roman" w:eastAsia="Times New Roman" w:hAnsi="Times New Roman" w:cs="Times New Roman"/>
                <w:color w:val="000000" w:themeColor="text1"/>
                <w:lang w:eastAsia="en-ZA"/>
              </w:rPr>
              <w:instrText xml:space="preserve"> ADDIN ZOTERO_ITEM CSL_CITATION {"citationID":"3Zet0Uky","properties":{"formattedCitation":"\\super 10\\nosupersub{}","plainCitation":"10","noteIndex":0},"citationItems":[{"id":127,"uris":["http://zotero.org/users/local/qSoqcP4W/items/M6NK9QNN"],"itemData":{"id":127,"type":"article-journal","abstract":"Patients with acute myeloid leukemia and a high white blood cell count are at increased risk of early death and relapse. Because mediators of inflammation contribute to leukostasis and chemoresistance, dexamethasone added to chemotherapy could improve outcomes. This retrospective study evaluated the impact of adding or not adding dexamethasone to chemotherapy in a cohort of 160 patients with at least 50×109 white blood cells. In silico studies, primary samples, leukemic cell lines, and xenograft mouse models were used to explore the antileukemic activity of dexamethasone. There was no difference with respect to induction death rate, response, and infections between the 60 patients in the dexamethasone group and the 100 patients in the no dexamethasone group. Multivariate analysis showed that dexamethasone was significantly associated with improved relapse incidence (adjusted sub-HR: 0.30; 95% CI: 0.14–0.62; P=0.001), disease-free survival (adjusted HR: 0.50; 95% CI: 0.29–0.84; P=0.010), event-free survival (adjusted HR: 0.35; 95% CI: 0.21–0.58; P&lt;0.001), and overall survival (adjusted HR: 0.41; 95% CI: 0.22–0.79; P=0.007). In a co-culture system, dexamethasone reduced the frequency of leukemic long-term culture initiating cells by 38% and enhanced the cytotoxicity of doxorubicin and cytarabine. In a patient-derived xenograft model treated with cytarabine, chemoresistant cells were enriched in genes of the inflammatory response modulated by dexamethasone. Dexamethasone also demonstrated antileukemic activity in NPM1-mutated samples. Dexamethasone may improve the outcome of acute myeloid leukemia patients receiving intensive chemotherapy. This effect could be due to the modulation of inflammatory chemoresistance pathways and to a specific activity in acute myeloid leukemia with NPM1 mutation.","container-title":"Haematologica","DOI":"10.3324/haematol.2017.184267","ISSN":"0390-6078","issue":"6","journalAbbreviation":"Haematologica","note":"PMID: 29519869\nPMCID: PMC6058767","page":"988-998","source":"PubMed Central","title":"Dexamethasone in hyperleukocytic acute myeloid leukemia","volume":"103","author":[{"family":"Bertoli","given":"Sarah"},{"family":"Picard","given":"Muriel"},{"family":"Bérard","given":"Emilie"},{"family":"Griessinger","given":"Emmanuel"},{"family":"Larrue","given":"Clément"},{"family":"Mouchel","given":"Pierre Luc"},{"family":"Vergez","given":"François"},{"family":"Tavitian","given":"Suzanne"},{"family":"Yon","given":"Edwige"},{"family":"Ruiz","given":"Jean"},{"family":"Delabesse","given":"Eric"},{"family":"Luquet","given":"Isabelle"},{"family":"Linares","given":"Laetitia Karine"},{"family":"Saland","given":"Estelle"},{"family":"Carroll","given":"Martin"},{"family":"Danet-Desnoyers","given":"Gwenn"},{"family":"Sarry","given":"Audrey"},{"family":"Huguet","given":"Françoise"},{"family":"Sarry","given":"Jean Emmanuel"},{"family":"Récher","given":"Christian"}],"issued":{"date-parts":[["2018",6]]}}}],"schema":"https://github.com/citation-style-language/schema/raw/master/csl-citation.json"} </w:instrText>
            </w:r>
            <w:r>
              <w:rPr>
                <w:rFonts w:ascii="Times New Roman" w:eastAsia="Times New Roman" w:hAnsi="Times New Roman" w:cs="Times New Roman"/>
                <w:color w:val="000000" w:themeColor="text1"/>
                <w:lang w:eastAsia="en-ZA"/>
              </w:rPr>
              <w:fldChar w:fldCharType="separate"/>
            </w:r>
            <w:r w:rsidRPr="004D0CBF">
              <w:rPr>
                <w:rFonts w:ascii="Times New Roman" w:hAnsi="Times New Roman" w:cs="Times New Roman"/>
                <w:vertAlign w:val="superscript"/>
              </w:rPr>
              <w:t>10</w:t>
            </w:r>
            <w:r>
              <w:rPr>
                <w:rFonts w:ascii="Times New Roman" w:eastAsia="Times New Roman" w:hAnsi="Times New Roman" w:cs="Times New Roman"/>
                <w:color w:val="000000" w:themeColor="text1"/>
                <w:lang w:eastAsia="en-ZA"/>
              </w:rPr>
              <w:fldChar w:fldCharType="end"/>
            </w:r>
          </w:p>
        </w:tc>
      </w:tr>
      <w:tr w:rsidR="004D0CBF" w:rsidRPr="00FA281A" w14:paraId="4B0266AD" w14:textId="5E8E4B4C" w:rsidTr="005D4557">
        <w:trPr>
          <w:trHeight w:val="288"/>
        </w:trPr>
        <w:tc>
          <w:tcPr>
            <w:tcW w:w="485" w:type="dxa"/>
            <w:shd w:val="clear" w:color="auto" w:fill="FFFFFF" w:themeFill="background1"/>
          </w:tcPr>
          <w:p w14:paraId="6E568BA8" w14:textId="77777777" w:rsidR="004D0CBF" w:rsidRPr="00FA281A" w:rsidRDefault="004D0CBF" w:rsidP="004D0CBF">
            <w:pPr>
              <w:spacing w:after="0" w:line="240" w:lineRule="auto"/>
              <w:rPr>
                <w:rFonts w:ascii="Times New Roman" w:eastAsia="Times New Roman" w:hAnsi="Times New Roman" w:cs="Times New Roman"/>
                <w:color w:val="000000" w:themeColor="text1"/>
                <w:lang w:eastAsia="en-ZA"/>
              </w:rPr>
            </w:pPr>
            <w:r>
              <w:rPr>
                <w:rFonts w:ascii="Times New Roman" w:eastAsia="Times New Roman" w:hAnsi="Times New Roman" w:cs="Times New Roman"/>
                <w:color w:val="000000" w:themeColor="text1"/>
                <w:lang w:eastAsia="en-ZA"/>
              </w:rPr>
              <w:t>11</w:t>
            </w:r>
          </w:p>
        </w:tc>
        <w:tc>
          <w:tcPr>
            <w:tcW w:w="1925" w:type="dxa"/>
            <w:shd w:val="clear" w:color="auto" w:fill="FFFFFF" w:themeFill="background1"/>
            <w:vAlign w:val="center"/>
            <w:hideMark/>
          </w:tcPr>
          <w:p w14:paraId="093895D5" w14:textId="77777777" w:rsidR="004D0CBF" w:rsidRPr="00FA281A" w:rsidRDefault="004D0CBF" w:rsidP="004D0CBF">
            <w:pPr>
              <w:spacing w:after="0" w:line="240" w:lineRule="auto"/>
              <w:rPr>
                <w:rFonts w:ascii="Times New Roman" w:eastAsia="Times New Roman" w:hAnsi="Times New Roman" w:cs="Times New Roman"/>
                <w:color w:val="000000" w:themeColor="text1"/>
                <w:lang w:eastAsia="en-ZA"/>
              </w:rPr>
            </w:pPr>
            <w:r w:rsidRPr="00FA281A">
              <w:rPr>
                <w:rFonts w:ascii="Times New Roman" w:eastAsia="Times New Roman" w:hAnsi="Times New Roman" w:cs="Times New Roman"/>
                <w:color w:val="000000" w:themeColor="text1"/>
                <w:lang w:eastAsia="en-ZA"/>
              </w:rPr>
              <w:t>Doxorubicin</w:t>
            </w:r>
          </w:p>
        </w:tc>
        <w:tc>
          <w:tcPr>
            <w:tcW w:w="2136" w:type="dxa"/>
            <w:shd w:val="clear" w:color="auto" w:fill="FFFFFF" w:themeFill="background1"/>
            <w:noWrap/>
            <w:vAlign w:val="bottom"/>
            <w:hideMark/>
          </w:tcPr>
          <w:p w14:paraId="5AD8D223" w14:textId="61D1CD9C" w:rsidR="004D0CBF" w:rsidRPr="00FA281A" w:rsidRDefault="004D0CBF" w:rsidP="004D0CBF">
            <w:pPr>
              <w:spacing w:after="0" w:line="240" w:lineRule="auto"/>
              <w:rPr>
                <w:rFonts w:ascii="Times New Roman" w:eastAsia="Times New Roman" w:hAnsi="Times New Roman" w:cs="Times New Roman"/>
                <w:color w:val="000000" w:themeColor="text1"/>
                <w:lang w:eastAsia="en-ZA"/>
              </w:rPr>
            </w:pPr>
            <w:r w:rsidRPr="00FA281A">
              <w:rPr>
                <w:rFonts w:ascii="Times New Roman" w:eastAsia="Times New Roman" w:hAnsi="Times New Roman" w:cs="Times New Roman"/>
                <w:color w:val="000000" w:themeColor="text1"/>
                <w:lang w:eastAsia="en-ZA"/>
              </w:rPr>
              <w:t>DNA topoisomerase</w:t>
            </w:r>
          </w:p>
        </w:tc>
        <w:tc>
          <w:tcPr>
            <w:tcW w:w="4923" w:type="dxa"/>
            <w:shd w:val="clear" w:color="auto" w:fill="FFFFFF" w:themeFill="background1"/>
          </w:tcPr>
          <w:p w14:paraId="13EB8B83" w14:textId="78D124E6" w:rsidR="004D0CBF" w:rsidRPr="00FA281A" w:rsidRDefault="004D0CBF" w:rsidP="004D0CBF">
            <w:pPr>
              <w:spacing w:after="0" w:line="240" w:lineRule="auto"/>
              <w:rPr>
                <w:rFonts w:ascii="Times New Roman" w:eastAsia="Times New Roman" w:hAnsi="Times New Roman" w:cs="Times New Roman"/>
                <w:color w:val="000000" w:themeColor="text1"/>
                <w:lang w:eastAsia="en-ZA"/>
              </w:rPr>
            </w:pPr>
            <w:r>
              <w:rPr>
                <w:rFonts w:ascii="Times New Roman" w:eastAsia="Times New Roman" w:hAnsi="Times New Roman" w:cs="Times New Roman"/>
                <w:color w:val="000000" w:themeColor="text1"/>
                <w:lang w:eastAsia="en-ZA"/>
              </w:rPr>
              <w:t xml:space="preserve">Doxorubicin </w:t>
            </w:r>
            <w:r w:rsidR="0046534C">
              <w:rPr>
                <w:rFonts w:ascii="Times New Roman" w:eastAsia="Times New Roman" w:hAnsi="Times New Roman" w:cs="Times New Roman"/>
                <w:color w:val="000000" w:themeColor="text1"/>
                <w:lang w:eastAsia="en-ZA"/>
              </w:rPr>
              <w:t>is</w:t>
            </w:r>
            <w:r>
              <w:rPr>
                <w:rFonts w:ascii="Times New Roman" w:eastAsia="Times New Roman" w:hAnsi="Times New Roman" w:cs="Times New Roman"/>
                <w:color w:val="000000" w:themeColor="text1"/>
                <w:lang w:eastAsia="en-ZA"/>
              </w:rPr>
              <w:t xml:space="preserve"> given for leukemia treatment</w:t>
            </w:r>
            <w:r>
              <w:rPr>
                <w:rFonts w:ascii="Times New Roman" w:eastAsia="Times New Roman" w:hAnsi="Times New Roman" w:cs="Times New Roman"/>
                <w:color w:val="000000" w:themeColor="text1"/>
                <w:lang w:eastAsia="en-ZA"/>
              </w:rPr>
              <w:fldChar w:fldCharType="begin"/>
            </w:r>
            <w:r>
              <w:rPr>
                <w:rFonts w:ascii="Times New Roman" w:eastAsia="Times New Roman" w:hAnsi="Times New Roman" w:cs="Times New Roman"/>
                <w:color w:val="000000" w:themeColor="text1"/>
                <w:lang w:eastAsia="en-ZA"/>
              </w:rPr>
              <w:instrText xml:space="preserve"> ADDIN ZOTERO_ITEM CSL_CITATION {"citationID":"qBAAKVdj","properties":{"formattedCitation":"\\super 11\\nosupersub{}","plainCitation":"11","noteIndex":0},"citationItems":[{"id":130,"uris":["http://zotero.org/users/local/qSoqcP4W/items/YY5LV9ZP"],"itemData":{"id":130,"type":"article-journal","abstract":"BACKGROUND: The anthracyclines daunorubicin (DNR) and doxorubicin (DOX) are among the most important drugs in the treatment of childhood acute lymphoblastic leukemia, however there are conflicting in vitro data about the comparative efficacy and equivalent doses of both anthracyclines. To address the question of in vivo efficacy of both anthracyclines, patients enrolled in the CoALL 07-03 trial were randomized to receive one single dose of either doxorubicin 30 mg/m(2) , daunorubicin 30 mg/m(2) , or daunorubicin 40 mg/m(2) upfront induction therapy.\nPROCEDURE: Children with newly diagnosed B-Precursor ALL or T-ALL were eligible for the randomized comparison. From the percentage of blasts and the white blood cell count (WBC) the absolute number of leukemic cells per µl peripheral blood (PB) was calculated and the initial value before DOX/DNR infusion equated as 100%. Main target criterion of this study was the leukemic cell decrease from Day 0 to Day 7.\nRESULTS: Seven hundred forty three patients were randomized: 247 to the DOX; 252 to the DNR 30 mg/m(2) ; and DNR to the 40 mg/m(2) arm. The in vivo response was similar in all three treatment arms with a comparable blast decline in the peripheral blood. The percentages of patients with a clear non-response (M3 marrow) and moreover, the level of minimal residual disease (MRD) on Day 15 or at the end of induction were similar.\nCONCLUSION: In vivo efficacy of a single dose daunorubicin 30 or 40 mg/m(2) is similar to that of doxorubicin given in a dose of 30 mg/m(2) .","container-title":"Pediatric Blood &amp; Cancer","DOI":"10.1002/pbc.24273","ISSN":"1545-5017","issue":"2","journalAbbreviation":"Pediatr Blood Cancer","language":"eng","note":"PMID: 22948968","page":"254-257","source":"PubMed","title":"Doxorubicin or daunorubicin given upfront in a therapeutic window are equally effective in children with newly diagnosed acute lymphoblastic leukemia. A randomized comparison in trial CoALL 07-03","volume":"60","author":[{"family":"Escherich","given":"Gabriele"},{"family":"Zimmermann","given":"Martin"},{"family":"Janka-Schaub","given":"Gritta"},{"literal":"CoALL study group"}],"issued":{"date-parts":[["2013",2]]}}}],"schema":"https://github.com/citation-style-language/schema/raw/master/csl-citation.json"} </w:instrText>
            </w:r>
            <w:r>
              <w:rPr>
                <w:rFonts w:ascii="Times New Roman" w:eastAsia="Times New Roman" w:hAnsi="Times New Roman" w:cs="Times New Roman"/>
                <w:color w:val="000000" w:themeColor="text1"/>
                <w:lang w:eastAsia="en-ZA"/>
              </w:rPr>
              <w:fldChar w:fldCharType="separate"/>
            </w:r>
            <w:r w:rsidRPr="004D0CBF">
              <w:rPr>
                <w:rFonts w:ascii="Times New Roman" w:hAnsi="Times New Roman" w:cs="Times New Roman"/>
                <w:vertAlign w:val="superscript"/>
              </w:rPr>
              <w:t>11</w:t>
            </w:r>
            <w:r>
              <w:rPr>
                <w:rFonts w:ascii="Times New Roman" w:eastAsia="Times New Roman" w:hAnsi="Times New Roman" w:cs="Times New Roman"/>
                <w:color w:val="000000" w:themeColor="text1"/>
                <w:lang w:eastAsia="en-ZA"/>
              </w:rPr>
              <w:fldChar w:fldCharType="end"/>
            </w:r>
          </w:p>
        </w:tc>
      </w:tr>
      <w:tr w:rsidR="004D0CBF" w:rsidRPr="00FA281A" w14:paraId="283C2C00" w14:textId="4E53DF74" w:rsidTr="005D4557">
        <w:trPr>
          <w:trHeight w:val="288"/>
        </w:trPr>
        <w:tc>
          <w:tcPr>
            <w:tcW w:w="485" w:type="dxa"/>
            <w:shd w:val="clear" w:color="auto" w:fill="FFFFFF" w:themeFill="background1"/>
          </w:tcPr>
          <w:p w14:paraId="3629CC25" w14:textId="77777777" w:rsidR="004D0CBF" w:rsidRPr="00FA281A" w:rsidRDefault="004D0CBF" w:rsidP="004D0CBF">
            <w:pPr>
              <w:spacing w:after="0" w:line="240" w:lineRule="auto"/>
              <w:rPr>
                <w:rFonts w:ascii="Times New Roman" w:eastAsia="Times New Roman" w:hAnsi="Times New Roman" w:cs="Times New Roman"/>
                <w:color w:val="000000" w:themeColor="text1"/>
                <w:lang w:eastAsia="en-ZA"/>
              </w:rPr>
            </w:pPr>
            <w:r>
              <w:rPr>
                <w:rFonts w:ascii="Times New Roman" w:eastAsia="Times New Roman" w:hAnsi="Times New Roman" w:cs="Times New Roman"/>
                <w:color w:val="000000" w:themeColor="text1"/>
                <w:lang w:eastAsia="en-ZA"/>
              </w:rPr>
              <w:t>12</w:t>
            </w:r>
          </w:p>
        </w:tc>
        <w:tc>
          <w:tcPr>
            <w:tcW w:w="1925" w:type="dxa"/>
            <w:shd w:val="clear" w:color="auto" w:fill="FFFFFF" w:themeFill="background1"/>
            <w:vAlign w:val="center"/>
            <w:hideMark/>
          </w:tcPr>
          <w:p w14:paraId="7C898459" w14:textId="77777777" w:rsidR="004D0CBF" w:rsidRPr="00FA281A" w:rsidRDefault="004D0CBF" w:rsidP="004D0CBF">
            <w:pPr>
              <w:spacing w:after="0" w:line="240" w:lineRule="auto"/>
              <w:rPr>
                <w:rFonts w:ascii="Times New Roman" w:eastAsia="Times New Roman" w:hAnsi="Times New Roman" w:cs="Times New Roman"/>
                <w:color w:val="000000" w:themeColor="text1"/>
                <w:lang w:eastAsia="en-ZA"/>
              </w:rPr>
            </w:pPr>
            <w:r w:rsidRPr="00FA281A">
              <w:rPr>
                <w:rFonts w:ascii="Times New Roman" w:eastAsia="Times New Roman" w:hAnsi="Times New Roman" w:cs="Times New Roman"/>
                <w:color w:val="000000" w:themeColor="text1"/>
                <w:lang w:eastAsia="en-ZA"/>
              </w:rPr>
              <w:t>Everolimus</w:t>
            </w:r>
          </w:p>
        </w:tc>
        <w:tc>
          <w:tcPr>
            <w:tcW w:w="2136" w:type="dxa"/>
            <w:shd w:val="clear" w:color="auto" w:fill="FFFFFF" w:themeFill="background1"/>
            <w:noWrap/>
            <w:vAlign w:val="bottom"/>
            <w:hideMark/>
          </w:tcPr>
          <w:p w14:paraId="42A75387" w14:textId="77777777" w:rsidR="004D0CBF" w:rsidRPr="00FA281A" w:rsidRDefault="004D0CBF" w:rsidP="004D0CBF">
            <w:pPr>
              <w:spacing w:after="0" w:line="240" w:lineRule="auto"/>
              <w:rPr>
                <w:rFonts w:ascii="Times New Roman" w:eastAsia="Times New Roman" w:hAnsi="Times New Roman" w:cs="Times New Roman"/>
                <w:color w:val="000000" w:themeColor="text1"/>
                <w:lang w:eastAsia="en-ZA"/>
              </w:rPr>
            </w:pPr>
            <w:r w:rsidRPr="00FA281A">
              <w:rPr>
                <w:rFonts w:ascii="Times New Roman" w:eastAsia="Times New Roman" w:hAnsi="Times New Roman" w:cs="Times New Roman"/>
                <w:color w:val="000000" w:themeColor="text1"/>
                <w:lang w:eastAsia="en-ZA"/>
              </w:rPr>
              <w:t>mTOR inhibitor</w:t>
            </w:r>
          </w:p>
        </w:tc>
        <w:tc>
          <w:tcPr>
            <w:tcW w:w="4923" w:type="dxa"/>
            <w:shd w:val="clear" w:color="auto" w:fill="FFFFFF" w:themeFill="background1"/>
          </w:tcPr>
          <w:p w14:paraId="02B04E32" w14:textId="476AEA02" w:rsidR="004D0CBF" w:rsidRPr="00FA281A" w:rsidRDefault="004D0CBF" w:rsidP="004D0CBF">
            <w:pPr>
              <w:spacing w:after="0" w:line="240" w:lineRule="auto"/>
              <w:rPr>
                <w:rFonts w:ascii="Times New Roman" w:eastAsia="Times New Roman" w:hAnsi="Times New Roman" w:cs="Times New Roman"/>
                <w:color w:val="000000" w:themeColor="text1"/>
                <w:lang w:eastAsia="en-ZA"/>
              </w:rPr>
            </w:pPr>
            <w:r w:rsidRPr="00FA281A">
              <w:rPr>
                <w:rFonts w:ascii="Times New Roman" w:eastAsia="Times New Roman" w:hAnsi="Times New Roman" w:cs="Times New Roman"/>
                <w:color w:val="000000" w:themeColor="text1"/>
                <w:lang w:eastAsia="en-ZA"/>
              </w:rPr>
              <w:t>Everolimus</w:t>
            </w:r>
            <w:r>
              <w:rPr>
                <w:rFonts w:ascii="Times New Roman" w:eastAsia="Times New Roman" w:hAnsi="Times New Roman" w:cs="Times New Roman"/>
                <w:color w:val="000000" w:themeColor="text1"/>
                <w:lang w:eastAsia="en-ZA"/>
              </w:rPr>
              <w:t xml:space="preserve"> </w:t>
            </w:r>
            <w:r w:rsidR="0046534C">
              <w:rPr>
                <w:rFonts w:ascii="Times New Roman" w:eastAsia="Times New Roman" w:hAnsi="Times New Roman" w:cs="Times New Roman"/>
                <w:color w:val="000000" w:themeColor="text1"/>
                <w:lang w:eastAsia="en-ZA"/>
              </w:rPr>
              <w:t>is</w:t>
            </w:r>
            <w:r>
              <w:rPr>
                <w:rFonts w:ascii="Times New Roman" w:eastAsia="Times New Roman" w:hAnsi="Times New Roman" w:cs="Times New Roman"/>
                <w:color w:val="000000" w:themeColor="text1"/>
                <w:lang w:eastAsia="en-ZA"/>
              </w:rPr>
              <w:t xml:space="preserve"> given for leukemia treatment</w:t>
            </w:r>
            <w:r>
              <w:rPr>
                <w:rFonts w:ascii="Times New Roman" w:eastAsia="Times New Roman" w:hAnsi="Times New Roman" w:cs="Times New Roman"/>
                <w:color w:val="000000" w:themeColor="text1"/>
                <w:lang w:eastAsia="en-ZA"/>
              </w:rPr>
              <w:fldChar w:fldCharType="begin"/>
            </w:r>
            <w:r>
              <w:rPr>
                <w:rFonts w:ascii="Times New Roman" w:eastAsia="Times New Roman" w:hAnsi="Times New Roman" w:cs="Times New Roman"/>
                <w:color w:val="000000" w:themeColor="text1"/>
                <w:lang w:eastAsia="en-ZA"/>
              </w:rPr>
              <w:instrText xml:space="preserve"> ADDIN ZOTERO_ITEM CSL_CITATION {"citationID":"DueZJkL5","properties":{"formattedCitation":"\\super 12\\nosupersub{}","plainCitation":"12","noteIndex":0},"citationItems":[{"id":132,"uris":["http://zotero.org/users/local/qSoqcP4W/items/UPK9K7YS"],"itemData":{"id":132,"type":"article-journal","abstract":"Purpose\nPrevious studies suggest a potential therapeutic role for mTOR inhibition in lymphoid malignancies. This single-center phase I/II study was designed to test the safety and efficacy of the mTOR inhibitor everolimus in combination with HyperCVAD chemotherapy in relapsed/refractory acute lymphoblastic leukemia.\n\nExperimental Design\nTwenty-four patients were treated; 15 received everolimus 5 mg/day and 9 received 10 mg/day with HyperCVAD.\n\nResults\nThe median age of patients was 25 years (range, 11-64) and median number of prior treatments was 2 (range, 1-7). Grade 3 mucositis was the dose-limiting toxicity and the maximum tolerated everolimus dose was 5 mg/day. Responses included complete remission (CR) in 6 patients (25%), CR without platelet recovery (CRp) in 1 (4%), and CR without recovery of counts (CRi) in 1 (4%), for an overall response rate of 33%. Additionally, partial response (PR) was noted in 2 patients (8%). Seven of 11 patients treated in first salvage achieved CR/CRp (64%). The median OS was 29 weeks for patients in first salvage versus 15 weeks for patients in second salvage and beyond (P≤0.001). A response was noted in 5 of 10 (50%) heavily pretreated T-ALL patients (median of 4 prior salvage regimens). Everolimus significantly inhibited phosphorylation of S6RP, but this did not correlate with response. No significant decreases in p4EBP1 and pAkt levels were noted. Responders had higher everolimus dose-adjusted area under the curve (P=0.025) and lower clearance (P=0.025) than non-responders.\n\nConclusions\nThe combination of HyperCVAD and everolimus is well tolerated and moderately effective in relapsed ALL, specifically T-ALL.","container-title":"Clinical cancer research : an official journal of the American Association for Cancer Research","DOI":"10.1158/1078-0432.CCR-14-2888","ISSN":"1078-0432","issue":"12","journalAbbreviation":"Clin Cancer Res","note":"PMID: 25724525\nPMCID: PMC4470787","page":"2704-2714","source":"PubMed Central","title":"A Phase I/II Study of the mTOR Inhibitor Everolimus in Combination with HyperCVAD Chemotherapy in Patients with Relapsed / Refractory Acute Lymphoblastic Leukemia","volume":"21","author":[{"family":"Daver","given":"Naval"},{"family":"Boumber","given":"Yanis"},{"family":"Kantarjian","given":"Hagop"},{"family":"Ravandi","given":"Farhad"},{"family":"Cortes","given":"Jorge"},{"family":"Rytting","given":"Michael E."},{"family":"Kawedia","given":"Jitesh D."},{"family":"Basnett","given":"Jordan"},{"family":"Culotta","given":"Kirk S."},{"family":"Zeng","given":"Zhihong"},{"family":"Lu","given":"Hongbo"},{"family":"Richie","given":"Mary Ann"},{"family":"Garris","given":"Rebecca"},{"family":"Xiao","given":"Lianchun"},{"family":"Liu","given":"Wenbin"},{"family":"Baggerly","given":"Keith A."},{"family":"Jabbour","given":"Elias"},{"family":"O’Brien","given":"Susan"},{"family":"Burger","given":"Jan"},{"family":"Bendall","given":"Linda J."},{"family":"Thomas","given":"Deborah"},{"family":"Konopleva","given":"Marina"}],"issued":{"date-parts":[["2015",6,15]]}}}],"schema":"https://github.com/citation-style-language/schema/raw/master/csl-citation.json"} </w:instrText>
            </w:r>
            <w:r>
              <w:rPr>
                <w:rFonts w:ascii="Times New Roman" w:eastAsia="Times New Roman" w:hAnsi="Times New Roman" w:cs="Times New Roman"/>
                <w:color w:val="000000" w:themeColor="text1"/>
                <w:lang w:eastAsia="en-ZA"/>
              </w:rPr>
              <w:fldChar w:fldCharType="separate"/>
            </w:r>
            <w:r w:rsidRPr="004D0CBF">
              <w:rPr>
                <w:rFonts w:ascii="Times New Roman" w:hAnsi="Times New Roman" w:cs="Times New Roman"/>
                <w:vertAlign w:val="superscript"/>
              </w:rPr>
              <w:t>12</w:t>
            </w:r>
            <w:r>
              <w:rPr>
                <w:rFonts w:ascii="Times New Roman" w:eastAsia="Times New Roman" w:hAnsi="Times New Roman" w:cs="Times New Roman"/>
                <w:color w:val="000000" w:themeColor="text1"/>
                <w:lang w:eastAsia="en-ZA"/>
              </w:rPr>
              <w:fldChar w:fldCharType="end"/>
            </w:r>
            <w:r>
              <w:rPr>
                <w:rFonts w:ascii="Times New Roman" w:eastAsia="Times New Roman" w:hAnsi="Times New Roman" w:cs="Times New Roman"/>
                <w:color w:val="000000" w:themeColor="text1"/>
                <w:lang w:eastAsia="en-ZA"/>
              </w:rPr>
              <w:t>.</w:t>
            </w:r>
          </w:p>
        </w:tc>
      </w:tr>
      <w:tr w:rsidR="004D0CBF" w:rsidRPr="00FA281A" w14:paraId="55A6C5FA" w14:textId="40B47A9A" w:rsidTr="005D4557">
        <w:trPr>
          <w:trHeight w:val="288"/>
        </w:trPr>
        <w:tc>
          <w:tcPr>
            <w:tcW w:w="485" w:type="dxa"/>
            <w:shd w:val="clear" w:color="auto" w:fill="FFFFFF" w:themeFill="background1"/>
          </w:tcPr>
          <w:p w14:paraId="2770BA31" w14:textId="77777777" w:rsidR="004D0CBF" w:rsidRPr="00FA281A" w:rsidRDefault="004D0CBF" w:rsidP="004D0CBF">
            <w:pPr>
              <w:spacing w:after="0" w:line="240" w:lineRule="auto"/>
              <w:rPr>
                <w:rFonts w:ascii="Times New Roman" w:eastAsia="Times New Roman" w:hAnsi="Times New Roman" w:cs="Times New Roman"/>
                <w:color w:val="000000" w:themeColor="text1"/>
                <w:lang w:eastAsia="en-ZA"/>
              </w:rPr>
            </w:pPr>
            <w:r>
              <w:rPr>
                <w:rFonts w:ascii="Times New Roman" w:eastAsia="Times New Roman" w:hAnsi="Times New Roman" w:cs="Times New Roman"/>
                <w:color w:val="000000" w:themeColor="text1"/>
                <w:lang w:eastAsia="en-ZA"/>
              </w:rPr>
              <w:t>13</w:t>
            </w:r>
          </w:p>
        </w:tc>
        <w:tc>
          <w:tcPr>
            <w:tcW w:w="1925" w:type="dxa"/>
            <w:shd w:val="clear" w:color="auto" w:fill="FFFFFF" w:themeFill="background1"/>
            <w:vAlign w:val="center"/>
            <w:hideMark/>
          </w:tcPr>
          <w:p w14:paraId="2AA3BA80" w14:textId="77777777" w:rsidR="004D0CBF" w:rsidRPr="00FA281A" w:rsidRDefault="004D0CBF" w:rsidP="004D0CBF">
            <w:pPr>
              <w:spacing w:after="0" w:line="240" w:lineRule="auto"/>
              <w:rPr>
                <w:rFonts w:ascii="Times New Roman" w:eastAsia="Times New Roman" w:hAnsi="Times New Roman" w:cs="Times New Roman"/>
                <w:color w:val="000000" w:themeColor="text1"/>
                <w:lang w:eastAsia="en-ZA"/>
              </w:rPr>
            </w:pPr>
            <w:r w:rsidRPr="00FA281A">
              <w:rPr>
                <w:rFonts w:ascii="Times New Roman" w:eastAsia="Times New Roman" w:hAnsi="Times New Roman" w:cs="Times New Roman"/>
                <w:color w:val="000000" w:themeColor="text1"/>
                <w:lang w:eastAsia="en-ZA"/>
              </w:rPr>
              <w:t>Fludarabine</w:t>
            </w:r>
          </w:p>
        </w:tc>
        <w:tc>
          <w:tcPr>
            <w:tcW w:w="2136" w:type="dxa"/>
            <w:shd w:val="clear" w:color="auto" w:fill="FFFFFF" w:themeFill="background1"/>
            <w:noWrap/>
            <w:vAlign w:val="bottom"/>
            <w:hideMark/>
          </w:tcPr>
          <w:p w14:paraId="66368C07" w14:textId="38C67F39" w:rsidR="004D0CBF" w:rsidRPr="00FA281A" w:rsidRDefault="004D0CBF" w:rsidP="004D0CBF">
            <w:pPr>
              <w:spacing w:after="0" w:line="240" w:lineRule="auto"/>
              <w:rPr>
                <w:rFonts w:ascii="Times New Roman" w:eastAsia="Times New Roman" w:hAnsi="Times New Roman" w:cs="Times New Roman"/>
                <w:color w:val="000000" w:themeColor="text1"/>
                <w:lang w:eastAsia="en-ZA"/>
              </w:rPr>
            </w:pPr>
            <w:r w:rsidRPr="00FA281A">
              <w:rPr>
                <w:rFonts w:ascii="Times New Roman" w:eastAsia="Times New Roman" w:hAnsi="Times New Roman" w:cs="Times New Roman"/>
                <w:color w:val="000000" w:themeColor="text1"/>
                <w:lang w:eastAsia="en-ZA"/>
              </w:rPr>
              <w:t xml:space="preserve">DNA synthesis, </w:t>
            </w:r>
          </w:p>
        </w:tc>
        <w:tc>
          <w:tcPr>
            <w:tcW w:w="4923" w:type="dxa"/>
            <w:shd w:val="clear" w:color="auto" w:fill="FFFFFF" w:themeFill="background1"/>
          </w:tcPr>
          <w:p w14:paraId="66D046C1" w14:textId="3FD049B7" w:rsidR="004D0CBF" w:rsidRPr="00FA281A" w:rsidRDefault="004D0CBF" w:rsidP="004D0CBF">
            <w:pPr>
              <w:spacing w:after="0" w:line="240" w:lineRule="auto"/>
              <w:rPr>
                <w:rFonts w:ascii="Times New Roman" w:eastAsia="Times New Roman" w:hAnsi="Times New Roman" w:cs="Times New Roman"/>
                <w:color w:val="000000" w:themeColor="text1"/>
                <w:lang w:eastAsia="en-ZA"/>
              </w:rPr>
            </w:pPr>
            <w:r>
              <w:rPr>
                <w:rFonts w:ascii="Times New Roman" w:eastAsia="Times New Roman" w:hAnsi="Times New Roman" w:cs="Times New Roman"/>
                <w:color w:val="000000" w:themeColor="text1"/>
                <w:lang w:eastAsia="en-ZA"/>
              </w:rPr>
              <w:t xml:space="preserve">Fludarabine </w:t>
            </w:r>
            <w:r w:rsidR="0046534C">
              <w:rPr>
                <w:rFonts w:ascii="Times New Roman" w:eastAsia="Times New Roman" w:hAnsi="Times New Roman" w:cs="Times New Roman"/>
                <w:color w:val="000000" w:themeColor="text1"/>
                <w:lang w:eastAsia="en-ZA"/>
              </w:rPr>
              <w:t>is</w:t>
            </w:r>
            <w:r>
              <w:rPr>
                <w:rFonts w:ascii="Times New Roman" w:eastAsia="Times New Roman" w:hAnsi="Times New Roman" w:cs="Times New Roman"/>
                <w:color w:val="000000" w:themeColor="text1"/>
                <w:lang w:eastAsia="en-ZA"/>
              </w:rPr>
              <w:t xml:space="preserve"> given for leukemia treatment</w:t>
            </w:r>
            <w:r>
              <w:rPr>
                <w:rFonts w:ascii="Times New Roman" w:eastAsia="Times New Roman" w:hAnsi="Times New Roman" w:cs="Times New Roman"/>
                <w:color w:val="000000" w:themeColor="text1"/>
                <w:lang w:eastAsia="en-ZA"/>
              </w:rPr>
              <w:fldChar w:fldCharType="begin"/>
            </w:r>
            <w:r>
              <w:rPr>
                <w:rFonts w:ascii="Times New Roman" w:eastAsia="Times New Roman" w:hAnsi="Times New Roman" w:cs="Times New Roman"/>
                <w:color w:val="000000" w:themeColor="text1"/>
                <w:lang w:eastAsia="en-ZA"/>
              </w:rPr>
              <w:instrText xml:space="preserve"> ADDIN ZOTERO_ITEM CSL_CITATION {"citationID":"kZevzjsS","properties":{"formattedCitation":"\\super 13\\nosupersub{}","plainCitation":"13","noteIndex":0},"citationItems":[{"id":135,"uris":["http://zotero.org/users/local/qSoqcP4W/items/BH8NR35F"],"itemData":{"id":135,"type":"article-journal","abstract":"Chemoimmunotherapy regimens have been the standard first-line therapy for patients with chronic lymphocytic leukemia (CLL). For young, fit patients the standard of care is combination of fludarabine, cyclophosphamide, and rituximab (FCR). Based on the preclinical work demonstrating that bendamustine combined with fludarabine resulted in increased DNA damage, we designed a phase I-II clinical trial with fludarabine, bendamustine, and rituximab (FBR) for patients with relapsed/refractory CLL. Treatment consisted of fludarabine 20 mg/m2 daily x 3 days and rituximab 375-500 mg/m2 x 1 day. Phase I included bendamustine at increasing doses of 20, 30, 40, or 50 mg/m2 daily x 3 days; phase II was with FR, and B at the selected dose. DNA damage response (H2AX phosphorylation) was evaluated in a subset of patients. Fifty-one patients were enrolled. The median age was 62 years; median number of prior therapies was 2; 40% had del(11q); and 41 patients had received prior FCR-based therapies. Hematologic toxicity was more common in ≥40 mg/m2 dose cohorts. Maximum tolerated dose (MTD) was not identified. Bendamustine-elicited H2AX phosphorylation was not dose-dependent, but markedly increased after fludarabine. We identified bendamustine 30 mg/m2 as the safe dose for phase II. The overall response rate (ORR) was 67% with 36% complete response (CR) / CR with incomplete count recovery (CRi). Younger patients (&lt;65 years) had significantly higher ORR (81% vs. 50%; p=0.038). The median progression-free survival was 19 months, and the median overall survival was 52.5 months. FBR is an effective and tolerable CIT regimen for patients with relapsed CLL.","container-title":"Oncotarget","DOI":"10.18632/oncotarget.12054","ISSN":"1949-2553","issue":"13","journalAbbreviation":"Oncotarget","language":"eng","note":"PMID: 27655665\nPMCID: PMC5400650","page":"22104-22112","source":"PubMed","title":"A phase I-II trial of fludarabine, bendamustine and rituximab (FBR) in previously treated patients with CLL","volume":"8","author":[{"family":"Jain","given":"Nitin"},{"family":"Balakrishnan","given":"Kumudha"},{"family":"Ferrajoli","given":"Alessandra"},{"family":"O'Brien","given":"Susan M."},{"family":"Burger","given":"Jan A."},{"family":"Kadia","given":"Tapan M."},{"family":"Cortes","given":"Jorge E."},{"family":"Ayres","given":"Mary L."},{"family":"Tambaro","given":"Francesco Paolo"},{"family":"Keating","given":"Michael J."},{"family":"Gandhi","given":"Varsha"},{"family":"Wierda","given":"William G."}],"issued":{"date-parts":[["2017",3,28]]}}}],"schema":"https://github.com/citation-style-language/schema/raw/master/csl-citation.json"} </w:instrText>
            </w:r>
            <w:r>
              <w:rPr>
                <w:rFonts w:ascii="Times New Roman" w:eastAsia="Times New Roman" w:hAnsi="Times New Roman" w:cs="Times New Roman"/>
                <w:color w:val="000000" w:themeColor="text1"/>
                <w:lang w:eastAsia="en-ZA"/>
              </w:rPr>
              <w:fldChar w:fldCharType="separate"/>
            </w:r>
            <w:r w:rsidRPr="004D0CBF">
              <w:rPr>
                <w:rFonts w:ascii="Times New Roman" w:hAnsi="Times New Roman" w:cs="Times New Roman"/>
                <w:vertAlign w:val="superscript"/>
              </w:rPr>
              <w:t>13</w:t>
            </w:r>
            <w:r>
              <w:rPr>
                <w:rFonts w:ascii="Times New Roman" w:eastAsia="Times New Roman" w:hAnsi="Times New Roman" w:cs="Times New Roman"/>
                <w:color w:val="000000" w:themeColor="text1"/>
                <w:lang w:eastAsia="en-ZA"/>
              </w:rPr>
              <w:fldChar w:fldCharType="end"/>
            </w:r>
            <w:r>
              <w:rPr>
                <w:rFonts w:ascii="Times New Roman" w:eastAsia="Times New Roman" w:hAnsi="Times New Roman" w:cs="Times New Roman"/>
                <w:color w:val="000000" w:themeColor="text1"/>
                <w:lang w:eastAsia="en-ZA"/>
              </w:rPr>
              <w:t>.</w:t>
            </w:r>
          </w:p>
        </w:tc>
      </w:tr>
      <w:tr w:rsidR="004D0CBF" w:rsidRPr="00FA281A" w14:paraId="1119B04B" w14:textId="5F373EAA" w:rsidTr="005D4557">
        <w:trPr>
          <w:trHeight w:val="288"/>
        </w:trPr>
        <w:tc>
          <w:tcPr>
            <w:tcW w:w="485" w:type="dxa"/>
            <w:shd w:val="clear" w:color="auto" w:fill="FFFFFF" w:themeFill="background1"/>
          </w:tcPr>
          <w:p w14:paraId="7A05F510" w14:textId="77777777" w:rsidR="004D0CBF" w:rsidRPr="00FA281A" w:rsidRDefault="004D0CBF" w:rsidP="004D0CBF">
            <w:pPr>
              <w:spacing w:after="0" w:line="240" w:lineRule="auto"/>
              <w:rPr>
                <w:rFonts w:ascii="Times New Roman" w:eastAsia="Times New Roman" w:hAnsi="Times New Roman" w:cs="Times New Roman"/>
                <w:color w:val="000000" w:themeColor="text1"/>
                <w:lang w:eastAsia="en-ZA"/>
              </w:rPr>
            </w:pPr>
            <w:r>
              <w:rPr>
                <w:rFonts w:ascii="Times New Roman" w:eastAsia="Times New Roman" w:hAnsi="Times New Roman" w:cs="Times New Roman"/>
                <w:color w:val="000000" w:themeColor="text1"/>
                <w:lang w:eastAsia="en-ZA"/>
              </w:rPr>
              <w:t>14</w:t>
            </w:r>
          </w:p>
        </w:tc>
        <w:tc>
          <w:tcPr>
            <w:tcW w:w="1925" w:type="dxa"/>
            <w:shd w:val="clear" w:color="auto" w:fill="FFFFFF" w:themeFill="background1"/>
            <w:vAlign w:val="center"/>
            <w:hideMark/>
          </w:tcPr>
          <w:p w14:paraId="51976092" w14:textId="77777777" w:rsidR="004D0CBF" w:rsidRPr="00FA281A" w:rsidRDefault="004D0CBF" w:rsidP="004D0CBF">
            <w:pPr>
              <w:spacing w:after="0" w:line="240" w:lineRule="auto"/>
              <w:rPr>
                <w:rFonts w:ascii="Times New Roman" w:eastAsia="Times New Roman" w:hAnsi="Times New Roman" w:cs="Times New Roman"/>
                <w:color w:val="000000" w:themeColor="text1"/>
                <w:lang w:eastAsia="en-ZA"/>
              </w:rPr>
            </w:pPr>
            <w:r w:rsidRPr="00FA281A">
              <w:rPr>
                <w:rFonts w:ascii="Times New Roman" w:eastAsia="Times New Roman" w:hAnsi="Times New Roman" w:cs="Times New Roman"/>
                <w:color w:val="000000" w:themeColor="text1"/>
                <w:lang w:eastAsia="en-ZA"/>
              </w:rPr>
              <w:t>Fluorouracil</w:t>
            </w:r>
          </w:p>
        </w:tc>
        <w:tc>
          <w:tcPr>
            <w:tcW w:w="2136" w:type="dxa"/>
            <w:shd w:val="clear" w:color="auto" w:fill="FFFFFF" w:themeFill="background1"/>
            <w:noWrap/>
            <w:vAlign w:val="bottom"/>
            <w:hideMark/>
          </w:tcPr>
          <w:p w14:paraId="3760A153" w14:textId="77777777" w:rsidR="004D0CBF" w:rsidRPr="00FA281A" w:rsidRDefault="004D0CBF" w:rsidP="004D0CBF">
            <w:pPr>
              <w:spacing w:after="0" w:line="240" w:lineRule="auto"/>
              <w:rPr>
                <w:rFonts w:ascii="Times New Roman" w:eastAsia="Times New Roman" w:hAnsi="Times New Roman" w:cs="Times New Roman"/>
                <w:color w:val="000000" w:themeColor="text1"/>
                <w:lang w:eastAsia="en-ZA"/>
              </w:rPr>
            </w:pPr>
            <w:r w:rsidRPr="00FA281A">
              <w:rPr>
                <w:rFonts w:ascii="Times New Roman" w:eastAsia="Times New Roman" w:hAnsi="Times New Roman" w:cs="Times New Roman"/>
                <w:color w:val="000000" w:themeColor="text1"/>
                <w:lang w:eastAsia="en-ZA"/>
              </w:rPr>
              <w:t>Antimetabolite</w:t>
            </w:r>
          </w:p>
        </w:tc>
        <w:tc>
          <w:tcPr>
            <w:tcW w:w="4923" w:type="dxa"/>
            <w:shd w:val="clear" w:color="auto" w:fill="FFFFFF" w:themeFill="background1"/>
          </w:tcPr>
          <w:p w14:paraId="656BF6D1" w14:textId="28AFF05A" w:rsidR="004D0CBF" w:rsidRPr="00FA281A" w:rsidRDefault="004D0CBF" w:rsidP="004D0CBF">
            <w:pPr>
              <w:spacing w:after="0" w:line="240" w:lineRule="auto"/>
              <w:rPr>
                <w:rFonts w:ascii="Times New Roman" w:eastAsia="Times New Roman" w:hAnsi="Times New Roman" w:cs="Times New Roman"/>
                <w:color w:val="000000" w:themeColor="text1"/>
                <w:lang w:eastAsia="en-ZA"/>
              </w:rPr>
            </w:pPr>
            <w:r w:rsidRPr="00FA281A">
              <w:rPr>
                <w:rFonts w:ascii="Times New Roman" w:eastAsia="Times New Roman" w:hAnsi="Times New Roman" w:cs="Times New Roman"/>
                <w:color w:val="000000" w:themeColor="text1"/>
                <w:lang w:eastAsia="en-ZA"/>
              </w:rPr>
              <w:t>Fluorouracil</w:t>
            </w:r>
            <w:r>
              <w:rPr>
                <w:rFonts w:ascii="Times New Roman" w:eastAsia="Times New Roman" w:hAnsi="Times New Roman" w:cs="Times New Roman"/>
                <w:color w:val="000000" w:themeColor="text1"/>
                <w:lang w:eastAsia="en-ZA"/>
              </w:rPr>
              <w:t xml:space="preserve"> </w:t>
            </w:r>
            <w:r w:rsidR="0046534C">
              <w:rPr>
                <w:rFonts w:ascii="Times New Roman" w:eastAsia="Times New Roman" w:hAnsi="Times New Roman" w:cs="Times New Roman"/>
                <w:color w:val="000000" w:themeColor="text1"/>
                <w:lang w:eastAsia="en-ZA"/>
              </w:rPr>
              <w:t>is</w:t>
            </w:r>
            <w:r>
              <w:rPr>
                <w:rFonts w:ascii="Times New Roman" w:eastAsia="Times New Roman" w:hAnsi="Times New Roman" w:cs="Times New Roman"/>
                <w:color w:val="000000" w:themeColor="text1"/>
                <w:lang w:eastAsia="en-ZA"/>
              </w:rPr>
              <w:t xml:space="preserve"> given for leukemia treatment</w:t>
            </w:r>
            <w:r w:rsidR="0046534C">
              <w:rPr>
                <w:rFonts w:ascii="Times New Roman" w:eastAsia="Times New Roman" w:hAnsi="Times New Roman" w:cs="Times New Roman"/>
                <w:color w:val="000000" w:themeColor="text1"/>
                <w:lang w:eastAsia="en-ZA"/>
              </w:rPr>
              <w:fldChar w:fldCharType="begin"/>
            </w:r>
            <w:r w:rsidR="0046534C">
              <w:rPr>
                <w:rFonts w:ascii="Times New Roman" w:eastAsia="Times New Roman" w:hAnsi="Times New Roman" w:cs="Times New Roman"/>
                <w:color w:val="000000" w:themeColor="text1"/>
                <w:lang w:eastAsia="en-ZA"/>
              </w:rPr>
              <w:instrText xml:space="preserve"> ADDIN ZOTERO_ITEM CSL_CITATION {"citationID":"DAft8P4d","properties":{"formattedCitation":"\\super 14\\nosupersub{}","plainCitation":"14","noteIndex":0},"citationItems":[{"id":138,"uris":["http://zotero.org/users/local/qSoqcP4W/items/52UYPH27"],"itemData":{"id":138,"type":"article-journal","container-title":"The Korean Journal of Internal Medicine","DOI":"10.3904/kjim.2012.27.1.115","ISSN":"1226-3303","issue":"1","journalAbbreviation":"Korean J Intern Med","note":"PMID: 22403512\nPMCID: PMC3295980","page":"115-117","source":"PubMed Central","title":"A Case of Therapy-Related Acute Myeloid Leukemia Following 5-Fluorouracil Chemotherapy","volume":"27","author":[{"family":"Park","given":"Hye Jeong"},{"family":"Choi","given":"Jung-Hye"},{"family":"Lee","given":"Kyeong A"},{"family":"Kim","given":"Hyun Cheol"},{"family":"Nam","given":"Young-Soo"},{"family":"Oh","given":"Young-Ha"},{"family":"Lee","given":"Woong-Soo"}],"issued":{"date-parts":[["2012",3]]}}}],"schema":"https://github.com/citation-style-language/schema/raw/master/csl-citation.json"} </w:instrText>
            </w:r>
            <w:r w:rsidR="0046534C">
              <w:rPr>
                <w:rFonts w:ascii="Times New Roman" w:eastAsia="Times New Roman" w:hAnsi="Times New Roman" w:cs="Times New Roman"/>
                <w:color w:val="000000" w:themeColor="text1"/>
                <w:lang w:eastAsia="en-ZA"/>
              </w:rPr>
              <w:fldChar w:fldCharType="separate"/>
            </w:r>
            <w:r w:rsidR="0046534C" w:rsidRPr="0046534C">
              <w:rPr>
                <w:rFonts w:ascii="Times New Roman" w:hAnsi="Times New Roman" w:cs="Times New Roman"/>
                <w:vertAlign w:val="superscript"/>
              </w:rPr>
              <w:t>14</w:t>
            </w:r>
            <w:r w:rsidR="0046534C">
              <w:rPr>
                <w:rFonts w:ascii="Times New Roman" w:eastAsia="Times New Roman" w:hAnsi="Times New Roman" w:cs="Times New Roman"/>
                <w:color w:val="000000" w:themeColor="text1"/>
                <w:lang w:eastAsia="en-ZA"/>
              </w:rPr>
              <w:fldChar w:fldCharType="end"/>
            </w:r>
            <w:r w:rsidR="0046534C">
              <w:rPr>
                <w:rFonts w:ascii="Times New Roman" w:eastAsia="Times New Roman" w:hAnsi="Times New Roman" w:cs="Times New Roman"/>
                <w:color w:val="000000" w:themeColor="text1"/>
                <w:lang w:eastAsia="en-ZA"/>
              </w:rPr>
              <w:t>.</w:t>
            </w:r>
            <w:r>
              <w:rPr>
                <w:rFonts w:ascii="Times New Roman" w:eastAsia="Times New Roman" w:hAnsi="Times New Roman" w:cs="Times New Roman"/>
                <w:color w:val="000000" w:themeColor="text1"/>
                <w:lang w:eastAsia="en-ZA"/>
              </w:rPr>
              <w:t xml:space="preserve"> </w:t>
            </w:r>
          </w:p>
        </w:tc>
      </w:tr>
      <w:tr w:rsidR="004D0CBF" w:rsidRPr="00FA281A" w14:paraId="4BD10D42" w14:textId="79E8A1D0" w:rsidTr="005D4557">
        <w:trPr>
          <w:trHeight w:val="288"/>
        </w:trPr>
        <w:tc>
          <w:tcPr>
            <w:tcW w:w="485" w:type="dxa"/>
            <w:shd w:val="clear" w:color="auto" w:fill="FFFFFF" w:themeFill="background1"/>
          </w:tcPr>
          <w:p w14:paraId="218CD722" w14:textId="77777777" w:rsidR="004D0CBF" w:rsidRPr="00FA281A" w:rsidRDefault="004D0CBF" w:rsidP="004D0CBF">
            <w:pPr>
              <w:spacing w:after="0" w:line="240" w:lineRule="auto"/>
              <w:rPr>
                <w:rFonts w:ascii="Times New Roman" w:eastAsia="Times New Roman" w:hAnsi="Times New Roman" w:cs="Times New Roman"/>
                <w:color w:val="000000" w:themeColor="text1"/>
                <w:lang w:eastAsia="en-ZA"/>
              </w:rPr>
            </w:pPr>
            <w:r>
              <w:rPr>
                <w:rFonts w:ascii="Times New Roman" w:eastAsia="Times New Roman" w:hAnsi="Times New Roman" w:cs="Times New Roman"/>
                <w:color w:val="000000" w:themeColor="text1"/>
                <w:lang w:eastAsia="en-ZA"/>
              </w:rPr>
              <w:t>15</w:t>
            </w:r>
          </w:p>
        </w:tc>
        <w:tc>
          <w:tcPr>
            <w:tcW w:w="1925" w:type="dxa"/>
            <w:shd w:val="clear" w:color="auto" w:fill="FFFFFF" w:themeFill="background1"/>
            <w:vAlign w:val="center"/>
            <w:hideMark/>
          </w:tcPr>
          <w:p w14:paraId="3325FB6F" w14:textId="77777777" w:rsidR="004D0CBF" w:rsidRPr="00FA281A" w:rsidRDefault="004D0CBF" w:rsidP="004D0CBF">
            <w:pPr>
              <w:spacing w:after="0" w:line="240" w:lineRule="auto"/>
              <w:rPr>
                <w:rFonts w:ascii="Times New Roman" w:eastAsia="Times New Roman" w:hAnsi="Times New Roman" w:cs="Times New Roman"/>
                <w:color w:val="000000" w:themeColor="text1"/>
                <w:lang w:eastAsia="en-ZA"/>
              </w:rPr>
            </w:pPr>
            <w:r w:rsidRPr="00FA281A">
              <w:rPr>
                <w:rFonts w:ascii="Times New Roman" w:eastAsia="Times New Roman" w:hAnsi="Times New Roman" w:cs="Times New Roman"/>
                <w:color w:val="000000" w:themeColor="text1"/>
                <w:lang w:eastAsia="en-ZA"/>
              </w:rPr>
              <w:t>Gemcitabine</w:t>
            </w:r>
          </w:p>
        </w:tc>
        <w:tc>
          <w:tcPr>
            <w:tcW w:w="2136" w:type="dxa"/>
            <w:shd w:val="clear" w:color="auto" w:fill="FFFFFF" w:themeFill="background1"/>
            <w:noWrap/>
            <w:vAlign w:val="bottom"/>
            <w:hideMark/>
          </w:tcPr>
          <w:p w14:paraId="532BA11F" w14:textId="77777777" w:rsidR="004D0CBF" w:rsidRPr="00FA281A" w:rsidRDefault="004D0CBF" w:rsidP="004D0CBF">
            <w:pPr>
              <w:spacing w:after="0" w:line="240" w:lineRule="auto"/>
              <w:rPr>
                <w:rFonts w:ascii="Times New Roman" w:eastAsia="Times New Roman" w:hAnsi="Times New Roman" w:cs="Times New Roman"/>
                <w:color w:val="000000" w:themeColor="text1"/>
                <w:lang w:eastAsia="en-ZA"/>
              </w:rPr>
            </w:pPr>
            <w:r w:rsidRPr="00FA281A">
              <w:rPr>
                <w:rFonts w:ascii="Times New Roman" w:eastAsia="Times New Roman" w:hAnsi="Times New Roman" w:cs="Times New Roman"/>
                <w:color w:val="000000" w:themeColor="text1"/>
                <w:lang w:eastAsia="en-ZA"/>
              </w:rPr>
              <w:t>Antimetabolite; Nucleoside analog</w:t>
            </w:r>
          </w:p>
        </w:tc>
        <w:tc>
          <w:tcPr>
            <w:tcW w:w="4923" w:type="dxa"/>
            <w:shd w:val="clear" w:color="auto" w:fill="FFFFFF" w:themeFill="background1"/>
          </w:tcPr>
          <w:p w14:paraId="6C94AC5C" w14:textId="2DCDEBD4" w:rsidR="004D0CBF" w:rsidRPr="00FA281A" w:rsidRDefault="0046534C" w:rsidP="004D0CBF">
            <w:pPr>
              <w:spacing w:after="0" w:line="240" w:lineRule="auto"/>
              <w:rPr>
                <w:rFonts w:ascii="Times New Roman" w:eastAsia="Times New Roman" w:hAnsi="Times New Roman" w:cs="Times New Roman"/>
                <w:color w:val="000000" w:themeColor="text1"/>
                <w:lang w:eastAsia="en-ZA"/>
              </w:rPr>
            </w:pPr>
            <w:r>
              <w:rPr>
                <w:rFonts w:ascii="Times New Roman" w:eastAsia="Times New Roman" w:hAnsi="Times New Roman" w:cs="Times New Roman"/>
                <w:color w:val="000000" w:themeColor="text1"/>
                <w:lang w:eastAsia="en-ZA"/>
              </w:rPr>
              <w:t>Gemcitabine is given for leukemia treatment</w:t>
            </w:r>
            <w:r>
              <w:rPr>
                <w:rFonts w:ascii="Times New Roman" w:eastAsia="Times New Roman" w:hAnsi="Times New Roman" w:cs="Times New Roman"/>
                <w:color w:val="000000" w:themeColor="text1"/>
                <w:lang w:eastAsia="en-ZA"/>
              </w:rPr>
              <w:fldChar w:fldCharType="begin"/>
            </w:r>
            <w:r>
              <w:rPr>
                <w:rFonts w:ascii="Times New Roman" w:eastAsia="Times New Roman" w:hAnsi="Times New Roman" w:cs="Times New Roman"/>
                <w:color w:val="000000" w:themeColor="text1"/>
                <w:lang w:eastAsia="en-ZA"/>
              </w:rPr>
              <w:instrText xml:space="preserve"> ADDIN ZOTERO_ITEM CSL_CITATION {"citationID":"cWX0lfXv","properties":{"formattedCitation":"\\super 15\\nosupersub{}","plainCitation":"15","noteIndex":0},"citationItems":[{"id":141,"uris":["http://zotero.org/users/local/qSoqcP4W/items/Q8F9BJCB"],"itemData":{"id":141,"type":"article-journal","abstract":"PURPOSE: Phase I clinical and in vitro studies of gemcitabine (2',2'-difluorodeoxycytidine; dFdC) have demonstrated that the accumulation rate of dFdC 5'-triphosphate (dFdCTP) in mononuclear and leukemia cells is saturated when plasma or extracellular dFdC levels exceed 15 to 20 mumol/L. Thus, we designed a phase I study to maximize the accumulation of dFdCTP by leukemia cells by administering dFdC at 10 mg/m2/min, a dose rate calculated to produce steady-state plasma dFdC levels that exceed 15 to 20 mumol/L.\nPATIENTS AND METHODS: The treatment intensity was increased in patients (n = 22) with relapsed or refractory acute leukemia or chronic myelogenous leukemia (CML) in blast crisis by prolonging the infusion duration but maintaining the same rate. Doses of dFdC between 1,200 mg/m2 and 6,400 mg/m2 were administered weekly for 3 weeks.\nRESULTS: The maximum-tolerated dose was 4,800 mg/m2 infused over 480 minutes. The mean steady-state dFdC level in plasma of all infusions was 26.5 +/- 9 mumol/L (n = 19). The accumulation rates of dFdCTP in circulating leukemia cells varied greatly among patients but remained linear in eight patients infused for 120 to 240 minutes, and up to or beyond 360 minutes in five of eight additional patients. Elimination of dFdCTP was significantly related to its cellular concentration: blasts with greater than 450 mumol/L dFdCTP exhibited biphasic elimination, whereas blasts with lower dFdCTP concentrations exhibited linear kinetics. Biphasic elimination was associated with higher dFdCTP areas under the concentration-times-time curve (AUCs) and greater inhibition of DNA synthesis.\nCONCLUSION: Studies of the cellular pharmacology and pharmacodynamics of dFdC may be useful in optimizing protocol designs for leukemia.","container-title":"Journal of Clinical Oncology: Official Journal of the American Society of Clinical Oncology","DOI":"10.1200/JCO.1992.10.3.406","ISSN":"0732-183X","issue":"3","journalAbbreviation":"J Clin Oncol","language":"eng","note":"PMID: 1740680","page":"406-413","source":"PubMed","title":"Gemcitabine in leukemia: a phase I clinical, plasma, and cellular pharmacology study","title-short":"Gemcitabine in leukemia","volume":"10","author":[{"family":"Grunewald","given":"R."},{"family":"Kantarjian","given":"H."},{"family":"Du","given":"M."},{"family":"Faucher","given":"K."},{"family":"Tarassoff","given":"P."},{"family":"Plunkett","given":"W."}],"issued":{"date-parts":[["1992",3]]}}}],"schema":"https://github.com/citation-style-language/schema/raw/master/csl-citation.json"} </w:instrText>
            </w:r>
            <w:r>
              <w:rPr>
                <w:rFonts w:ascii="Times New Roman" w:eastAsia="Times New Roman" w:hAnsi="Times New Roman" w:cs="Times New Roman"/>
                <w:color w:val="000000" w:themeColor="text1"/>
                <w:lang w:eastAsia="en-ZA"/>
              </w:rPr>
              <w:fldChar w:fldCharType="separate"/>
            </w:r>
            <w:r w:rsidRPr="0046534C">
              <w:rPr>
                <w:rFonts w:ascii="Times New Roman" w:hAnsi="Times New Roman" w:cs="Times New Roman"/>
                <w:vertAlign w:val="superscript"/>
              </w:rPr>
              <w:t>15</w:t>
            </w:r>
            <w:r>
              <w:rPr>
                <w:rFonts w:ascii="Times New Roman" w:eastAsia="Times New Roman" w:hAnsi="Times New Roman" w:cs="Times New Roman"/>
                <w:color w:val="000000" w:themeColor="text1"/>
                <w:lang w:eastAsia="en-ZA"/>
              </w:rPr>
              <w:fldChar w:fldCharType="end"/>
            </w:r>
          </w:p>
        </w:tc>
      </w:tr>
      <w:tr w:rsidR="004D0CBF" w:rsidRPr="00FA281A" w14:paraId="09813D6E" w14:textId="1EA532BF" w:rsidTr="005D4557">
        <w:trPr>
          <w:trHeight w:val="288"/>
        </w:trPr>
        <w:tc>
          <w:tcPr>
            <w:tcW w:w="485" w:type="dxa"/>
            <w:shd w:val="clear" w:color="auto" w:fill="FFFFFF" w:themeFill="background1"/>
          </w:tcPr>
          <w:p w14:paraId="2DF68581" w14:textId="77777777" w:rsidR="004D0CBF" w:rsidRPr="00FA281A" w:rsidRDefault="004D0CBF" w:rsidP="004D0CBF">
            <w:pPr>
              <w:spacing w:after="0" w:line="240" w:lineRule="auto"/>
              <w:rPr>
                <w:rFonts w:ascii="Times New Roman" w:eastAsia="Times New Roman" w:hAnsi="Times New Roman" w:cs="Times New Roman"/>
                <w:color w:val="000000" w:themeColor="text1"/>
                <w:lang w:eastAsia="en-ZA"/>
              </w:rPr>
            </w:pPr>
            <w:r>
              <w:rPr>
                <w:rFonts w:ascii="Times New Roman" w:eastAsia="Times New Roman" w:hAnsi="Times New Roman" w:cs="Times New Roman"/>
                <w:color w:val="000000" w:themeColor="text1"/>
                <w:lang w:eastAsia="en-ZA"/>
              </w:rPr>
              <w:t>16</w:t>
            </w:r>
          </w:p>
        </w:tc>
        <w:tc>
          <w:tcPr>
            <w:tcW w:w="1925" w:type="dxa"/>
            <w:shd w:val="clear" w:color="auto" w:fill="FFFFFF" w:themeFill="background1"/>
            <w:vAlign w:val="center"/>
            <w:hideMark/>
          </w:tcPr>
          <w:p w14:paraId="656C683F" w14:textId="77777777" w:rsidR="004D0CBF" w:rsidRPr="00FA281A" w:rsidRDefault="004D0CBF" w:rsidP="004D0CBF">
            <w:pPr>
              <w:spacing w:after="0" w:line="240" w:lineRule="auto"/>
              <w:rPr>
                <w:rFonts w:ascii="Times New Roman" w:eastAsia="Times New Roman" w:hAnsi="Times New Roman" w:cs="Times New Roman"/>
                <w:color w:val="000000" w:themeColor="text1"/>
                <w:lang w:eastAsia="en-ZA"/>
              </w:rPr>
            </w:pPr>
            <w:r w:rsidRPr="00FA281A">
              <w:rPr>
                <w:rFonts w:ascii="Times New Roman" w:eastAsia="Times New Roman" w:hAnsi="Times New Roman" w:cs="Times New Roman"/>
                <w:color w:val="000000" w:themeColor="text1"/>
                <w:lang w:eastAsia="en-ZA"/>
              </w:rPr>
              <w:t>Ifosfamide</w:t>
            </w:r>
          </w:p>
        </w:tc>
        <w:tc>
          <w:tcPr>
            <w:tcW w:w="2136" w:type="dxa"/>
            <w:shd w:val="clear" w:color="auto" w:fill="FFFFFF" w:themeFill="background1"/>
            <w:noWrap/>
            <w:vAlign w:val="bottom"/>
            <w:hideMark/>
          </w:tcPr>
          <w:p w14:paraId="0AE8368C" w14:textId="77777777" w:rsidR="004D0CBF" w:rsidRPr="00FA281A" w:rsidRDefault="004D0CBF" w:rsidP="004D0CBF">
            <w:pPr>
              <w:spacing w:after="0" w:line="240" w:lineRule="auto"/>
              <w:rPr>
                <w:rFonts w:ascii="Times New Roman" w:eastAsia="Times New Roman" w:hAnsi="Times New Roman" w:cs="Times New Roman"/>
                <w:color w:val="000000" w:themeColor="text1"/>
                <w:lang w:eastAsia="en-ZA"/>
              </w:rPr>
            </w:pPr>
            <w:r w:rsidRPr="00FA281A">
              <w:rPr>
                <w:rFonts w:ascii="Times New Roman" w:eastAsia="Times New Roman" w:hAnsi="Times New Roman" w:cs="Times New Roman"/>
                <w:color w:val="000000" w:themeColor="text1"/>
                <w:lang w:eastAsia="en-ZA"/>
              </w:rPr>
              <w:t>Nitrogen mustard alkylating agent</w:t>
            </w:r>
          </w:p>
        </w:tc>
        <w:tc>
          <w:tcPr>
            <w:tcW w:w="4923" w:type="dxa"/>
            <w:shd w:val="clear" w:color="auto" w:fill="FFFFFF" w:themeFill="background1"/>
          </w:tcPr>
          <w:p w14:paraId="42987D76" w14:textId="102FDC8F" w:rsidR="004D0CBF" w:rsidRPr="00FA281A" w:rsidRDefault="0046534C" w:rsidP="004D0CBF">
            <w:pPr>
              <w:spacing w:after="0" w:line="240" w:lineRule="auto"/>
              <w:rPr>
                <w:rFonts w:ascii="Times New Roman" w:eastAsia="Times New Roman" w:hAnsi="Times New Roman" w:cs="Times New Roman"/>
                <w:color w:val="000000" w:themeColor="text1"/>
                <w:lang w:eastAsia="en-ZA"/>
              </w:rPr>
            </w:pPr>
            <w:r w:rsidRPr="00FA281A">
              <w:rPr>
                <w:rFonts w:ascii="Times New Roman" w:eastAsia="Times New Roman" w:hAnsi="Times New Roman" w:cs="Times New Roman"/>
                <w:color w:val="000000" w:themeColor="text1"/>
                <w:lang w:eastAsia="en-ZA"/>
              </w:rPr>
              <w:t>Ifosfamide</w:t>
            </w:r>
            <w:r>
              <w:rPr>
                <w:rFonts w:ascii="Times New Roman" w:eastAsia="Times New Roman" w:hAnsi="Times New Roman" w:cs="Times New Roman"/>
                <w:color w:val="000000" w:themeColor="text1"/>
                <w:lang w:eastAsia="en-ZA"/>
              </w:rPr>
              <w:t xml:space="preserve"> is tested in drug testing platform for leukemia treatment</w:t>
            </w:r>
            <w:r>
              <w:rPr>
                <w:rFonts w:ascii="Times New Roman" w:eastAsia="Times New Roman" w:hAnsi="Times New Roman" w:cs="Times New Roman"/>
                <w:color w:val="000000" w:themeColor="text1"/>
                <w:lang w:eastAsia="en-ZA"/>
              </w:rPr>
              <w:fldChar w:fldCharType="begin"/>
            </w:r>
            <w:r>
              <w:rPr>
                <w:rFonts w:ascii="Times New Roman" w:eastAsia="Times New Roman" w:hAnsi="Times New Roman" w:cs="Times New Roman"/>
                <w:color w:val="000000" w:themeColor="text1"/>
                <w:lang w:eastAsia="en-ZA"/>
              </w:rPr>
              <w:instrText xml:space="preserve"> ADDIN ZOTERO_ITEM CSL_CITATION {"citationID":"xlvgiqO3","properties":{"formattedCitation":"\\super 16\\nosupersub{}","plainCitation":"16","noteIndex":0},"citationItems":[{"id":145,"uris":["http://zotero.org/users/local/qSoqcP4W/items/NERSEQRF"],"itemData":{"id":145,"type":"article-journal","abstract":"Despite increasing survival rates of pediatric leukemia patients over the past decades, the outcome of some leukemia subtypes has remained dismal. Drug sensitivity and resistance testing on patient-derived leukemia samples provide important information to tailor treatments for high-risk patients. However, currently used well-based drug screening platforms have limitations in predicting the effects of prodrugs, a class of therapeutics that require metabolic activation to become effective. To address this issue, a microphysiological drug-testing platform is developed that enables co-culturing of patient-derived leukemia cells, human bone marrow mesenchymal stromal cells, and human liver microtissues within the same microfluidic platform. This platform also enables to control the physical interaction between the diverse cell types. Herein, it is made possible to recapitulate hepatic prodrug activation of ifosfamide in their platform, which is very difficult in traditional well-based assays. By testing the susceptibility of primary patient-derived leukemia samples to the prodrug ifosfamide, sample-specific sensitivities to ifosfamide in primary leukemia samples are identified. The microfluidic platform is found to enable the recapitulation of physiologically relevant conditions and the testing of prodrugs including short-lived and unstable metabolites. The platform holds great potential for clinical translation and precision chemotherapy selection.","container-title":"Advanced Healthcare Materials","DOI":"10.1002/adhm.202202506","ISSN":"2192-2659","issue":"6","language":"en","license":"© 2023 The Authors. Advanced Healthcare Materials published by Wiley-VCH GmbH","note":"_eprint: https://onlinelibrary.wiley.com/doi/pdf/10.1002/adhm.202202506","page":"2202506","source":"Wiley Online Library","title":"Microphysiological Drug-Testing Platform for Identifying Responses to Prodrug Treatment in Primary Leukemia","volume":"12","author":[{"family":"Gökçe","given":"Furkan"},{"family":"Kaestli","given":"Alicia"},{"family":"Lohasz","given":"Christian"},{"family":"Geus","given":"Martina","non-dropping-particle":"de"},{"family":"Kaltenbach","given":"Hans-Michael"},{"family":"Renggli","given":"Kasper"},{"family":"Bornhauser","given":"Beat"},{"family":"Hierlemann","given":"Andreas"},{"family":"Modena","given":"Mario"}],"issued":{"date-parts":[["2023"]]}}}],"schema":"https://github.com/citation-style-language/schema/raw/master/csl-citation.json"} </w:instrText>
            </w:r>
            <w:r>
              <w:rPr>
                <w:rFonts w:ascii="Times New Roman" w:eastAsia="Times New Roman" w:hAnsi="Times New Roman" w:cs="Times New Roman"/>
                <w:color w:val="000000" w:themeColor="text1"/>
                <w:lang w:eastAsia="en-ZA"/>
              </w:rPr>
              <w:fldChar w:fldCharType="separate"/>
            </w:r>
            <w:r w:rsidRPr="0046534C">
              <w:rPr>
                <w:rFonts w:ascii="Times New Roman" w:hAnsi="Times New Roman" w:cs="Times New Roman"/>
                <w:vertAlign w:val="superscript"/>
              </w:rPr>
              <w:t>16</w:t>
            </w:r>
            <w:r>
              <w:rPr>
                <w:rFonts w:ascii="Times New Roman" w:eastAsia="Times New Roman" w:hAnsi="Times New Roman" w:cs="Times New Roman"/>
                <w:color w:val="000000" w:themeColor="text1"/>
                <w:lang w:eastAsia="en-ZA"/>
              </w:rPr>
              <w:fldChar w:fldCharType="end"/>
            </w:r>
          </w:p>
        </w:tc>
      </w:tr>
      <w:tr w:rsidR="004D0CBF" w:rsidRPr="00FA281A" w14:paraId="0752D07B" w14:textId="6F11FAEB" w:rsidTr="005D4557">
        <w:trPr>
          <w:trHeight w:val="288"/>
        </w:trPr>
        <w:tc>
          <w:tcPr>
            <w:tcW w:w="485" w:type="dxa"/>
            <w:shd w:val="clear" w:color="auto" w:fill="FFFFFF" w:themeFill="background1"/>
          </w:tcPr>
          <w:p w14:paraId="3E1E4AA6" w14:textId="77777777" w:rsidR="004D0CBF" w:rsidRPr="00FA281A" w:rsidRDefault="004D0CBF" w:rsidP="004D0CBF">
            <w:pPr>
              <w:spacing w:after="0" w:line="240" w:lineRule="auto"/>
              <w:rPr>
                <w:rFonts w:ascii="Times New Roman" w:eastAsia="Times New Roman" w:hAnsi="Times New Roman" w:cs="Times New Roman"/>
                <w:color w:val="000000" w:themeColor="text1"/>
                <w:lang w:eastAsia="en-ZA"/>
              </w:rPr>
            </w:pPr>
            <w:r>
              <w:rPr>
                <w:rFonts w:ascii="Times New Roman" w:eastAsia="Times New Roman" w:hAnsi="Times New Roman" w:cs="Times New Roman"/>
                <w:color w:val="000000" w:themeColor="text1"/>
                <w:lang w:eastAsia="en-ZA"/>
              </w:rPr>
              <w:t>17</w:t>
            </w:r>
          </w:p>
        </w:tc>
        <w:tc>
          <w:tcPr>
            <w:tcW w:w="1925" w:type="dxa"/>
            <w:shd w:val="clear" w:color="auto" w:fill="FFFFFF" w:themeFill="background1"/>
            <w:vAlign w:val="center"/>
            <w:hideMark/>
          </w:tcPr>
          <w:p w14:paraId="2B22AA28" w14:textId="77777777" w:rsidR="004D0CBF" w:rsidRPr="00FA281A" w:rsidRDefault="004D0CBF" w:rsidP="004D0CBF">
            <w:pPr>
              <w:spacing w:after="0" w:line="240" w:lineRule="auto"/>
              <w:rPr>
                <w:rFonts w:ascii="Times New Roman" w:eastAsia="Times New Roman" w:hAnsi="Times New Roman" w:cs="Times New Roman"/>
                <w:color w:val="000000" w:themeColor="text1"/>
                <w:lang w:eastAsia="en-ZA"/>
              </w:rPr>
            </w:pPr>
            <w:r w:rsidRPr="00FA281A">
              <w:rPr>
                <w:rFonts w:ascii="Times New Roman" w:eastAsia="Times New Roman" w:hAnsi="Times New Roman" w:cs="Times New Roman"/>
                <w:color w:val="000000" w:themeColor="text1"/>
                <w:lang w:eastAsia="en-ZA"/>
              </w:rPr>
              <w:t>Imatinib</w:t>
            </w:r>
          </w:p>
        </w:tc>
        <w:tc>
          <w:tcPr>
            <w:tcW w:w="2136" w:type="dxa"/>
            <w:shd w:val="clear" w:color="auto" w:fill="FFFFFF" w:themeFill="background1"/>
            <w:noWrap/>
            <w:vAlign w:val="bottom"/>
            <w:hideMark/>
          </w:tcPr>
          <w:p w14:paraId="6BE690ED" w14:textId="5DA5FEC1" w:rsidR="004D0CBF" w:rsidRPr="00FA281A" w:rsidRDefault="004D0CBF" w:rsidP="004D0CBF">
            <w:pPr>
              <w:spacing w:after="0" w:line="240" w:lineRule="auto"/>
              <w:rPr>
                <w:rFonts w:ascii="Times New Roman" w:eastAsia="Times New Roman" w:hAnsi="Times New Roman" w:cs="Times New Roman"/>
                <w:color w:val="000000" w:themeColor="text1"/>
                <w:lang w:eastAsia="en-ZA"/>
              </w:rPr>
            </w:pPr>
            <w:r w:rsidRPr="00FA281A">
              <w:rPr>
                <w:rFonts w:ascii="Times New Roman" w:eastAsia="Times New Roman" w:hAnsi="Times New Roman" w:cs="Times New Roman"/>
                <w:color w:val="000000" w:themeColor="text1"/>
                <w:lang w:eastAsia="en-ZA"/>
              </w:rPr>
              <w:t>Abl, c-Kit,  inhibitor</w:t>
            </w:r>
          </w:p>
        </w:tc>
        <w:tc>
          <w:tcPr>
            <w:tcW w:w="4923" w:type="dxa"/>
            <w:shd w:val="clear" w:color="auto" w:fill="FFFFFF" w:themeFill="background1"/>
          </w:tcPr>
          <w:p w14:paraId="1FD40E85" w14:textId="41423620" w:rsidR="004D0CBF" w:rsidRPr="00FA281A" w:rsidRDefault="004D0CBF" w:rsidP="004D0CBF">
            <w:pPr>
              <w:spacing w:after="0" w:line="240" w:lineRule="auto"/>
              <w:rPr>
                <w:rFonts w:ascii="Times New Roman" w:eastAsia="Times New Roman" w:hAnsi="Times New Roman" w:cs="Times New Roman"/>
                <w:color w:val="000000" w:themeColor="text1"/>
                <w:lang w:eastAsia="en-ZA"/>
              </w:rPr>
            </w:pPr>
            <w:r>
              <w:rPr>
                <w:rFonts w:ascii="Times New Roman" w:eastAsia="Times New Roman" w:hAnsi="Times New Roman" w:cs="Times New Roman"/>
                <w:color w:val="000000" w:themeColor="text1"/>
                <w:lang w:eastAsia="en-ZA"/>
              </w:rPr>
              <w:t xml:space="preserve">Some patients in this study are in imatinib treatment. </w:t>
            </w:r>
          </w:p>
        </w:tc>
      </w:tr>
      <w:tr w:rsidR="0046534C" w:rsidRPr="00FA281A" w14:paraId="0473B4BF" w14:textId="253DD59E" w:rsidTr="004E0CCA">
        <w:trPr>
          <w:trHeight w:val="288"/>
        </w:trPr>
        <w:tc>
          <w:tcPr>
            <w:tcW w:w="485" w:type="dxa"/>
            <w:shd w:val="clear" w:color="auto" w:fill="FFFFFF" w:themeFill="background1"/>
          </w:tcPr>
          <w:p w14:paraId="0F14C63E" w14:textId="77777777" w:rsidR="0046534C" w:rsidRPr="00FA281A" w:rsidRDefault="0046534C" w:rsidP="0046534C">
            <w:pPr>
              <w:spacing w:after="0" w:line="240" w:lineRule="auto"/>
              <w:rPr>
                <w:rFonts w:ascii="Times New Roman" w:eastAsia="Times New Roman" w:hAnsi="Times New Roman" w:cs="Times New Roman"/>
                <w:color w:val="000000" w:themeColor="text1"/>
                <w:lang w:eastAsia="en-ZA"/>
              </w:rPr>
            </w:pPr>
            <w:r>
              <w:rPr>
                <w:rFonts w:ascii="Times New Roman" w:eastAsia="Times New Roman" w:hAnsi="Times New Roman" w:cs="Times New Roman"/>
                <w:color w:val="000000" w:themeColor="text1"/>
                <w:lang w:eastAsia="en-ZA"/>
              </w:rPr>
              <w:t>18</w:t>
            </w:r>
          </w:p>
        </w:tc>
        <w:tc>
          <w:tcPr>
            <w:tcW w:w="1925" w:type="dxa"/>
            <w:shd w:val="clear" w:color="auto" w:fill="FFFFFF" w:themeFill="background1"/>
            <w:vAlign w:val="center"/>
            <w:hideMark/>
          </w:tcPr>
          <w:p w14:paraId="2B05FDE9" w14:textId="77777777" w:rsidR="0046534C" w:rsidRPr="00FA281A" w:rsidRDefault="0046534C" w:rsidP="0046534C">
            <w:pPr>
              <w:spacing w:after="0" w:line="240" w:lineRule="auto"/>
              <w:rPr>
                <w:rFonts w:ascii="Times New Roman" w:eastAsia="Times New Roman" w:hAnsi="Times New Roman" w:cs="Times New Roman"/>
                <w:color w:val="000000" w:themeColor="text1"/>
                <w:lang w:eastAsia="en-ZA"/>
              </w:rPr>
            </w:pPr>
            <w:r w:rsidRPr="00FA281A">
              <w:rPr>
                <w:rFonts w:ascii="Times New Roman" w:eastAsia="Times New Roman" w:hAnsi="Times New Roman" w:cs="Times New Roman"/>
                <w:color w:val="000000" w:themeColor="text1"/>
                <w:lang w:eastAsia="en-ZA"/>
              </w:rPr>
              <w:t>Imiquimod</w:t>
            </w:r>
          </w:p>
        </w:tc>
        <w:tc>
          <w:tcPr>
            <w:tcW w:w="2136" w:type="dxa"/>
            <w:shd w:val="clear" w:color="auto" w:fill="FFFFFF" w:themeFill="background1"/>
            <w:noWrap/>
            <w:vAlign w:val="bottom"/>
            <w:hideMark/>
          </w:tcPr>
          <w:p w14:paraId="1FEA8EC4" w14:textId="77777777" w:rsidR="0046534C" w:rsidRPr="00FA281A" w:rsidRDefault="0046534C" w:rsidP="0046534C">
            <w:pPr>
              <w:spacing w:after="0" w:line="240" w:lineRule="auto"/>
              <w:rPr>
                <w:rFonts w:ascii="Times New Roman" w:eastAsia="Times New Roman" w:hAnsi="Times New Roman" w:cs="Times New Roman"/>
                <w:color w:val="000000" w:themeColor="text1"/>
                <w:lang w:eastAsia="en-ZA"/>
              </w:rPr>
            </w:pPr>
            <w:r w:rsidRPr="00FA281A">
              <w:rPr>
                <w:rFonts w:ascii="Times New Roman" w:eastAsia="Times New Roman" w:hAnsi="Times New Roman" w:cs="Times New Roman"/>
                <w:color w:val="000000" w:themeColor="text1"/>
                <w:lang w:eastAsia="en-ZA"/>
              </w:rPr>
              <w:t>Immune response</w:t>
            </w:r>
          </w:p>
        </w:tc>
        <w:tc>
          <w:tcPr>
            <w:tcW w:w="4923" w:type="dxa"/>
            <w:shd w:val="clear" w:color="auto" w:fill="FFFFFF" w:themeFill="background1"/>
            <w:vAlign w:val="center"/>
          </w:tcPr>
          <w:p w14:paraId="5038C4F2" w14:textId="48D62BFA" w:rsidR="0046534C" w:rsidRPr="00FA281A" w:rsidRDefault="0046534C" w:rsidP="0046534C">
            <w:pPr>
              <w:spacing w:after="0" w:line="240" w:lineRule="auto"/>
              <w:rPr>
                <w:rFonts w:ascii="Times New Roman" w:eastAsia="Times New Roman" w:hAnsi="Times New Roman" w:cs="Times New Roman"/>
                <w:color w:val="000000" w:themeColor="text1"/>
                <w:lang w:eastAsia="en-ZA"/>
              </w:rPr>
            </w:pPr>
            <w:r w:rsidRPr="00FA281A">
              <w:rPr>
                <w:rFonts w:ascii="Times New Roman" w:eastAsia="Times New Roman" w:hAnsi="Times New Roman" w:cs="Times New Roman"/>
                <w:color w:val="000000" w:themeColor="text1"/>
                <w:lang w:eastAsia="en-ZA"/>
              </w:rPr>
              <w:t>Imiquimod</w:t>
            </w:r>
            <w:r>
              <w:rPr>
                <w:rFonts w:ascii="Times New Roman" w:eastAsia="Times New Roman" w:hAnsi="Times New Roman" w:cs="Times New Roman"/>
                <w:color w:val="000000" w:themeColor="text1"/>
                <w:lang w:eastAsia="en-ZA"/>
              </w:rPr>
              <w:t xml:space="preserve"> is given for leukemia treatment</w:t>
            </w:r>
            <w:r>
              <w:rPr>
                <w:rFonts w:ascii="Times New Roman" w:eastAsia="Times New Roman" w:hAnsi="Times New Roman" w:cs="Times New Roman"/>
                <w:color w:val="000000" w:themeColor="text1"/>
                <w:lang w:eastAsia="en-ZA"/>
              </w:rPr>
              <w:fldChar w:fldCharType="begin"/>
            </w:r>
            <w:r>
              <w:rPr>
                <w:rFonts w:ascii="Times New Roman" w:eastAsia="Times New Roman" w:hAnsi="Times New Roman" w:cs="Times New Roman"/>
                <w:color w:val="000000" w:themeColor="text1"/>
                <w:lang w:eastAsia="en-ZA"/>
              </w:rPr>
              <w:instrText xml:space="preserve"> ADDIN ZOTERO_ITEM CSL_CITATION {"citationID":"YcUw35iD","properties":{"formattedCitation":"\\super 17\\nosupersub{}","plainCitation":"17","noteIndex":0},"citationItems":[{"id":148,"uris":["http://zotero.org/users/local/qSoqcP4W/items/B6ZWH2QJ"],"itemData":{"id":148,"type":"article-journal","container-title":"JAAD Case Reports","DOI":"10.1016/j.jdcr.2019.09.019","ISSN":"2352-5126","issue":"11","journalAbbreviation":"JAAD Case Rep","note":"PMID: 31709290\nPMCID: PMC6835029","page":"979-981","source":"PubMed Central","title":"Successful treatment of cutaneous adult T-cell leukemia/lymphoma with imiquimod","volume":"5","author":[{"family":"Messer","given":"Alison"},{"family":"Brown","given":"Ashley E."},{"family":"Pacha","given":"Omar"},{"family":"Boddu","given":"Prajwal"},{"family":"Geppner","given":"Alexis"},{"family":"Kadia","given":"Tapan M."},{"family":"Huen","given":"Auris O."}],"issued":{"date-parts":[["2019",10,28]]}}}],"schema":"https://github.com/citation-style-language/schema/raw/master/csl-citation.json"} </w:instrText>
            </w:r>
            <w:r>
              <w:rPr>
                <w:rFonts w:ascii="Times New Roman" w:eastAsia="Times New Roman" w:hAnsi="Times New Roman" w:cs="Times New Roman"/>
                <w:color w:val="000000" w:themeColor="text1"/>
                <w:lang w:eastAsia="en-ZA"/>
              </w:rPr>
              <w:fldChar w:fldCharType="separate"/>
            </w:r>
            <w:r w:rsidRPr="0046534C">
              <w:rPr>
                <w:rFonts w:ascii="Times New Roman" w:hAnsi="Times New Roman" w:cs="Times New Roman"/>
                <w:vertAlign w:val="superscript"/>
              </w:rPr>
              <w:t>17</w:t>
            </w:r>
            <w:r>
              <w:rPr>
                <w:rFonts w:ascii="Times New Roman" w:eastAsia="Times New Roman" w:hAnsi="Times New Roman" w:cs="Times New Roman"/>
                <w:color w:val="000000" w:themeColor="text1"/>
                <w:lang w:eastAsia="en-ZA"/>
              </w:rPr>
              <w:fldChar w:fldCharType="end"/>
            </w:r>
          </w:p>
        </w:tc>
      </w:tr>
      <w:tr w:rsidR="0046534C" w:rsidRPr="00FA281A" w14:paraId="33867929" w14:textId="2CE85ABF" w:rsidTr="004E0CCA">
        <w:trPr>
          <w:trHeight w:val="288"/>
        </w:trPr>
        <w:tc>
          <w:tcPr>
            <w:tcW w:w="485" w:type="dxa"/>
            <w:shd w:val="clear" w:color="auto" w:fill="FFFFFF" w:themeFill="background1"/>
          </w:tcPr>
          <w:p w14:paraId="65E9B80F" w14:textId="77777777" w:rsidR="0046534C" w:rsidRPr="00FA281A" w:rsidRDefault="0046534C" w:rsidP="0046534C">
            <w:pPr>
              <w:spacing w:after="0" w:line="240" w:lineRule="auto"/>
              <w:rPr>
                <w:rFonts w:ascii="Times New Roman" w:eastAsia="Times New Roman" w:hAnsi="Times New Roman" w:cs="Times New Roman"/>
                <w:color w:val="000000" w:themeColor="text1"/>
                <w:lang w:eastAsia="en-ZA"/>
              </w:rPr>
            </w:pPr>
            <w:r>
              <w:rPr>
                <w:rFonts w:ascii="Times New Roman" w:eastAsia="Times New Roman" w:hAnsi="Times New Roman" w:cs="Times New Roman"/>
                <w:color w:val="000000" w:themeColor="text1"/>
                <w:lang w:eastAsia="en-ZA"/>
              </w:rPr>
              <w:t>19</w:t>
            </w:r>
          </w:p>
        </w:tc>
        <w:tc>
          <w:tcPr>
            <w:tcW w:w="1925" w:type="dxa"/>
            <w:shd w:val="clear" w:color="auto" w:fill="FFFFFF" w:themeFill="background1"/>
            <w:vAlign w:val="center"/>
            <w:hideMark/>
          </w:tcPr>
          <w:p w14:paraId="52470BE3" w14:textId="77777777" w:rsidR="0046534C" w:rsidRPr="00FA281A" w:rsidRDefault="0046534C" w:rsidP="0046534C">
            <w:pPr>
              <w:spacing w:after="0" w:line="240" w:lineRule="auto"/>
              <w:rPr>
                <w:rFonts w:ascii="Times New Roman" w:eastAsia="Times New Roman" w:hAnsi="Times New Roman" w:cs="Times New Roman"/>
                <w:color w:val="000000" w:themeColor="text1"/>
                <w:lang w:eastAsia="en-ZA"/>
              </w:rPr>
            </w:pPr>
            <w:r w:rsidRPr="00FA281A">
              <w:rPr>
                <w:rFonts w:ascii="Times New Roman" w:eastAsia="Times New Roman" w:hAnsi="Times New Roman" w:cs="Times New Roman"/>
                <w:color w:val="000000" w:themeColor="text1"/>
                <w:lang w:eastAsia="en-ZA"/>
              </w:rPr>
              <w:t>Irinotecan</w:t>
            </w:r>
          </w:p>
        </w:tc>
        <w:tc>
          <w:tcPr>
            <w:tcW w:w="2136" w:type="dxa"/>
            <w:shd w:val="clear" w:color="auto" w:fill="FFFFFF" w:themeFill="background1"/>
            <w:noWrap/>
            <w:vAlign w:val="bottom"/>
            <w:hideMark/>
          </w:tcPr>
          <w:p w14:paraId="0A9FE7A6" w14:textId="77777777" w:rsidR="0046534C" w:rsidRPr="00FA281A" w:rsidRDefault="0046534C" w:rsidP="0046534C">
            <w:pPr>
              <w:spacing w:after="0" w:line="240" w:lineRule="auto"/>
              <w:rPr>
                <w:rFonts w:ascii="Times New Roman" w:eastAsia="Times New Roman" w:hAnsi="Times New Roman" w:cs="Times New Roman"/>
                <w:color w:val="000000" w:themeColor="text1"/>
                <w:lang w:eastAsia="en-ZA"/>
              </w:rPr>
            </w:pPr>
            <w:r w:rsidRPr="00FA281A">
              <w:rPr>
                <w:rFonts w:ascii="Times New Roman" w:eastAsia="Times New Roman" w:hAnsi="Times New Roman" w:cs="Times New Roman"/>
                <w:color w:val="000000" w:themeColor="text1"/>
                <w:lang w:eastAsia="en-ZA"/>
              </w:rPr>
              <w:t>topoisomerase I inhibitor</w:t>
            </w:r>
          </w:p>
        </w:tc>
        <w:tc>
          <w:tcPr>
            <w:tcW w:w="4923" w:type="dxa"/>
            <w:shd w:val="clear" w:color="auto" w:fill="FFFFFF" w:themeFill="background1"/>
            <w:vAlign w:val="center"/>
          </w:tcPr>
          <w:p w14:paraId="68EE1B44" w14:textId="4C186F24" w:rsidR="0046534C" w:rsidRPr="00FA281A" w:rsidRDefault="0046534C" w:rsidP="0046534C">
            <w:pPr>
              <w:spacing w:after="0" w:line="240" w:lineRule="auto"/>
              <w:rPr>
                <w:rFonts w:ascii="Times New Roman" w:eastAsia="Times New Roman" w:hAnsi="Times New Roman" w:cs="Times New Roman"/>
                <w:color w:val="000000" w:themeColor="text1"/>
                <w:lang w:eastAsia="en-ZA"/>
              </w:rPr>
            </w:pPr>
            <w:r w:rsidRPr="00FA281A">
              <w:rPr>
                <w:rFonts w:ascii="Times New Roman" w:eastAsia="Times New Roman" w:hAnsi="Times New Roman" w:cs="Times New Roman"/>
                <w:color w:val="000000" w:themeColor="text1"/>
                <w:lang w:eastAsia="en-ZA"/>
              </w:rPr>
              <w:t>Irinotecan</w:t>
            </w:r>
            <w:r>
              <w:rPr>
                <w:rFonts w:ascii="Times New Roman" w:eastAsia="Times New Roman" w:hAnsi="Times New Roman" w:cs="Times New Roman"/>
                <w:color w:val="000000" w:themeColor="text1"/>
                <w:lang w:eastAsia="en-ZA"/>
              </w:rPr>
              <w:t xml:space="preserve"> has been shown to have effects of leukemia</w:t>
            </w:r>
            <w:r>
              <w:rPr>
                <w:rFonts w:ascii="Times New Roman" w:eastAsia="Times New Roman" w:hAnsi="Times New Roman" w:cs="Times New Roman"/>
                <w:color w:val="000000" w:themeColor="text1"/>
                <w:lang w:eastAsia="en-ZA"/>
              </w:rPr>
              <w:fldChar w:fldCharType="begin"/>
            </w:r>
            <w:r>
              <w:rPr>
                <w:rFonts w:ascii="Times New Roman" w:eastAsia="Times New Roman" w:hAnsi="Times New Roman" w:cs="Times New Roman"/>
                <w:color w:val="000000" w:themeColor="text1"/>
                <w:lang w:eastAsia="en-ZA"/>
              </w:rPr>
              <w:instrText xml:space="preserve"> ADDIN ZOTERO_ITEM CSL_CITATION {"citationID":"iXu1euQK","properties":{"formattedCitation":"\\super 18\\nosupersub{}","plainCitation":"18","noteIndex":0},"citationItems":[{"id":151,"uris":["http://zotero.org/users/local/qSoqcP4W/items/2PYKRDG3"],"itemData":{"id":151,"type":"article-journal","container-title":"Annals of Oncology","DOI":"10.1093/annonc/mdf337","ISSN":"0923-7534, 1569-8041","issue":"12","journalAbbreviation":"Annals of Oncology","language":"English","note":"publisher: Elsevier","page":"1841-1851","source":"www.annalsofoncology.org","title":"Irinotecan: mechanisms of tumor resistance and novel strategies for modulating its activity","title-short":"Irinotecan","volume":"13","author":[{"family":"Xu","given":"Y."},{"family":"Villalona-Calero","given":"M. A."}],"issued":{"date-parts":[["2002",12,1]]}}}],"schema":"https://github.com/citation-style-language/schema/raw/master/csl-citation.json"} </w:instrText>
            </w:r>
            <w:r>
              <w:rPr>
                <w:rFonts w:ascii="Times New Roman" w:eastAsia="Times New Roman" w:hAnsi="Times New Roman" w:cs="Times New Roman"/>
                <w:color w:val="000000" w:themeColor="text1"/>
                <w:lang w:eastAsia="en-ZA"/>
              </w:rPr>
              <w:fldChar w:fldCharType="separate"/>
            </w:r>
            <w:r w:rsidRPr="0046534C">
              <w:rPr>
                <w:rFonts w:ascii="Times New Roman" w:hAnsi="Times New Roman" w:cs="Times New Roman"/>
                <w:vertAlign w:val="superscript"/>
              </w:rPr>
              <w:t>18</w:t>
            </w:r>
            <w:r>
              <w:rPr>
                <w:rFonts w:ascii="Times New Roman" w:eastAsia="Times New Roman" w:hAnsi="Times New Roman" w:cs="Times New Roman"/>
                <w:color w:val="000000" w:themeColor="text1"/>
                <w:lang w:eastAsia="en-ZA"/>
              </w:rPr>
              <w:fldChar w:fldCharType="end"/>
            </w:r>
          </w:p>
        </w:tc>
      </w:tr>
      <w:tr w:rsidR="0046534C" w:rsidRPr="00FA281A" w14:paraId="5A052F4E" w14:textId="1198DD4B" w:rsidTr="004E0CCA">
        <w:trPr>
          <w:trHeight w:val="288"/>
        </w:trPr>
        <w:tc>
          <w:tcPr>
            <w:tcW w:w="485" w:type="dxa"/>
            <w:shd w:val="clear" w:color="auto" w:fill="FFFFFF" w:themeFill="background1"/>
          </w:tcPr>
          <w:p w14:paraId="48E2FA07" w14:textId="77777777" w:rsidR="0046534C" w:rsidRPr="00FA281A" w:rsidRDefault="0046534C" w:rsidP="0046534C">
            <w:pPr>
              <w:spacing w:after="0" w:line="240" w:lineRule="auto"/>
              <w:rPr>
                <w:rFonts w:ascii="Times New Roman" w:eastAsia="Times New Roman" w:hAnsi="Times New Roman" w:cs="Times New Roman"/>
                <w:color w:val="000000" w:themeColor="text1"/>
                <w:lang w:eastAsia="en-ZA"/>
              </w:rPr>
            </w:pPr>
            <w:r>
              <w:rPr>
                <w:rFonts w:ascii="Times New Roman" w:eastAsia="Times New Roman" w:hAnsi="Times New Roman" w:cs="Times New Roman"/>
                <w:color w:val="000000" w:themeColor="text1"/>
                <w:lang w:eastAsia="en-ZA"/>
              </w:rPr>
              <w:t>20</w:t>
            </w:r>
          </w:p>
        </w:tc>
        <w:tc>
          <w:tcPr>
            <w:tcW w:w="1925" w:type="dxa"/>
            <w:shd w:val="clear" w:color="auto" w:fill="FFFFFF" w:themeFill="background1"/>
            <w:vAlign w:val="center"/>
            <w:hideMark/>
          </w:tcPr>
          <w:p w14:paraId="469EBA1B" w14:textId="77777777" w:rsidR="0046534C" w:rsidRPr="00FA281A" w:rsidRDefault="0046534C" w:rsidP="0046534C">
            <w:pPr>
              <w:spacing w:after="0" w:line="240" w:lineRule="auto"/>
              <w:rPr>
                <w:rFonts w:ascii="Times New Roman" w:eastAsia="Times New Roman" w:hAnsi="Times New Roman" w:cs="Times New Roman"/>
                <w:color w:val="000000" w:themeColor="text1"/>
                <w:lang w:eastAsia="en-ZA"/>
              </w:rPr>
            </w:pPr>
            <w:r w:rsidRPr="00FA281A">
              <w:rPr>
                <w:rFonts w:ascii="Times New Roman" w:eastAsia="Times New Roman" w:hAnsi="Times New Roman" w:cs="Times New Roman"/>
                <w:color w:val="000000" w:themeColor="text1"/>
                <w:lang w:eastAsia="en-ZA"/>
              </w:rPr>
              <w:t>Lenalidomide</w:t>
            </w:r>
          </w:p>
        </w:tc>
        <w:tc>
          <w:tcPr>
            <w:tcW w:w="2136" w:type="dxa"/>
            <w:shd w:val="clear" w:color="auto" w:fill="FFFFFF" w:themeFill="background1"/>
            <w:noWrap/>
            <w:vAlign w:val="bottom"/>
            <w:hideMark/>
          </w:tcPr>
          <w:p w14:paraId="5256764C" w14:textId="77777777" w:rsidR="0046534C" w:rsidRPr="00FA281A" w:rsidRDefault="0046534C" w:rsidP="0046534C">
            <w:pPr>
              <w:spacing w:after="0" w:line="240" w:lineRule="auto"/>
              <w:rPr>
                <w:rFonts w:ascii="Times New Roman" w:eastAsia="Times New Roman" w:hAnsi="Times New Roman" w:cs="Times New Roman"/>
                <w:color w:val="000000" w:themeColor="text1"/>
                <w:lang w:eastAsia="en-ZA"/>
              </w:rPr>
            </w:pPr>
            <w:r w:rsidRPr="00FA281A">
              <w:rPr>
                <w:rFonts w:ascii="Times New Roman" w:eastAsia="Times New Roman" w:hAnsi="Times New Roman" w:cs="Times New Roman"/>
                <w:color w:val="000000" w:themeColor="text1"/>
                <w:lang w:eastAsia="en-ZA"/>
              </w:rPr>
              <w:t>Immunomodulation</w:t>
            </w:r>
          </w:p>
        </w:tc>
        <w:tc>
          <w:tcPr>
            <w:tcW w:w="4923" w:type="dxa"/>
            <w:shd w:val="clear" w:color="auto" w:fill="FFFFFF" w:themeFill="background1"/>
            <w:vAlign w:val="center"/>
          </w:tcPr>
          <w:p w14:paraId="306E34B4" w14:textId="2044D50A" w:rsidR="0046534C" w:rsidRPr="00FA281A" w:rsidRDefault="0046534C" w:rsidP="0046534C">
            <w:pPr>
              <w:spacing w:after="0" w:line="240" w:lineRule="auto"/>
              <w:rPr>
                <w:rFonts w:ascii="Times New Roman" w:eastAsia="Times New Roman" w:hAnsi="Times New Roman" w:cs="Times New Roman"/>
                <w:color w:val="000000" w:themeColor="text1"/>
                <w:lang w:eastAsia="en-ZA"/>
              </w:rPr>
            </w:pPr>
            <w:r w:rsidRPr="00FA281A">
              <w:rPr>
                <w:rFonts w:ascii="Times New Roman" w:eastAsia="Times New Roman" w:hAnsi="Times New Roman" w:cs="Times New Roman"/>
                <w:color w:val="000000" w:themeColor="text1"/>
                <w:lang w:eastAsia="en-ZA"/>
              </w:rPr>
              <w:t>Lenalidomide</w:t>
            </w:r>
            <w:r>
              <w:rPr>
                <w:rFonts w:ascii="Times New Roman" w:eastAsia="Times New Roman" w:hAnsi="Times New Roman" w:cs="Times New Roman"/>
                <w:color w:val="000000" w:themeColor="text1"/>
                <w:lang w:eastAsia="en-ZA"/>
              </w:rPr>
              <w:t xml:space="preserve"> is given for leukemia treatment</w:t>
            </w:r>
            <w:r>
              <w:rPr>
                <w:rFonts w:ascii="Times New Roman" w:eastAsia="Times New Roman" w:hAnsi="Times New Roman" w:cs="Times New Roman"/>
                <w:color w:val="000000" w:themeColor="text1"/>
                <w:lang w:eastAsia="en-ZA"/>
              </w:rPr>
              <w:fldChar w:fldCharType="begin"/>
            </w:r>
            <w:r>
              <w:rPr>
                <w:rFonts w:ascii="Times New Roman" w:eastAsia="Times New Roman" w:hAnsi="Times New Roman" w:cs="Times New Roman"/>
                <w:color w:val="000000" w:themeColor="text1"/>
                <w:lang w:eastAsia="en-ZA"/>
              </w:rPr>
              <w:instrText xml:space="preserve"> ADDIN ZOTERO_ITEM CSL_CITATION {"citationID":"1HDeF5yd","properties":{"formattedCitation":"\\super 19\\nosupersub{}","plainCitation":"19","noteIndex":0},"citationItems":[{"id":153,"uris":["http://zotero.org/users/local/qSoqcP4W/items/JV7J887Y"],"itemData":{"id":153,"type":"article-journal","container-title":"Blood Cancer Journal","DOI":"10.1038/s41408-024-01154-z","ISSN":"2044-5385","issue":"1","journalAbbreviation":"Blood Cancer J.","language":"en","license":"2024 The Author(s)","note":"publisher: Nature Publishing Group","page":"1-4","source":"www.nature.com","title":"Acute lymphoblastic leukemia in patients treated with lenalidomide for multiple myeloma: a safety meta-analysis of randomized controlled trials combined with a retrospective study of the WHO’s pharmacovigilance database","title-short":"Acute lymphoblastic leukemia in patients treated with lenalidomide for multiple myeloma","volume":"14","author":[{"family":"Morice","given":"Pierre-Marie"},{"family":"Khalife-Hachem","given":"Sabine"},{"family":"Sassier","given":"Marion"},{"family":"Lelong-Boulouard","given":"Véronique"},{"family":"Danu","given":"Alina"},{"family":"Pasquier","given":"Florence"},{"family":"Renneville","given":"Aline"},{"family":"Dolladille","given":"Charles"},{"family":"Micol","given":"Jean-Baptiste"}],"issued":{"date-parts":[["2024",10,14]]}}}],"schema":"https://github.com/citation-style-language/schema/raw/master/csl-citation.json"} </w:instrText>
            </w:r>
            <w:r>
              <w:rPr>
                <w:rFonts w:ascii="Times New Roman" w:eastAsia="Times New Roman" w:hAnsi="Times New Roman" w:cs="Times New Roman"/>
                <w:color w:val="000000" w:themeColor="text1"/>
                <w:lang w:eastAsia="en-ZA"/>
              </w:rPr>
              <w:fldChar w:fldCharType="separate"/>
            </w:r>
            <w:r w:rsidRPr="0046534C">
              <w:rPr>
                <w:rFonts w:ascii="Times New Roman" w:hAnsi="Times New Roman" w:cs="Times New Roman"/>
                <w:vertAlign w:val="superscript"/>
              </w:rPr>
              <w:t>19</w:t>
            </w:r>
            <w:r>
              <w:rPr>
                <w:rFonts w:ascii="Times New Roman" w:eastAsia="Times New Roman" w:hAnsi="Times New Roman" w:cs="Times New Roman"/>
                <w:color w:val="000000" w:themeColor="text1"/>
                <w:lang w:eastAsia="en-ZA"/>
              </w:rPr>
              <w:fldChar w:fldCharType="end"/>
            </w:r>
            <w:r>
              <w:rPr>
                <w:rFonts w:ascii="Times New Roman" w:eastAsia="Times New Roman" w:hAnsi="Times New Roman" w:cs="Times New Roman"/>
                <w:color w:val="000000" w:themeColor="text1"/>
                <w:lang w:eastAsia="en-ZA"/>
              </w:rPr>
              <w:t>.</w:t>
            </w:r>
          </w:p>
        </w:tc>
      </w:tr>
      <w:tr w:rsidR="0046534C" w:rsidRPr="00FA281A" w14:paraId="78E9ED5E" w14:textId="0EE8A88C" w:rsidTr="004E0CCA">
        <w:trPr>
          <w:trHeight w:val="288"/>
        </w:trPr>
        <w:tc>
          <w:tcPr>
            <w:tcW w:w="485" w:type="dxa"/>
            <w:shd w:val="clear" w:color="auto" w:fill="FFFFFF" w:themeFill="background1"/>
          </w:tcPr>
          <w:p w14:paraId="13F49A2E" w14:textId="77777777" w:rsidR="0046534C" w:rsidRPr="00FA281A" w:rsidRDefault="0046534C" w:rsidP="0046534C">
            <w:pPr>
              <w:spacing w:after="0" w:line="240" w:lineRule="auto"/>
              <w:rPr>
                <w:rFonts w:ascii="Times New Roman" w:eastAsia="Times New Roman" w:hAnsi="Times New Roman" w:cs="Times New Roman"/>
                <w:color w:val="000000" w:themeColor="text1"/>
                <w:lang w:eastAsia="en-ZA"/>
              </w:rPr>
            </w:pPr>
            <w:r>
              <w:rPr>
                <w:rFonts w:ascii="Times New Roman" w:eastAsia="Times New Roman" w:hAnsi="Times New Roman" w:cs="Times New Roman"/>
                <w:color w:val="000000" w:themeColor="text1"/>
                <w:lang w:eastAsia="en-ZA"/>
              </w:rPr>
              <w:t>21</w:t>
            </w:r>
          </w:p>
        </w:tc>
        <w:tc>
          <w:tcPr>
            <w:tcW w:w="1925" w:type="dxa"/>
            <w:shd w:val="clear" w:color="auto" w:fill="FFFFFF" w:themeFill="background1"/>
            <w:vAlign w:val="center"/>
            <w:hideMark/>
          </w:tcPr>
          <w:p w14:paraId="29CB9E32" w14:textId="77777777" w:rsidR="0046534C" w:rsidRPr="00FA281A" w:rsidRDefault="0046534C" w:rsidP="0046534C">
            <w:pPr>
              <w:spacing w:after="0" w:line="240" w:lineRule="auto"/>
              <w:rPr>
                <w:rFonts w:ascii="Times New Roman" w:eastAsia="Times New Roman" w:hAnsi="Times New Roman" w:cs="Times New Roman"/>
                <w:color w:val="000000" w:themeColor="text1"/>
                <w:lang w:eastAsia="en-ZA"/>
              </w:rPr>
            </w:pPr>
            <w:r w:rsidRPr="00FA281A">
              <w:rPr>
                <w:rFonts w:ascii="Times New Roman" w:eastAsia="Times New Roman" w:hAnsi="Times New Roman" w:cs="Times New Roman"/>
                <w:color w:val="000000" w:themeColor="text1"/>
                <w:lang w:eastAsia="en-ZA"/>
              </w:rPr>
              <w:t>Melphalan</w:t>
            </w:r>
          </w:p>
        </w:tc>
        <w:tc>
          <w:tcPr>
            <w:tcW w:w="2136" w:type="dxa"/>
            <w:shd w:val="clear" w:color="auto" w:fill="FFFFFF" w:themeFill="background1"/>
            <w:noWrap/>
            <w:vAlign w:val="bottom"/>
            <w:hideMark/>
          </w:tcPr>
          <w:p w14:paraId="0380A295" w14:textId="77777777" w:rsidR="0046534C" w:rsidRPr="00FA281A" w:rsidRDefault="0046534C" w:rsidP="0046534C">
            <w:pPr>
              <w:spacing w:after="0" w:line="240" w:lineRule="auto"/>
              <w:rPr>
                <w:rFonts w:ascii="Times New Roman" w:eastAsia="Times New Roman" w:hAnsi="Times New Roman" w:cs="Times New Roman"/>
                <w:color w:val="000000" w:themeColor="text1"/>
                <w:lang w:eastAsia="en-ZA"/>
              </w:rPr>
            </w:pPr>
            <w:r w:rsidRPr="00FA281A">
              <w:rPr>
                <w:rFonts w:ascii="Times New Roman" w:eastAsia="Times New Roman" w:hAnsi="Times New Roman" w:cs="Times New Roman"/>
                <w:color w:val="000000" w:themeColor="text1"/>
                <w:lang w:eastAsia="en-ZA"/>
              </w:rPr>
              <w:t>Antineoplastic activity</w:t>
            </w:r>
          </w:p>
        </w:tc>
        <w:tc>
          <w:tcPr>
            <w:tcW w:w="4923" w:type="dxa"/>
            <w:shd w:val="clear" w:color="auto" w:fill="FFFFFF" w:themeFill="background1"/>
            <w:vAlign w:val="center"/>
          </w:tcPr>
          <w:p w14:paraId="0E96BD75" w14:textId="7DE9D466" w:rsidR="0046534C" w:rsidRPr="00FA281A" w:rsidRDefault="0046534C" w:rsidP="0046534C">
            <w:pPr>
              <w:spacing w:after="0" w:line="240" w:lineRule="auto"/>
              <w:rPr>
                <w:rFonts w:ascii="Times New Roman" w:eastAsia="Times New Roman" w:hAnsi="Times New Roman" w:cs="Times New Roman"/>
                <w:color w:val="000000" w:themeColor="text1"/>
                <w:lang w:eastAsia="en-ZA"/>
              </w:rPr>
            </w:pPr>
            <w:r w:rsidRPr="00FA281A">
              <w:rPr>
                <w:rFonts w:ascii="Times New Roman" w:eastAsia="Times New Roman" w:hAnsi="Times New Roman" w:cs="Times New Roman"/>
                <w:color w:val="000000" w:themeColor="text1"/>
                <w:lang w:eastAsia="en-ZA"/>
              </w:rPr>
              <w:t>Melphalan</w:t>
            </w:r>
            <w:r>
              <w:rPr>
                <w:rFonts w:ascii="Times New Roman" w:eastAsia="Times New Roman" w:hAnsi="Times New Roman" w:cs="Times New Roman"/>
                <w:color w:val="000000" w:themeColor="text1"/>
                <w:lang w:eastAsia="en-ZA"/>
              </w:rPr>
              <w:t xml:space="preserve"> is given for leukemia treatment</w:t>
            </w:r>
            <w:r>
              <w:rPr>
                <w:rFonts w:ascii="Times New Roman" w:eastAsia="Times New Roman" w:hAnsi="Times New Roman" w:cs="Times New Roman"/>
                <w:color w:val="000000" w:themeColor="text1"/>
                <w:lang w:eastAsia="en-ZA"/>
              </w:rPr>
              <w:fldChar w:fldCharType="begin"/>
            </w:r>
            <w:r>
              <w:rPr>
                <w:rFonts w:ascii="Times New Roman" w:eastAsia="Times New Roman" w:hAnsi="Times New Roman" w:cs="Times New Roman"/>
                <w:color w:val="000000" w:themeColor="text1"/>
                <w:lang w:eastAsia="en-ZA"/>
              </w:rPr>
              <w:instrText xml:space="preserve"> ADDIN ZOTERO_ITEM CSL_CITATION {"citationID":"mV4mACth","properties":{"formattedCitation":"\\super 20\\nosupersub{}","plainCitation":"20","noteIndex":0},"citationItems":[{"id":155,"uris":["http://zotero.org/users/local/qSoqcP4W/items/S45IKAZ4"],"itemData":{"id":155,"type":"article-journal","abstract":"OBJECTIVES: The aim of this study was to determine risk factors for development of acute myeloid leukemia/myelodysplastic syndromes (AML/MDS) in patients with multiple myeloma (MM).\nMETHODS: We identified all patients diagnosed with MM in Sweden from January 1st, 1958 to December 31, 2011. A total of 26 627 patients were diagnosed with MM with during the study period. Of these, 124 patients (0.5%) developed subsequent AML/MDS. For each patient with MM and a subsequent AML/MDS diagnosis, we randomly selected a matched (age, sex, and date of MM diagnosis) MM patient without a subsequent second malignancy diagnosis.\nRESULTS: The cumulative melphalan exposure was significantly higher (OR = 2.8, 95% CI 1.7-5.2; P &lt; .001) among cases (median 988 mg; IQR 644-1640) compared with controls (median 578 mg; IQR 360-967). Median time to AML/MDS development was 3.8 years (IQR 2.8-5.8). Risk of AML/MDS was not statistically altered by M protein isotype, anemia, renal failure, hypercalcemia, lytic bone lesions, or radiation therapy.\nCONCLUSION: In this nationwide population-based study, we show that increased cumulative doses of alkylating therapy with melphalan increases the subsequent risk of developing AML/MDS in patients with MM. Given improved survival in MM patients over the last decade future studies will be important to better define long-term risks.","container-title":"European Journal of Haematology","DOI":"10.1111/ejh.13650","ISSN":"1600-0609","issue":"2","journalAbbreviation":"Eur J Haematol","language":"eng","note":"PMID: 33966293\nPMCID: PMC11036135","page":"275-282","source":"PubMed","title":"Cumulative exposure to melphalan chemotherapy and subsequent risk of developing acute myeloid leukemia and myelodysplastic syndromes in patients with multiple myeloma","volume":"107","author":[{"family":"Jonsdottir","given":"Gudbjorg"},{"family":"Björkholm","given":"Magnus"},{"family":"Turesson","given":"Ingemar"},{"family":"Hultcrantz","given":"Malin"},{"family":"Diamond","given":"Benjamin"},{"family":"Porwit","given":"Anna"},{"family":"Landgren","given":"Ola"},{"family":"Kristinsson","given":"Sigurdur Y."}],"issued":{"date-parts":[["2021",8]]}}}],"schema":"https://github.com/citation-style-language/schema/raw/master/csl-citation.json"} </w:instrText>
            </w:r>
            <w:r>
              <w:rPr>
                <w:rFonts w:ascii="Times New Roman" w:eastAsia="Times New Roman" w:hAnsi="Times New Roman" w:cs="Times New Roman"/>
                <w:color w:val="000000" w:themeColor="text1"/>
                <w:lang w:eastAsia="en-ZA"/>
              </w:rPr>
              <w:fldChar w:fldCharType="separate"/>
            </w:r>
            <w:r w:rsidRPr="0046534C">
              <w:rPr>
                <w:rFonts w:ascii="Times New Roman" w:hAnsi="Times New Roman" w:cs="Times New Roman"/>
                <w:vertAlign w:val="superscript"/>
              </w:rPr>
              <w:t>20</w:t>
            </w:r>
            <w:r>
              <w:rPr>
                <w:rFonts w:ascii="Times New Roman" w:eastAsia="Times New Roman" w:hAnsi="Times New Roman" w:cs="Times New Roman"/>
                <w:color w:val="000000" w:themeColor="text1"/>
                <w:lang w:eastAsia="en-ZA"/>
              </w:rPr>
              <w:fldChar w:fldCharType="end"/>
            </w:r>
            <w:r>
              <w:rPr>
                <w:rFonts w:ascii="Times New Roman" w:eastAsia="Times New Roman" w:hAnsi="Times New Roman" w:cs="Times New Roman"/>
                <w:color w:val="000000" w:themeColor="text1"/>
                <w:lang w:eastAsia="en-ZA"/>
              </w:rPr>
              <w:t>.</w:t>
            </w:r>
          </w:p>
        </w:tc>
      </w:tr>
      <w:tr w:rsidR="0046534C" w:rsidRPr="00FA281A" w14:paraId="78D55A36" w14:textId="47EEE6A1" w:rsidTr="005D4557">
        <w:trPr>
          <w:trHeight w:val="288"/>
        </w:trPr>
        <w:tc>
          <w:tcPr>
            <w:tcW w:w="485" w:type="dxa"/>
            <w:shd w:val="clear" w:color="auto" w:fill="FFFFFF" w:themeFill="background1"/>
          </w:tcPr>
          <w:p w14:paraId="414414AD" w14:textId="77777777" w:rsidR="0046534C" w:rsidRPr="00FA281A" w:rsidRDefault="0046534C" w:rsidP="0046534C">
            <w:pPr>
              <w:spacing w:after="0" w:line="240" w:lineRule="auto"/>
              <w:rPr>
                <w:rFonts w:ascii="Times New Roman" w:eastAsia="Times New Roman" w:hAnsi="Times New Roman" w:cs="Times New Roman"/>
                <w:color w:val="000000" w:themeColor="text1"/>
                <w:lang w:eastAsia="en-ZA"/>
              </w:rPr>
            </w:pPr>
            <w:r>
              <w:rPr>
                <w:rFonts w:ascii="Times New Roman" w:eastAsia="Times New Roman" w:hAnsi="Times New Roman" w:cs="Times New Roman"/>
                <w:color w:val="000000" w:themeColor="text1"/>
                <w:lang w:eastAsia="en-ZA"/>
              </w:rPr>
              <w:t>22</w:t>
            </w:r>
          </w:p>
        </w:tc>
        <w:tc>
          <w:tcPr>
            <w:tcW w:w="1925" w:type="dxa"/>
            <w:shd w:val="clear" w:color="auto" w:fill="FFFFFF" w:themeFill="background1"/>
            <w:vAlign w:val="center"/>
            <w:hideMark/>
          </w:tcPr>
          <w:p w14:paraId="6BDA0F7B" w14:textId="77777777" w:rsidR="0046534C" w:rsidRPr="00FA281A" w:rsidRDefault="0046534C" w:rsidP="0046534C">
            <w:pPr>
              <w:spacing w:after="0" w:line="240" w:lineRule="auto"/>
              <w:rPr>
                <w:rFonts w:ascii="Times New Roman" w:eastAsia="Times New Roman" w:hAnsi="Times New Roman" w:cs="Times New Roman"/>
                <w:color w:val="000000" w:themeColor="text1"/>
                <w:lang w:eastAsia="en-ZA"/>
              </w:rPr>
            </w:pPr>
            <w:r w:rsidRPr="00FA281A">
              <w:rPr>
                <w:rFonts w:ascii="Times New Roman" w:eastAsia="Times New Roman" w:hAnsi="Times New Roman" w:cs="Times New Roman"/>
                <w:color w:val="000000" w:themeColor="text1"/>
                <w:lang w:eastAsia="en-ZA"/>
              </w:rPr>
              <w:t>Nilotinib</w:t>
            </w:r>
          </w:p>
        </w:tc>
        <w:tc>
          <w:tcPr>
            <w:tcW w:w="2136" w:type="dxa"/>
            <w:shd w:val="clear" w:color="auto" w:fill="FFFFFF" w:themeFill="background1"/>
            <w:noWrap/>
            <w:vAlign w:val="bottom"/>
            <w:hideMark/>
          </w:tcPr>
          <w:p w14:paraId="2790CB56" w14:textId="77777777" w:rsidR="0046534C" w:rsidRPr="00FA281A" w:rsidRDefault="0046534C" w:rsidP="0046534C">
            <w:pPr>
              <w:spacing w:after="0" w:line="240" w:lineRule="auto"/>
              <w:rPr>
                <w:rFonts w:ascii="Times New Roman" w:eastAsia="Times New Roman" w:hAnsi="Times New Roman" w:cs="Times New Roman"/>
                <w:color w:val="000000" w:themeColor="text1"/>
                <w:lang w:eastAsia="en-ZA"/>
              </w:rPr>
            </w:pPr>
            <w:r w:rsidRPr="00FA281A">
              <w:rPr>
                <w:rFonts w:ascii="Times New Roman" w:eastAsia="Times New Roman" w:hAnsi="Times New Roman" w:cs="Times New Roman"/>
                <w:color w:val="000000" w:themeColor="text1"/>
                <w:lang w:eastAsia="en-ZA"/>
              </w:rPr>
              <w:t>BCR/Abl inhibitor</w:t>
            </w:r>
          </w:p>
        </w:tc>
        <w:tc>
          <w:tcPr>
            <w:tcW w:w="4923" w:type="dxa"/>
            <w:shd w:val="clear" w:color="auto" w:fill="FFFFFF" w:themeFill="background1"/>
          </w:tcPr>
          <w:p w14:paraId="33128003" w14:textId="705F4F43" w:rsidR="0046534C" w:rsidRPr="00FA281A" w:rsidRDefault="0046534C" w:rsidP="0046534C">
            <w:pPr>
              <w:spacing w:after="0" w:line="240" w:lineRule="auto"/>
              <w:rPr>
                <w:rFonts w:ascii="Times New Roman" w:eastAsia="Times New Roman" w:hAnsi="Times New Roman" w:cs="Times New Roman"/>
                <w:color w:val="000000" w:themeColor="text1"/>
                <w:lang w:eastAsia="en-ZA"/>
              </w:rPr>
            </w:pPr>
            <w:r>
              <w:rPr>
                <w:rFonts w:ascii="Times New Roman" w:eastAsia="Times New Roman" w:hAnsi="Times New Roman" w:cs="Times New Roman"/>
                <w:color w:val="000000" w:themeColor="text1"/>
                <w:lang w:eastAsia="en-ZA"/>
              </w:rPr>
              <w:t xml:space="preserve">Some patients in this study are in nilotinib treatment. </w:t>
            </w:r>
          </w:p>
        </w:tc>
      </w:tr>
      <w:tr w:rsidR="0046534C" w:rsidRPr="00FA281A" w14:paraId="593B9FD6" w14:textId="67C5BE8A" w:rsidTr="0083024B">
        <w:trPr>
          <w:trHeight w:val="288"/>
        </w:trPr>
        <w:tc>
          <w:tcPr>
            <w:tcW w:w="485" w:type="dxa"/>
            <w:shd w:val="clear" w:color="auto" w:fill="FFFFFF" w:themeFill="background1"/>
          </w:tcPr>
          <w:p w14:paraId="2BF2BDC2" w14:textId="77777777" w:rsidR="0046534C" w:rsidRPr="00FA281A" w:rsidRDefault="0046534C" w:rsidP="0046534C">
            <w:pPr>
              <w:spacing w:after="0" w:line="240" w:lineRule="auto"/>
              <w:rPr>
                <w:rFonts w:ascii="Times New Roman" w:eastAsia="Times New Roman" w:hAnsi="Times New Roman" w:cs="Times New Roman"/>
                <w:color w:val="000000" w:themeColor="text1"/>
                <w:lang w:eastAsia="en-ZA"/>
              </w:rPr>
            </w:pPr>
            <w:r>
              <w:rPr>
                <w:rFonts w:ascii="Times New Roman" w:eastAsia="Times New Roman" w:hAnsi="Times New Roman" w:cs="Times New Roman"/>
                <w:color w:val="000000" w:themeColor="text1"/>
                <w:lang w:eastAsia="en-ZA"/>
              </w:rPr>
              <w:t>23</w:t>
            </w:r>
          </w:p>
        </w:tc>
        <w:tc>
          <w:tcPr>
            <w:tcW w:w="1925" w:type="dxa"/>
            <w:shd w:val="clear" w:color="auto" w:fill="FFFFFF" w:themeFill="background1"/>
            <w:vAlign w:val="center"/>
            <w:hideMark/>
          </w:tcPr>
          <w:p w14:paraId="1A6683EF" w14:textId="77777777" w:rsidR="0046534C" w:rsidRPr="00FA281A" w:rsidRDefault="0046534C" w:rsidP="0046534C">
            <w:pPr>
              <w:spacing w:after="0" w:line="240" w:lineRule="auto"/>
              <w:rPr>
                <w:rFonts w:ascii="Times New Roman" w:eastAsia="Times New Roman" w:hAnsi="Times New Roman" w:cs="Times New Roman"/>
                <w:color w:val="000000" w:themeColor="text1"/>
                <w:lang w:eastAsia="en-ZA"/>
              </w:rPr>
            </w:pPr>
            <w:r w:rsidRPr="00FA281A">
              <w:rPr>
                <w:rFonts w:ascii="Times New Roman" w:eastAsia="Times New Roman" w:hAnsi="Times New Roman" w:cs="Times New Roman"/>
                <w:color w:val="000000" w:themeColor="text1"/>
                <w:lang w:eastAsia="en-ZA"/>
              </w:rPr>
              <w:t>Prednisolone</w:t>
            </w:r>
          </w:p>
        </w:tc>
        <w:tc>
          <w:tcPr>
            <w:tcW w:w="2136" w:type="dxa"/>
            <w:shd w:val="clear" w:color="auto" w:fill="FFFFFF" w:themeFill="background1"/>
            <w:noWrap/>
            <w:vAlign w:val="bottom"/>
            <w:hideMark/>
          </w:tcPr>
          <w:p w14:paraId="69E03419" w14:textId="0EB1056B" w:rsidR="0046534C" w:rsidRPr="00FA281A" w:rsidRDefault="0046534C" w:rsidP="0046534C">
            <w:pPr>
              <w:spacing w:after="0" w:line="240" w:lineRule="auto"/>
              <w:rPr>
                <w:rFonts w:ascii="Times New Roman" w:eastAsia="Times New Roman" w:hAnsi="Times New Roman" w:cs="Times New Roman"/>
                <w:color w:val="000000" w:themeColor="text1"/>
                <w:lang w:eastAsia="en-ZA"/>
              </w:rPr>
            </w:pPr>
            <w:r w:rsidRPr="00FA281A">
              <w:rPr>
                <w:rFonts w:ascii="Times New Roman" w:eastAsia="Times New Roman" w:hAnsi="Times New Roman" w:cs="Times New Roman"/>
                <w:color w:val="000000" w:themeColor="text1"/>
                <w:lang w:eastAsia="en-ZA"/>
              </w:rPr>
              <w:t xml:space="preserve">Immunomodulatory </w:t>
            </w:r>
          </w:p>
        </w:tc>
        <w:tc>
          <w:tcPr>
            <w:tcW w:w="4923" w:type="dxa"/>
            <w:shd w:val="clear" w:color="auto" w:fill="FFFFFF" w:themeFill="background1"/>
            <w:vAlign w:val="center"/>
          </w:tcPr>
          <w:p w14:paraId="282BB0F7" w14:textId="07B06D4C" w:rsidR="0046534C" w:rsidRPr="00FA281A" w:rsidRDefault="0046534C" w:rsidP="0046534C">
            <w:pPr>
              <w:spacing w:after="0" w:line="240" w:lineRule="auto"/>
              <w:rPr>
                <w:rFonts w:ascii="Times New Roman" w:eastAsia="Times New Roman" w:hAnsi="Times New Roman" w:cs="Times New Roman"/>
                <w:color w:val="000000" w:themeColor="text1"/>
                <w:lang w:eastAsia="en-ZA"/>
              </w:rPr>
            </w:pPr>
            <w:r w:rsidRPr="00FA281A">
              <w:rPr>
                <w:rFonts w:ascii="Times New Roman" w:eastAsia="Times New Roman" w:hAnsi="Times New Roman" w:cs="Times New Roman"/>
                <w:color w:val="000000" w:themeColor="text1"/>
                <w:lang w:eastAsia="en-ZA"/>
              </w:rPr>
              <w:t>Prednisolone</w:t>
            </w:r>
            <w:r w:rsidR="009D132B">
              <w:rPr>
                <w:rFonts w:ascii="Times New Roman" w:eastAsia="Times New Roman" w:hAnsi="Times New Roman" w:cs="Times New Roman"/>
                <w:color w:val="000000" w:themeColor="text1"/>
                <w:lang w:eastAsia="en-ZA"/>
              </w:rPr>
              <w:t xml:space="preserve"> is given for leukemia treatment</w:t>
            </w:r>
            <w:r w:rsidR="009D132B">
              <w:rPr>
                <w:rFonts w:ascii="Times New Roman" w:eastAsia="Times New Roman" w:hAnsi="Times New Roman" w:cs="Times New Roman"/>
                <w:color w:val="000000" w:themeColor="text1"/>
                <w:lang w:eastAsia="en-ZA"/>
              </w:rPr>
              <w:fldChar w:fldCharType="begin"/>
            </w:r>
            <w:r w:rsidR="009D132B">
              <w:rPr>
                <w:rFonts w:ascii="Times New Roman" w:eastAsia="Times New Roman" w:hAnsi="Times New Roman" w:cs="Times New Roman"/>
                <w:color w:val="000000" w:themeColor="text1"/>
                <w:lang w:eastAsia="en-ZA"/>
              </w:rPr>
              <w:instrText xml:space="preserve"> ADDIN ZOTERO_ITEM CSL_CITATION {"citationID":"uqctwr9A","properties":{"formattedCitation":"\\super 21\\nosupersub{}","plainCitation":"21","noteIndex":0},"citationItems":[{"id":157,"uris":["http://zotero.org/users/local/qSoqcP4W/items/BZW6PBKF"],"itemData":{"id":157,"type":"article-journal","abstract":"Glucocorticoids (prednisone and dexamethasone) play an essential role in the treatment of acute lymphoblastic leukemia (ALL) but their optimal doses and bioequivalence have not been established. Pre-clinical studies showed that dexamethasone has a longer half-life and better central nervous system (CNS) penetration. In prospective randomized trials, dexamethasone yielded better control of CNS leukemia. At a prednisone (mg)/dexamethasone (mg) dose ratio less than 7, dexamethasone treatment (6–18 mg/m2/day) yielded event-free survival superior to that of prednisone (40–120 mg/m2/day), and high-dose dexamethasone (10–18 mg/m2/day) overcame drug resistance in T-ALL and high-risk ALL. However, dexamethasone caused more adverse effects, including infection, bone fracture, osteonecrosis, mood and behavior problems, and myopathy. In studies using a dose ratio greater than 7, the two drugs showed no difference in efficacy. Therefore, the relative efficacy of prednisone and dexamethasone is dose dependent and must be carefully weighed against toxicity. Moreover, although dexamethasone generally exhibited greater activity against ALL cells in vitro, the dose ratio of the two drugs that exerted equivalent cytotoxicity ranged widely among individual samples. Selection of the type and dosage of glucocorticoid should be based on the risk of relapse, the treatment phase, and the concomitant chemotherapeutic drugs.","container-title":"The Lancet Oncology","DOI":"10.1016/S1470-2045(10)70114-5","ISSN":"1470-2045","issue":"11","journalAbbreviation":"Lancet Oncol","note":"PMID: 20947430\nPMCID: PMC3309707","page":"1096-1106","source":"PubMed Central","title":"Glucocorticoid use in acute lymphoblastic leukemia: comparison of prednisone and dexamethasone","title-short":"Glucocorticoid use in acute lymphoblastic leukemia","volume":"11","author":[{"family":"Inaba","given":"Hiroto"},{"family":"Pui","given":"Ching-Hon"}],"issued":{"date-parts":[["2010",11]]}}}],"schema":"https://github.com/citation-style-language/schema/raw/master/csl-citation.json"} </w:instrText>
            </w:r>
            <w:r w:rsidR="009D132B">
              <w:rPr>
                <w:rFonts w:ascii="Times New Roman" w:eastAsia="Times New Roman" w:hAnsi="Times New Roman" w:cs="Times New Roman"/>
                <w:color w:val="000000" w:themeColor="text1"/>
                <w:lang w:eastAsia="en-ZA"/>
              </w:rPr>
              <w:fldChar w:fldCharType="separate"/>
            </w:r>
            <w:r w:rsidR="009D132B" w:rsidRPr="009D132B">
              <w:rPr>
                <w:rFonts w:ascii="Times New Roman" w:hAnsi="Times New Roman" w:cs="Times New Roman"/>
                <w:vertAlign w:val="superscript"/>
              </w:rPr>
              <w:t>21</w:t>
            </w:r>
            <w:r w:rsidR="009D132B">
              <w:rPr>
                <w:rFonts w:ascii="Times New Roman" w:eastAsia="Times New Roman" w:hAnsi="Times New Roman" w:cs="Times New Roman"/>
                <w:color w:val="000000" w:themeColor="text1"/>
                <w:lang w:eastAsia="en-ZA"/>
              </w:rPr>
              <w:fldChar w:fldCharType="end"/>
            </w:r>
            <w:r w:rsidR="009D132B">
              <w:rPr>
                <w:rFonts w:ascii="Times New Roman" w:eastAsia="Times New Roman" w:hAnsi="Times New Roman" w:cs="Times New Roman"/>
                <w:color w:val="000000" w:themeColor="text1"/>
                <w:lang w:eastAsia="en-ZA"/>
              </w:rPr>
              <w:t>.</w:t>
            </w:r>
          </w:p>
        </w:tc>
      </w:tr>
      <w:tr w:rsidR="0046534C" w:rsidRPr="00FA281A" w14:paraId="2D704953" w14:textId="2F30BEBC" w:rsidTr="0083024B">
        <w:trPr>
          <w:trHeight w:val="288"/>
        </w:trPr>
        <w:tc>
          <w:tcPr>
            <w:tcW w:w="485" w:type="dxa"/>
            <w:shd w:val="clear" w:color="auto" w:fill="FFFFFF" w:themeFill="background1"/>
          </w:tcPr>
          <w:p w14:paraId="5F6FBF24" w14:textId="77777777" w:rsidR="0046534C" w:rsidRPr="00FA281A" w:rsidRDefault="0046534C" w:rsidP="0046534C">
            <w:pPr>
              <w:spacing w:after="0" w:line="240" w:lineRule="auto"/>
              <w:rPr>
                <w:rFonts w:ascii="Times New Roman" w:eastAsia="Times New Roman" w:hAnsi="Times New Roman" w:cs="Times New Roman"/>
                <w:color w:val="000000" w:themeColor="text1"/>
                <w:lang w:eastAsia="en-ZA"/>
              </w:rPr>
            </w:pPr>
            <w:r>
              <w:rPr>
                <w:rFonts w:ascii="Times New Roman" w:eastAsia="Times New Roman" w:hAnsi="Times New Roman" w:cs="Times New Roman"/>
                <w:color w:val="000000" w:themeColor="text1"/>
                <w:lang w:eastAsia="en-ZA"/>
              </w:rPr>
              <w:t>24</w:t>
            </w:r>
          </w:p>
        </w:tc>
        <w:tc>
          <w:tcPr>
            <w:tcW w:w="1925" w:type="dxa"/>
            <w:shd w:val="clear" w:color="auto" w:fill="FFFFFF" w:themeFill="background1"/>
            <w:vAlign w:val="center"/>
            <w:hideMark/>
          </w:tcPr>
          <w:p w14:paraId="5D049F38" w14:textId="77777777" w:rsidR="0046534C" w:rsidRPr="00FA281A" w:rsidRDefault="0046534C" w:rsidP="0046534C">
            <w:pPr>
              <w:spacing w:after="0" w:line="240" w:lineRule="auto"/>
              <w:rPr>
                <w:rFonts w:ascii="Times New Roman" w:eastAsia="Times New Roman" w:hAnsi="Times New Roman" w:cs="Times New Roman"/>
                <w:color w:val="000000" w:themeColor="text1"/>
                <w:lang w:eastAsia="en-ZA"/>
              </w:rPr>
            </w:pPr>
            <w:r w:rsidRPr="00FA281A">
              <w:rPr>
                <w:rFonts w:ascii="Times New Roman" w:eastAsia="Times New Roman" w:hAnsi="Times New Roman" w:cs="Times New Roman"/>
                <w:color w:val="000000" w:themeColor="text1"/>
                <w:lang w:eastAsia="en-ZA"/>
              </w:rPr>
              <w:t>Simvastatin</w:t>
            </w:r>
          </w:p>
        </w:tc>
        <w:tc>
          <w:tcPr>
            <w:tcW w:w="2136" w:type="dxa"/>
            <w:shd w:val="clear" w:color="auto" w:fill="FFFFFF" w:themeFill="background1"/>
            <w:noWrap/>
            <w:vAlign w:val="bottom"/>
            <w:hideMark/>
          </w:tcPr>
          <w:p w14:paraId="155D0AB4" w14:textId="77777777" w:rsidR="0046534C" w:rsidRPr="00FA281A" w:rsidRDefault="0046534C" w:rsidP="0046534C">
            <w:pPr>
              <w:spacing w:after="0" w:line="240" w:lineRule="auto"/>
              <w:rPr>
                <w:rFonts w:ascii="Times New Roman" w:eastAsia="Times New Roman" w:hAnsi="Times New Roman" w:cs="Times New Roman"/>
                <w:color w:val="000000" w:themeColor="text1"/>
                <w:lang w:eastAsia="en-ZA"/>
              </w:rPr>
            </w:pPr>
            <w:r w:rsidRPr="00FA281A">
              <w:rPr>
                <w:rFonts w:ascii="Times New Roman" w:eastAsia="Times New Roman" w:hAnsi="Times New Roman" w:cs="Times New Roman"/>
                <w:color w:val="000000" w:themeColor="text1"/>
                <w:lang w:eastAsia="en-ZA"/>
              </w:rPr>
              <w:t>HMG-CoA reductase</w:t>
            </w:r>
          </w:p>
        </w:tc>
        <w:tc>
          <w:tcPr>
            <w:tcW w:w="4923" w:type="dxa"/>
            <w:shd w:val="clear" w:color="auto" w:fill="FFFFFF" w:themeFill="background1"/>
            <w:vAlign w:val="center"/>
          </w:tcPr>
          <w:p w14:paraId="7C120550" w14:textId="593AA358" w:rsidR="0046534C" w:rsidRPr="00FA281A" w:rsidRDefault="0046534C" w:rsidP="0046534C">
            <w:pPr>
              <w:spacing w:after="0" w:line="240" w:lineRule="auto"/>
              <w:rPr>
                <w:rFonts w:ascii="Times New Roman" w:eastAsia="Times New Roman" w:hAnsi="Times New Roman" w:cs="Times New Roman"/>
                <w:color w:val="000000" w:themeColor="text1"/>
                <w:lang w:eastAsia="en-ZA"/>
              </w:rPr>
            </w:pPr>
            <w:r w:rsidRPr="00FA281A">
              <w:rPr>
                <w:rFonts w:ascii="Times New Roman" w:eastAsia="Times New Roman" w:hAnsi="Times New Roman" w:cs="Times New Roman"/>
                <w:color w:val="000000" w:themeColor="text1"/>
                <w:lang w:eastAsia="en-ZA"/>
              </w:rPr>
              <w:t>Simvastatin</w:t>
            </w:r>
            <w:r w:rsidR="009D132B">
              <w:rPr>
                <w:rFonts w:ascii="Times New Roman" w:eastAsia="Times New Roman" w:hAnsi="Times New Roman" w:cs="Times New Roman"/>
                <w:color w:val="000000" w:themeColor="text1"/>
                <w:lang w:eastAsia="en-ZA"/>
              </w:rPr>
              <w:t xml:space="preserve"> is tested in drug testing for leukemia</w:t>
            </w:r>
            <w:r w:rsidR="009D132B">
              <w:rPr>
                <w:rFonts w:ascii="Times New Roman" w:eastAsia="Times New Roman" w:hAnsi="Times New Roman" w:cs="Times New Roman"/>
                <w:color w:val="000000" w:themeColor="text1"/>
                <w:lang w:eastAsia="en-ZA"/>
              </w:rPr>
              <w:fldChar w:fldCharType="begin"/>
            </w:r>
            <w:r w:rsidR="009D132B">
              <w:rPr>
                <w:rFonts w:ascii="Times New Roman" w:eastAsia="Times New Roman" w:hAnsi="Times New Roman" w:cs="Times New Roman"/>
                <w:color w:val="000000" w:themeColor="text1"/>
                <w:lang w:eastAsia="en-ZA"/>
              </w:rPr>
              <w:instrText xml:space="preserve"> ADDIN ZOTERO_ITEM CSL_CITATION {"citationID":"noIV778B","properties":{"formattedCitation":"\\super 22\\nosupersub{}","plainCitation":"22","noteIndex":0},"citationItems":[{"id":171,"uris":["http://zotero.org/users/local/qSoqcP4W/items/KXH4DTL2"],"itemData":{"id":171,"type":"article-journal","abstract":"Background\nThe FLT3/ITD mutation exists in many acute myeloid leukemia (AML) patients and is related to the poor prognosis of patients. In this study, we attempted to evaluate the antitumor activity of simvastatin, a member of the statin class of drugs, in vitro and in vivo models of FLT3/ITD AML and to identify the potential mechanisms.\n\nMethods\nCell Counting Kit-8 (CCK-8) and Annexin V/propidium iodide (PI) staining kits were used to detect cell viability and apoptosis, respectively. Subsequently, Western blot and rescue experiment were applied to explore the potential molecular mechanism. In vivo anti-leukemia activity of simvastatin was evaluated in xenograft mouse models.\n\nResults\nIn vitro experiments revealed that simvastatin inhibited AML progression in a dose- and time-dependent manner, while in vivo experiments showed that simvastatin significantly reduced tumor burden in FLT3/ITD xenograft mouse models. After simvastatin treatment of FLT3/ITD AML cells, intracellular Rap1 was downregulated and the phosphorylation levels of its downstream targets MEK, ERK and p38 were significantly inhibited. The rescue experiment showed that mevalonate, an intermediate product of the metabolic pathway of mevalonate, and its downstream geranylgeranyl pyrophosphate (GGPP) played a key role in this process. Finally, we demonstrate that simvastatin can induce apoptosis of primary AML cells, while having no effect on peripheral blood mononuclear cells from normal donors.\n\nConclusions\nSimvastatin can selectively and effectively eradicate FLT3/ITD AML cells in vitro and in vivo, and its mechanism may be related to the disruption of the HMG-CoA reductase pathway and the downregulation of the MEK/ERK and p38-MAPK signaling pathways.\n\nSupplementary Information\nThe online version contains supplementary material available at 10.1007/s40268-023-00442-6.","container-title":"Drugs in R&amp;D","DOI":"10.1007/s40268-023-00442-6","ISSN":"1174-5886","issue":"4","journalAbbreviation":"Drugs R D","note":"PMID: 37847357\nPMCID: PMC10676344","page":"439-451","source":"PubMed Central","title":"Simvastatin Preferentially Targets FLT3/ITD Acute Myeloid Leukemia by Inhibiting MEK/ERK and p38-MAPK Signaling Pathways","volume":"23","author":[{"family":"Li","given":"Genhong"},{"family":"Yao","given":"Jingwei"},{"family":"Lu","given":"Zhen"},{"family":"Yu","given":"Lian"},{"family":"Chen","given":"Qinwei"},{"family":"Ding","given":"Lihong"},{"family":"Fang","given":"Zhihong"},{"family":"Li","given":"Yin"},{"family":"Xu","given":"Bing"}],"issued":{"date-parts":[["2023",12]]}}}],"schema":"https://github.com/citation-style-language/schema/raw/master/csl-citation.json"} </w:instrText>
            </w:r>
            <w:r w:rsidR="009D132B">
              <w:rPr>
                <w:rFonts w:ascii="Times New Roman" w:eastAsia="Times New Roman" w:hAnsi="Times New Roman" w:cs="Times New Roman"/>
                <w:color w:val="000000" w:themeColor="text1"/>
                <w:lang w:eastAsia="en-ZA"/>
              </w:rPr>
              <w:fldChar w:fldCharType="separate"/>
            </w:r>
            <w:r w:rsidR="009D132B" w:rsidRPr="009D132B">
              <w:rPr>
                <w:rFonts w:ascii="Times New Roman" w:hAnsi="Times New Roman" w:cs="Times New Roman"/>
                <w:vertAlign w:val="superscript"/>
              </w:rPr>
              <w:t>22</w:t>
            </w:r>
            <w:r w:rsidR="009D132B">
              <w:rPr>
                <w:rFonts w:ascii="Times New Roman" w:eastAsia="Times New Roman" w:hAnsi="Times New Roman" w:cs="Times New Roman"/>
                <w:color w:val="000000" w:themeColor="text1"/>
                <w:lang w:eastAsia="en-ZA"/>
              </w:rPr>
              <w:fldChar w:fldCharType="end"/>
            </w:r>
            <w:r w:rsidR="009D132B">
              <w:rPr>
                <w:rFonts w:ascii="Times New Roman" w:eastAsia="Times New Roman" w:hAnsi="Times New Roman" w:cs="Times New Roman"/>
                <w:color w:val="000000" w:themeColor="text1"/>
                <w:lang w:eastAsia="en-ZA"/>
              </w:rPr>
              <w:t>.</w:t>
            </w:r>
          </w:p>
        </w:tc>
      </w:tr>
      <w:tr w:rsidR="0046534C" w:rsidRPr="00FA281A" w14:paraId="1901C2A3" w14:textId="5A62D827" w:rsidTr="0083024B">
        <w:trPr>
          <w:trHeight w:val="288"/>
        </w:trPr>
        <w:tc>
          <w:tcPr>
            <w:tcW w:w="485" w:type="dxa"/>
            <w:shd w:val="clear" w:color="auto" w:fill="FFFFFF" w:themeFill="background1"/>
          </w:tcPr>
          <w:p w14:paraId="47B9B5E4" w14:textId="77777777" w:rsidR="0046534C" w:rsidRPr="00FA281A" w:rsidRDefault="0046534C" w:rsidP="0046534C">
            <w:pPr>
              <w:spacing w:after="0" w:line="240" w:lineRule="auto"/>
              <w:rPr>
                <w:rFonts w:ascii="Times New Roman" w:eastAsia="Times New Roman" w:hAnsi="Times New Roman" w:cs="Times New Roman"/>
                <w:color w:val="000000" w:themeColor="text1"/>
                <w:lang w:eastAsia="en-ZA"/>
              </w:rPr>
            </w:pPr>
            <w:r>
              <w:rPr>
                <w:rFonts w:ascii="Times New Roman" w:eastAsia="Times New Roman" w:hAnsi="Times New Roman" w:cs="Times New Roman"/>
                <w:color w:val="000000" w:themeColor="text1"/>
                <w:lang w:eastAsia="en-ZA"/>
              </w:rPr>
              <w:t>25</w:t>
            </w:r>
          </w:p>
        </w:tc>
        <w:tc>
          <w:tcPr>
            <w:tcW w:w="1925" w:type="dxa"/>
            <w:shd w:val="clear" w:color="auto" w:fill="FFFFFF" w:themeFill="background1"/>
            <w:vAlign w:val="center"/>
            <w:hideMark/>
          </w:tcPr>
          <w:p w14:paraId="3A83C345" w14:textId="77777777" w:rsidR="0046534C" w:rsidRPr="00FA281A" w:rsidRDefault="0046534C" w:rsidP="0046534C">
            <w:pPr>
              <w:spacing w:after="0" w:line="240" w:lineRule="auto"/>
              <w:rPr>
                <w:rFonts w:ascii="Times New Roman" w:eastAsia="Times New Roman" w:hAnsi="Times New Roman" w:cs="Times New Roman"/>
                <w:color w:val="000000" w:themeColor="text1"/>
                <w:lang w:eastAsia="en-ZA"/>
              </w:rPr>
            </w:pPr>
            <w:r w:rsidRPr="00FA281A">
              <w:rPr>
                <w:rFonts w:ascii="Times New Roman" w:eastAsia="Times New Roman" w:hAnsi="Times New Roman" w:cs="Times New Roman"/>
                <w:color w:val="000000" w:themeColor="text1"/>
                <w:lang w:eastAsia="en-ZA"/>
              </w:rPr>
              <w:t>Sorafenib</w:t>
            </w:r>
          </w:p>
        </w:tc>
        <w:tc>
          <w:tcPr>
            <w:tcW w:w="2136" w:type="dxa"/>
            <w:shd w:val="clear" w:color="auto" w:fill="FFFFFF" w:themeFill="background1"/>
            <w:noWrap/>
            <w:vAlign w:val="bottom"/>
            <w:hideMark/>
          </w:tcPr>
          <w:p w14:paraId="6BE706EE" w14:textId="54A89913" w:rsidR="0046534C" w:rsidRPr="00FA281A" w:rsidRDefault="0046534C" w:rsidP="0046534C">
            <w:pPr>
              <w:spacing w:after="0" w:line="240" w:lineRule="auto"/>
              <w:rPr>
                <w:rFonts w:ascii="Times New Roman" w:eastAsia="Times New Roman" w:hAnsi="Times New Roman" w:cs="Times New Roman"/>
                <w:color w:val="000000" w:themeColor="text1"/>
                <w:lang w:eastAsia="en-ZA"/>
              </w:rPr>
            </w:pPr>
            <w:r w:rsidRPr="00FA281A">
              <w:rPr>
                <w:rFonts w:ascii="Times New Roman" w:eastAsia="Times New Roman" w:hAnsi="Times New Roman" w:cs="Times New Roman"/>
                <w:color w:val="000000" w:themeColor="text1"/>
                <w:lang w:eastAsia="en-ZA"/>
              </w:rPr>
              <w:t>Raf-1, and VEGFR-2</w:t>
            </w:r>
          </w:p>
        </w:tc>
        <w:tc>
          <w:tcPr>
            <w:tcW w:w="4923" w:type="dxa"/>
            <w:shd w:val="clear" w:color="auto" w:fill="FFFFFF" w:themeFill="background1"/>
            <w:vAlign w:val="center"/>
          </w:tcPr>
          <w:p w14:paraId="1D0B4762" w14:textId="51A5561B" w:rsidR="0046534C" w:rsidRPr="00FA281A" w:rsidRDefault="0046534C" w:rsidP="0046534C">
            <w:pPr>
              <w:spacing w:after="0" w:line="240" w:lineRule="auto"/>
              <w:rPr>
                <w:rFonts w:ascii="Times New Roman" w:eastAsia="Times New Roman" w:hAnsi="Times New Roman" w:cs="Times New Roman"/>
                <w:color w:val="000000" w:themeColor="text1"/>
                <w:lang w:eastAsia="en-ZA"/>
              </w:rPr>
            </w:pPr>
            <w:r w:rsidRPr="00FA281A">
              <w:rPr>
                <w:rFonts w:ascii="Times New Roman" w:eastAsia="Times New Roman" w:hAnsi="Times New Roman" w:cs="Times New Roman"/>
                <w:color w:val="000000" w:themeColor="text1"/>
                <w:lang w:eastAsia="en-ZA"/>
              </w:rPr>
              <w:t>Sorafenib</w:t>
            </w:r>
            <w:r w:rsidR="009D132B">
              <w:rPr>
                <w:rFonts w:ascii="Times New Roman" w:eastAsia="Times New Roman" w:hAnsi="Times New Roman" w:cs="Times New Roman"/>
                <w:color w:val="000000" w:themeColor="text1"/>
                <w:lang w:eastAsia="en-ZA"/>
              </w:rPr>
              <w:t xml:space="preserve"> is given for leukemia treatment</w:t>
            </w:r>
            <w:r w:rsidR="009D132B">
              <w:rPr>
                <w:rFonts w:ascii="Times New Roman" w:eastAsia="Times New Roman" w:hAnsi="Times New Roman" w:cs="Times New Roman"/>
                <w:color w:val="000000" w:themeColor="text1"/>
                <w:lang w:eastAsia="en-ZA"/>
              </w:rPr>
              <w:fldChar w:fldCharType="begin"/>
            </w:r>
            <w:r w:rsidR="009D132B">
              <w:rPr>
                <w:rFonts w:ascii="Times New Roman" w:eastAsia="Times New Roman" w:hAnsi="Times New Roman" w:cs="Times New Roman"/>
                <w:color w:val="000000" w:themeColor="text1"/>
                <w:lang w:eastAsia="en-ZA"/>
              </w:rPr>
              <w:instrText xml:space="preserve"> ADDIN ZOTERO_ITEM CSL_CITATION {"citationID":"dLrXcOr5","properties":{"formattedCitation":"\\super 23\\nosupersub{}","plainCitation":"23","noteIndex":0},"citationItems":[{"id":168,"uris":["http://zotero.org/users/local/qSoqcP4W/items/VX2GB5B8"],"itemData":{"id":168,"type":"article-journal","abstract":"Background\nChemoresistance often limits the success of the pharmacological treatment in acute myeloid leukemia (AML) patients. Although positive results have been obtained with tyrosine kinase inhibitors (TKIs), such as sorafenib, especially in patients with Fms-like tyrosine kinase 3 (FLT3)-positive AML, the success of chemotherapy is very heterogeneous. Here we have investigated in vitro whether the transportome (set of expressed plasma membrane transporters) is involved in the differential response of AML to sorafenib.\n\nMethods\nThe sensitivity to sorafenib-induced cell death (MTT test and anexin V/7-AAD method) was evaluated in five different cell lines: MOLM-13, OCI-AML2, HL-60, HEL and K-562. The transportome was characterized by measuring mRNA using RT-qPCR. Drug uptake/efflux was determined by flow cytometry using specific substrates and inhibitors.\n\nResults\nThe cytostatic response to sorafenib was: MOLM-13&gt;&gt;OCI-AML2&gt;HL-60&gt;HEL≈K-562. Regarding efflux pumps, MDR1 was highly expressed in HEL&gt;K-562≈MOLM-13, but not in OCI-AML2 and HL-60. BCRP and MPR3 expression was low in all cell lines, whereas MRP4 and MRP5 expression was from moderate to high. Flow cytometry studies demonstrated that MRP4, but not MRP5, was functional. The expression of the organic cation transporter 1 (OCT1), involved in sorafenib uptake, was MOLM-13&gt;OCI-AML2≈HL-60 and non detectable in HEL and K-562. Transfection of HEL cells with OCT1 increased the sensitivity of these cells to sorafenib, whereas inactive genetic variants failed to induce this change.\n\nConclusion\nTogether with changes in the expression/function of receptors targeted by TKIs, the expression of plasma membrane transporters involved in sorafenib uptake/efflux may affect the response of leukemia cells to this drug.","container-title":"Oncotarget","DOI":"10.18632/oncotarget.25494","ISSN":"1949-2553","issue":"47","journalAbbreviation":"Oncotarget","note":"PMID: 29983874\nPMCID: PMC6033373","page":"28474-28485","source":"PubMed Central","title":"Role of drug transporters in the sensitivity of acute myeloid leukemia to sorafenib","volume":"9","author":[{"family":"Macias","given":"Rocio I.R."},{"family":"Sánchez-Martín","given":"Anabel"},{"family":"Rodríguez-Macías","given":"Gabriela"},{"family":"Sánchez-Abarca","given":"Luis I."},{"family":"Lozano","given":"Elisa"},{"family":"Herraez","given":"Elisa"},{"family":"Odero","given":"Maria D."},{"family":"Díez-Martín","given":"José L."},{"family":"Marin","given":"Jose J.G."},{"family":"Briz","given":"Oscar"}],"issued":{"date-parts":[["2018",6,19]]}}}],"schema":"https://github.com/citation-style-language/schema/raw/master/csl-citation.json"} </w:instrText>
            </w:r>
            <w:r w:rsidR="009D132B">
              <w:rPr>
                <w:rFonts w:ascii="Times New Roman" w:eastAsia="Times New Roman" w:hAnsi="Times New Roman" w:cs="Times New Roman"/>
                <w:color w:val="000000" w:themeColor="text1"/>
                <w:lang w:eastAsia="en-ZA"/>
              </w:rPr>
              <w:fldChar w:fldCharType="separate"/>
            </w:r>
            <w:r w:rsidR="009D132B" w:rsidRPr="009D132B">
              <w:rPr>
                <w:rFonts w:ascii="Times New Roman" w:hAnsi="Times New Roman" w:cs="Times New Roman"/>
                <w:vertAlign w:val="superscript"/>
              </w:rPr>
              <w:t>23</w:t>
            </w:r>
            <w:r w:rsidR="009D132B">
              <w:rPr>
                <w:rFonts w:ascii="Times New Roman" w:eastAsia="Times New Roman" w:hAnsi="Times New Roman" w:cs="Times New Roman"/>
                <w:color w:val="000000" w:themeColor="text1"/>
                <w:lang w:eastAsia="en-ZA"/>
              </w:rPr>
              <w:fldChar w:fldCharType="end"/>
            </w:r>
            <w:r w:rsidR="009D132B">
              <w:rPr>
                <w:rFonts w:ascii="Times New Roman" w:eastAsia="Times New Roman" w:hAnsi="Times New Roman" w:cs="Times New Roman"/>
                <w:color w:val="000000" w:themeColor="text1"/>
                <w:lang w:eastAsia="en-ZA"/>
              </w:rPr>
              <w:t>.</w:t>
            </w:r>
          </w:p>
        </w:tc>
      </w:tr>
      <w:tr w:rsidR="0046534C" w:rsidRPr="00FA281A" w14:paraId="09D79135" w14:textId="54BE2DB4" w:rsidTr="0083024B">
        <w:trPr>
          <w:trHeight w:val="288"/>
        </w:trPr>
        <w:tc>
          <w:tcPr>
            <w:tcW w:w="485" w:type="dxa"/>
            <w:shd w:val="clear" w:color="auto" w:fill="FFFFFF" w:themeFill="background1"/>
          </w:tcPr>
          <w:p w14:paraId="7394A986" w14:textId="77777777" w:rsidR="0046534C" w:rsidRPr="00FA281A" w:rsidRDefault="0046534C" w:rsidP="0046534C">
            <w:pPr>
              <w:spacing w:after="0" w:line="240" w:lineRule="auto"/>
              <w:rPr>
                <w:rFonts w:ascii="Times New Roman" w:eastAsia="Times New Roman" w:hAnsi="Times New Roman" w:cs="Times New Roman"/>
                <w:color w:val="000000" w:themeColor="text1"/>
                <w:lang w:eastAsia="en-ZA"/>
              </w:rPr>
            </w:pPr>
            <w:r>
              <w:rPr>
                <w:rFonts w:ascii="Times New Roman" w:eastAsia="Times New Roman" w:hAnsi="Times New Roman" w:cs="Times New Roman"/>
                <w:color w:val="000000" w:themeColor="text1"/>
                <w:lang w:eastAsia="en-ZA"/>
              </w:rPr>
              <w:t>26</w:t>
            </w:r>
          </w:p>
        </w:tc>
        <w:tc>
          <w:tcPr>
            <w:tcW w:w="1925" w:type="dxa"/>
            <w:shd w:val="clear" w:color="auto" w:fill="FFFFFF" w:themeFill="background1"/>
            <w:vAlign w:val="center"/>
            <w:hideMark/>
          </w:tcPr>
          <w:p w14:paraId="2938705E" w14:textId="77777777" w:rsidR="0046534C" w:rsidRPr="00FA281A" w:rsidRDefault="0046534C" w:rsidP="0046534C">
            <w:pPr>
              <w:spacing w:after="0" w:line="240" w:lineRule="auto"/>
              <w:rPr>
                <w:rFonts w:ascii="Times New Roman" w:eastAsia="Times New Roman" w:hAnsi="Times New Roman" w:cs="Times New Roman"/>
                <w:color w:val="000000" w:themeColor="text1"/>
                <w:lang w:eastAsia="en-ZA"/>
              </w:rPr>
            </w:pPr>
            <w:r w:rsidRPr="00FA281A">
              <w:rPr>
                <w:rFonts w:ascii="Times New Roman" w:eastAsia="Times New Roman" w:hAnsi="Times New Roman" w:cs="Times New Roman"/>
                <w:color w:val="000000" w:themeColor="text1"/>
                <w:lang w:eastAsia="en-ZA"/>
              </w:rPr>
              <w:t>Tacrolimus</w:t>
            </w:r>
          </w:p>
        </w:tc>
        <w:tc>
          <w:tcPr>
            <w:tcW w:w="2136" w:type="dxa"/>
            <w:shd w:val="clear" w:color="auto" w:fill="FFFFFF" w:themeFill="background1"/>
            <w:noWrap/>
            <w:vAlign w:val="bottom"/>
            <w:hideMark/>
          </w:tcPr>
          <w:p w14:paraId="753B9532" w14:textId="2B8AABD7" w:rsidR="0046534C" w:rsidRPr="00FA281A" w:rsidRDefault="0046534C" w:rsidP="0046534C">
            <w:pPr>
              <w:spacing w:after="0" w:line="240" w:lineRule="auto"/>
              <w:rPr>
                <w:rFonts w:ascii="Times New Roman" w:eastAsia="Times New Roman" w:hAnsi="Times New Roman" w:cs="Times New Roman"/>
                <w:color w:val="000000" w:themeColor="text1"/>
                <w:lang w:eastAsia="en-ZA"/>
              </w:rPr>
            </w:pPr>
            <w:r w:rsidRPr="00FA281A">
              <w:rPr>
                <w:rFonts w:ascii="Times New Roman" w:eastAsia="Times New Roman" w:hAnsi="Times New Roman" w:cs="Times New Roman"/>
                <w:color w:val="000000" w:themeColor="text1"/>
                <w:lang w:eastAsia="en-ZA"/>
              </w:rPr>
              <w:t xml:space="preserve">FKBP12 </w:t>
            </w:r>
          </w:p>
        </w:tc>
        <w:tc>
          <w:tcPr>
            <w:tcW w:w="4923" w:type="dxa"/>
            <w:shd w:val="clear" w:color="auto" w:fill="FFFFFF" w:themeFill="background1"/>
            <w:vAlign w:val="center"/>
          </w:tcPr>
          <w:p w14:paraId="1EEC2796" w14:textId="4FFABF37" w:rsidR="0046534C" w:rsidRPr="00FA281A" w:rsidRDefault="0046534C" w:rsidP="0046534C">
            <w:pPr>
              <w:spacing w:after="0" w:line="240" w:lineRule="auto"/>
              <w:rPr>
                <w:rFonts w:ascii="Times New Roman" w:eastAsia="Times New Roman" w:hAnsi="Times New Roman" w:cs="Times New Roman"/>
                <w:color w:val="000000" w:themeColor="text1"/>
                <w:lang w:eastAsia="en-ZA"/>
              </w:rPr>
            </w:pPr>
            <w:r w:rsidRPr="00FA281A">
              <w:rPr>
                <w:rFonts w:ascii="Times New Roman" w:eastAsia="Times New Roman" w:hAnsi="Times New Roman" w:cs="Times New Roman"/>
                <w:color w:val="000000" w:themeColor="text1"/>
                <w:lang w:eastAsia="en-ZA"/>
              </w:rPr>
              <w:t>Tacrolimus</w:t>
            </w:r>
            <w:r w:rsidR="009D132B">
              <w:rPr>
                <w:rFonts w:ascii="Times New Roman" w:eastAsia="Times New Roman" w:hAnsi="Times New Roman" w:cs="Times New Roman"/>
                <w:color w:val="000000" w:themeColor="text1"/>
                <w:lang w:eastAsia="en-ZA"/>
              </w:rPr>
              <w:t xml:space="preserve"> is given for leukemia treatment</w:t>
            </w:r>
            <w:r w:rsidR="009D132B">
              <w:rPr>
                <w:rFonts w:ascii="Times New Roman" w:eastAsia="Times New Roman" w:hAnsi="Times New Roman" w:cs="Times New Roman"/>
                <w:color w:val="000000" w:themeColor="text1"/>
                <w:lang w:eastAsia="en-ZA"/>
              </w:rPr>
              <w:fldChar w:fldCharType="begin"/>
            </w:r>
            <w:r w:rsidR="009D132B">
              <w:rPr>
                <w:rFonts w:ascii="Times New Roman" w:eastAsia="Times New Roman" w:hAnsi="Times New Roman" w:cs="Times New Roman"/>
                <w:color w:val="000000" w:themeColor="text1"/>
                <w:lang w:eastAsia="en-ZA"/>
              </w:rPr>
              <w:instrText xml:space="preserve"> ADDIN ZOTERO_ITEM CSL_CITATION {"citationID":"tSbanSXL","properties":{"formattedCitation":"\\super 24\\nosupersub{}","plainCitation":"24","noteIndex":0},"citationItems":[{"id":165,"uris":["http://zotero.org/users/local/qSoqcP4W/items/NI9W9QVU"],"itemData":{"id":165,"type":"article-journal","container-title":"Biology of Blood and Marrow Transplantation","DOI":"10.1016/j.bbmt.2019.09.017","ISSN":"1083-8791, 1523-6536","issue":"2","journalAbbreviation":"Biology of Blood and Marrow Transplantation","language":"English","note":"publisher: Elsevier\nPMID: 31536825","page":"292-299","source":"www.astctjournal.org","title":"Long-Term Outcomes of Patients with Acute Myelogenous Leukemia Treated with Myeloablative Fractionated Total Body Irradiation TBI-Based Conditioning with a Tacrolimus- and Sirolimus-Based Graft-versus-Host Disease Prophylaxis Regimen: 6-Year Follow-Up from a Single Center","title-short":"Long-Term Outcomes of Patients with Acute Myelogenous Leukemia Treated with Myeloablative Fractionated Total Body Irradiation TBI-Based Conditioning with a Tacrolimus- and Sirolimus-Based Graft-versus-Host Disease Prophylaxis Regimen","volume":"26","author":[{"family":"Salhotra","given":"Amandeep"},{"family":"Hui","given":"Susanta"},{"family":"Yang","given":"Dongyun"},{"family":"Mokhtari","given":"Sally"},{"family":"Mei","given":"Matthew"},{"family":"Malki","given":"Monzr M. Al"},{"family":"Aldoss","given":"Ibrahim"},{"family":"Ali","given":"Haris"},{"family":"Sandhu","given":"Karamjeet S."},{"family":"Aribi","given":"Ahmed"},{"family":"Khaled","given":"Samer"},{"family":"Dandapani","given":"Savita"},{"family":"Peng","given":"Kelly"},{"family":"Teh","given":"Jennifer Berano"},{"family":"Murata-Collins","given":"Joyce"},{"family":"Budde","given":"Elizabeth"},{"family":"Dadwal","given":"Sanjeet"},{"family":"Pullarkat","given":"Vinod"},{"family":"Snyder","given":"David"},{"family":"Spielberger","given":"Ricardo"},{"family":"Wong","given":"Jeffry"},{"family":"Armenian","given":"Saro"},{"family":"Marcucci","given":"Guido"},{"family":"Forman","given":"Stephen J."},{"family":"Nakamura","given":"Ryotaro"},{"family":"Stein","given":"Anthony"}],"issued":{"date-parts":[["2020",2,1]]}}}],"schema":"https://github.com/citation-style-language/schema/raw/master/csl-citation.json"} </w:instrText>
            </w:r>
            <w:r w:rsidR="009D132B">
              <w:rPr>
                <w:rFonts w:ascii="Times New Roman" w:eastAsia="Times New Roman" w:hAnsi="Times New Roman" w:cs="Times New Roman"/>
                <w:color w:val="000000" w:themeColor="text1"/>
                <w:lang w:eastAsia="en-ZA"/>
              </w:rPr>
              <w:fldChar w:fldCharType="separate"/>
            </w:r>
            <w:r w:rsidR="009D132B" w:rsidRPr="009D132B">
              <w:rPr>
                <w:rFonts w:ascii="Times New Roman" w:hAnsi="Times New Roman" w:cs="Times New Roman"/>
                <w:vertAlign w:val="superscript"/>
              </w:rPr>
              <w:t>24</w:t>
            </w:r>
            <w:r w:rsidR="009D132B">
              <w:rPr>
                <w:rFonts w:ascii="Times New Roman" w:eastAsia="Times New Roman" w:hAnsi="Times New Roman" w:cs="Times New Roman"/>
                <w:color w:val="000000" w:themeColor="text1"/>
                <w:lang w:eastAsia="en-ZA"/>
              </w:rPr>
              <w:fldChar w:fldCharType="end"/>
            </w:r>
            <w:r w:rsidR="009D132B">
              <w:rPr>
                <w:rFonts w:ascii="Times New Roman" w:eastAsia="Times New Roman" w:hAnsi="Times New Roman" w:cs="Times New Roman"/>
                <w:color w:val="000000" w:themeColor="text1"/>
                <w:lang w:eastAsia="en-ZA"/>
              </w:rPr>
              <w:t>.</w:t>
            </w:r>
          </w:p>
        </w:tc>
      </w:tr>
      <w:tr w:rsidR="0046534C" w:rsidRPr="00FA281A" w14:paraId="7715DC1A" w14:textId="64B76D1F" w:rsidTr="0083024B">
        <w:trPr>
          <w:trHeight w:val="288"/>
        </w:trPr>
        <w:tc>
          <w:tcPr>
            <w:tcW w:w="485" w:type="dxa"/>
            <w:shd w:val="clear" w:color="auto" w:fill="FFFFFF" w:themeFill="background1"/>
          </w:tcPr>
          <w:p w14:paraId="2DEA636A" w14:textId="77777777" w:rsidR="0046534C" w:rsidRPr="00FA281A" w:rsidRDefault="0046534C" w:rsidP="0046534C">
            <w:pPr>
              <w:spacing w:after="0" w:line="240" w:lineRule="auto"/>
              <w:rPr>
                <w:rFonts w:ascii="Times New Roman" w:eastAsia="Times New Roman" w:hAnsi="Times New Roman" w:cs="Times New Roman"/>
                <w:color w:val="000000" w:themeColor="text1"/>
                <w:lang w:eastAsia="en-ZA"/>
              </w:rPr>
            </w:pPr>
            <w:r>
              <w:rPr>
                <w:rFonts w:ascii="Times New Roman" w:eastAsia="Times New Roman" w:hAnsi="Times New Roman" w:cs="Times New Roman"/>
                <w:color w:val="000000" w:themeColor="text1"/>
                <w:lang w:eastAsia="en-ZA"/>
              </w:rPr>
              <w:t>27</w:t>
            </w:r>
          </w:p>
        </w:tc>
        <w:tc>
          <w:tcPr>
            <w:tcW w:w="1925" w:type="dxa"/>
            <w:shd w:val="clear" w:color="auto" w:fill="FFFFFF" w:themeFill="background1"/>
            <w:vAlign w:val="center"/>
            <w:hideMark/>
          </w:tcPr>
          <w:p w14:paraId="13F4A616" w14:textId="77777777" w:rsidR="0046534C" w:rsidRPr="00FA281A" w:rsidRDefault="0046534C" w:rsidP="0046534C">
            <w:pPr>
              <w:spacing w:after="0" w:line="240" w:lineRule="auto"/>
              <w:rPr>
                <w:rFonts w:ascii="Times New Roman" w:eastAsia="Times New Roman" w:hAnsi="Times New Roman" w:cs="Times New Roman"/>
                <w:color w:val="000000" w:themeColor="text1"/>
                <w:lang w:eastAsia="en-ZA"/>
              </w:rPr>
            </w:pPr>
            <w:r w:rsidRPr="00FA281A">
              <w:rPr>
                <w:rFonts w:ascii="Times New Roman" w:eastAsia="Times New Roman" w:hAnsi="Times New Roman" w:cs="Times New Roman"/>
                <w:color w:val="000000" w:themeColor="text1"/>
                <w:lang w:eastAsia="en-ZA"/>
              </w:rPr>
              <w:t>Temsirolimus</w:t>
            </w:r>
          </w:p>
        </w:tc>
        <w:tc>
          <w:tcPr>
            <w:tcW w:w="2136" w:type="dxa"/>
            <w:shd w:val="clear" w:color="auto" w:fill="FFFFFF" w:themeFill="background1"/>
            <w:noWrap/>
            <w:vAlign w:val="bottom"/>
            <w:hideMark/>
          </w:tcPr>
          <w:p w14:paraId="2B9465E5" w14:textId="42F064B3" w:rsidR="0046534C" w:rsidRPr="00FA281A" w:rsidRDefault="0046534C" w:rsidP="0046534C">
            <w:pPr>
              <w:spacing w:after="0" w:line="240" w:lineRule="auto"/>
              <w:rPr>
                <w:rFonts w:ascii="Times New Roman" w:eastAsia="Times New Roman" w:hAnsi="Times New Roman" w:cs="Times New Roman"/>
                <w:color w:val="000000" w:themeColor="text1"/>
                <w:lang w:eastAsia="en-ZA"/>
              </w:rPr>
            </w:pPr>
            <w:r>
              <w:rPr>
                <w:rFonts w:ascii="Times New Roman" w:eastAsia="Times New Roman" w:hAnsi="Times New Roman" w:cs="Times New Roman"/>
                <w:color w:val="000000" w:themeColor="text1"/>
                <w:lang w:eastAsia="en-ZA"/>
              </w:rPr>
              <w:t xml:space="preserve">mTOR </w:t>
            </w:r>
            <w:r w:rsidRPr="00FA281A">
              <w:rPr>
                <w:rFonts w:ascii="Times New Roman" w:eastAsia="Times New Roman" w:hAnsi="Times New Roman" w:cs="Times New Roman"/>
                <w:color w:val="000000" w:themeColor="text1"/>
                <w:lang w:eastAsia="en-ZA"/>
              </w:rPr>
              <w:t>inhibition</w:t>
            </w:r>
          </w:p>
        </w:tc>
        <w:tc>
          <w:tcPr>
            <w:tcW w:w="4923" w:type="dxa"/>
            <w:shd w:val="clear" w:color="auto" w:fill="FFFFFF" w:themeFill="background1"/>
            <w:vAlign w:val="center"/>
          </w:tcPr>
          <w:p w14:paraId="6BE230F9" w14:textId="135FFD8B" w:rsidR="0046534C" w:rsidRPr="00FA281A" w:rsidRDefault="0046534C" w:rsidP="0046534C">
            <w:pPr>
              <w:spacing w:after="0" w:line="240" w:lineRule="auto"/>
              <w:rPr>
                <w:rFonts w:ascii="Times New Roman" w:eastAsia="Times New Roman" w:hAnsi="Times New Roman" w:cs="Times New Roman"/>
                <w:color w:val="000000" w:themeColor="text1"/>
                <w:lang w:eastAsia="en-ZA"/>
              </w:rPr>
            </w:pPr>
            <w:r w:rsidRPr="00FA281A">
              <w:rPr>
                <w:rFonts w:ascii="Times New Roman" w:eastAsia="Times New Roman" w:hAnsi="Times New Roman" w:cs="Times New Roman"/>
                <w:color w:val="000000" w:themeColor="text1"/>
                <w:lang w:eastAsia="en-ZA"/>
              </w:rPr>
              <w:t>Temsirolimus</w:t>
            </w:r>
            <w:r w:rsidR="009D132B">
              <w:rPr>
                <w:rFonts w:ascii="Times New Roman" w:eastAsia="Times New Roman" w:hAnsi="Times New Roman" w:cs="Times New Roman"/>
                <w:color w:val="000000" w:themeColor="text1"/>
                <w:lang w:eastAsia="en-ZA"/>
              </w:rPr>
              <w:t xml:space="preserve"> is given for leukemia treatment</w:t>
            </w:r>
            <w:r w:rsidR="009D132B">
              <w:rPr>
                <w:rFonts w:ascii="Times New Roman" w:eastAsia="Times New Roman" w:hAnsi="Times New Roman" w:cs="Times New Roman"/>
                <w:color w:val="000000" w:themeColor="text1"/>
                <w:lang w:eastAsia="en-ZA"/>
              </w:rPr>
              <w:fldChar w:fldCharType="begin"/>
            </w:r>
            <w:r w:rsidR="009D132B">
              <w:rPr>
                <w:rFonts w:ascii="Times New Roman" w:eastAsia="Times New Roman" w:hAnsi="Times New Roman" w:cs="Times New Roman"/>
                <w:color w:val="000000" w:themeColor="text1"/>
                <w:lang w:eastAsia="en-ZA"/>
              </w:rPr>
              <w:instrText xml:space="preserve"> ADDIN ZOTERO_ITEM CSL_CITATION {"citationID":"WmR8l1EI","properties":{"formattedCitation":"\\super 25\\nosupersub{}","plainCitation":"25","noteIndex":0},"citationItems":[{"id":162,"uris":["http://zotero.org/users/local/qSoqcP4W/items/FBVQ7MMW"],"itemData":{"id":162,"type":"article-journal","abstract":"Phosphatidylinositol 3-kinase (PI3K)/mammalian target of rapamycin (mTOR) signaling is commonly dysregulated in acute lymphoblastic leukemia (ALL). The TACL2014-001 phase I trial of the mTOR inhibitor temsirolimus in combination with cyclophosphamide and etoposide was performed in children and adolescents with relapsed/refractory ALL. Temsirolimus was administered intravenously (IV) on days 1 and 8 with cyclophosphamide 440 mg/m2 and etoposide 100 mg/m2 IV daily on days 1-5. The starting dose of temsirolimus was 7.5 mg/m2 (DL1) with escalation to 10 mg/m2 (DL2), 15 mg/m2 (DL3), and 25 mg/m2 (DL4). PI3K/mTOR pathway inhibition was measured by phosphoflow cytometry analysis of peripheral blood specimens from treated patients. Sixteen heavily-pretreated patients were enrolled with 15 evaluable for toxicity. One dose-limiting toxicity of grade 4 pleural and pericardial effusions occurred in a patient treated at DL3. Additional dose-limiting toxicities were not seen in the DL3 expansion or DL4 cohort. Grade 3/4 non-hematologic toxicities occurring in three or more patients included febrile neutropenia, elevated alanine aminotransferase, hypokalemia, mucositis, and tumor lysis syndrome and occurred across all doses. Response and complete were observed at all dose levels with a 47% overall response rate and 27% complete response rate. Pharmacodynamic correlative studies demonstrated dose-dependent inhibition of PI3K/mTOR pathway phosphoproteins in all studied patients. Temsirolimus at doses up to 25 mg/m2 with cyclophosphamide and etoposide had an acceptable safety profile in children with relapsed/refractory ALL. Pharmacodynamic mTOR target inhibition was achieved and appeared to correlate with temsirolimus dose. Future testing of next-generation PI3K/mTOR pathway inhibitors with chemotherapy may be warranted to increase response rates in children with relapsed/refractory ALL.","container-title":"Haematologica","DOI":"10.3324/haematol.2021.279520","ISSN":"0390-6078","issue":"10","journalAbbreviation":"Haematologica","note":"PMID: 35112552\nPMCID: PMC9521241","page":"2295-2303","source":"PubMed Central","title":"Temsirolimus combined with cyclophosphamide and etoposide for pediatric patients with relapsed/refractory acute lymphoblastic leukemia: a Therapeutic Advances in Childhood Leukemia Consortium trial (TACL 2014-001)","title-short":"Temsirolimus combined with cyclophosphamide and etoposide for pediatric patients with relapsed/refractory acute lymphoblastic leukemia","volume":"107","author":[{"family":"Tasian","given":"Sarah K."},{"family":"Silverman","given":"Lewis B."},{"family":"Whitlock","given":"James A."},{"family":"Sposto","given":"Richard"},{"family":"Loftus","given":"Joseph P."},{"family":"Schafer","given":"Eric S."},{"family":"Schultz","given":"Kirk R."},{"family":"Hutchinson","given":"Raymond J."},{"family":"Gaynon","given":"Paul S."},{"family":"Orgel","given":"Etan"},{"family":"Bateman","given":"Caroline M."},{"family":"Cooper","given":"Todd M."},{"family":"Laetsch","given":"Theodore W."},{"family":"Sulis","given":"Maria Luisa"},{"family":"Chi","given":"Yueh-Yun"},{"family":"Malvar","given":"Jemily"},{"family":"Wayne","given":"Alan S."},{"family":"Rheingold","given":"Susan R."}],"issued":{"date-parts":[["2022",2,3]]}}}],"schema":"https://github.com/citation-style-language/schema/raw/master/csl-citation.json"} </w:instrText>
            </w:r>
            <w:r w:rsidR="009D132B">
              <w:rPr>
                <w:rFonts w:ascii="Times New Roman" w:eastAsia="Times New Roman" w:hAnsi="Times New Roman" w:cs="Times New Roman"/>
                <w:color w:val="000000" w:themeColor="text1"/>
                <w:lang w:eastAsia="en-ZA"/>
              </w:rPr>
              <w:fldChar w:fldCharType="separate"/>
            </w:r>
            <w:r w:rsidR="009D132B" w:rsidRPr="009D132B">
              <w:rPr>
                <w:rFonts w:ascii="Times New Roman" w:hAnsi="Times New Roman" w:cs="Times New Roman"/>
                <w:vertAlign w:val="superscript"/>
              </w:rPr>
              <w:t>25</w:t>
            </w:r>
            <w:r w:rsidR="009D132B">
              <w:rPr>
                <w:rFonts w:ascii="Times New Roman" w:eastAsia="Times New Roman" w:hAnsi="Times New Roman" w:cs="Times New Roman"/>
                <w:color w:val="000000" w:themeColor="text1"/>
                <w:lang w:eastAsia="en-ZA"/>
              </w:rPr>
              <w:fldChar w:fldCharType="end"/>
            </w:r>
          </w:p>
        </w:tc>
      </w:tr>
      <w:tr w:rsidR="0046534C" w:rsidRPr="00FA281A" w14:paraId="5E9B6A7D" w14:textId="5F7DC42E" w:rsidTr="0083024B">
        <w:trPr>
          <w:trHeight w:val="288"/>
        </w:trPr>
        <w:tc>
          <w:tcPr>
            <w:tcW w:w="485" w:type="dxa"/>
            <w:shd w:val="clear" w:color="auto" w:fill="FFFFFF" w:themeFill="background1"/>
          </w:tcPr>
          <w:p w14:paraId="1CA9D074" w14:textId="77777777" w:rsidR="0046534C" w:rsidRPr="00FA281A" w:rsidRDefault="0046534C" w:rsidP="0046534C">
            <w:pPr>
              <w:spacing w:after="0" w:line="240" w:lineRule="auto"/>
              <w:rPr>
                <w:rFonts w:ascii="Times New Roman" w:eastAsia="Times New Roman" w:hAnsi="Times New Roman" w:cs="Times New Roman"/>
                <w:color w:val="000000" w:themeColor="text1"/>
                <w:lang w:eastAsia="en-ZA"/>
              </w:rPr>
            </w:pPr>
            <w:r>
              <w:rPr>
                <w:rFonts w:ascii="Times New Roman" w:eastAsia="Times New Roman" w:hAnsi="Times New Roman" w:cs="Times New Roman"/>
                <w:color w:val="000000" w:themeColor="text1"/>
                <w:lang w:eastAsia="en-ZA"/>
              </w:rPr>
              <w:t>28</w:t>
            </w:r>
          </w:p>
        </w:tc>
        <w:tc>
          <w:tcPr>
            <w:tcW w:w="1925" w:type="dxa"/>
            <w:shd w:val="clear" w:color="auto" w:fill="FFFFFF" w:themeFill="background1"/>
            <w:vAlign w:val="center"/>
            <w:hideMark/>
          </w:tcPr>
          <w:p w14:paraId="39AEA11F" w14:textId="77777777" w:rsidR="0046534C" w:rsidRPr="00FA281A" w:rsidRDefault="0046534C" w:rsidP="0046534C">
            <w:pPr>
              <w:spacing w:after="0" w:line="240" w:lineRule="auto"/>
              <w:rPr>
                <w:rFonts w:ascii="Times New Roman" w:eastAsia="Times New Roman" w:hAnsi="Times New Roman" w:cs="Times New Roman"/>
                <w:color w:val="000000" w:themeColor="text1"/>
                <w:lang w:eastAsia="en-ZA"/>
              </w:rPr>
            </w:pPr>
            <w:r w:rsidRPr="00FA281A">
              <w:rPr>
                <w:rFonts w:ascii="Times New Roman" w:eastAsia="Times New Roman" w:hAnsi="Times New Roman" w:cs="Times New Roman"/>
                <w:color w:val="000000" w:themeColor="text1"/>
                <w:lang w:eastAsia="en-ZA"/>
              </w:rPr>
              <w:t>Thalidomide</w:t>
            </w:r>
          </w:p>
        </w:tc>
        <w:tc>
          <w:tcPr>
            <w:tcW w:w="2136" w:type="dxa"/>
            <w:shd w:val="clear" w:color="auto" w:fill="FFFFFF" w:themeFill="background1"/>
            <w:noWrap/>
            <w:vAlign w:val="bottom"/>
            <w:hideMark/>
          </w:tcPr>
          <w:p w14:paraId="7B67F7D4" w14:textId="0E791FC1" w:rsidR="0046534C" w:rsidRPr="00FA281A" w:rsidRDefault="0046534C" w:rsidP="0046534C">
            <w:pPr>
              <w:spacing w:after="0" w:line="240" w:lineRule="auto"/>
              <w:rPr>
                <w:rFonts w:ascii="Times New Roman" w:eastAsia="Times New Roman" w:hAnsi="Times New Roman" w:cs="Times New Roman"/>
                <w:color w:val="000000" w:themeColor="text1"/>
                <w:lang w:eastAsia="en-ZA"/>
              </w:rPr>
            </w:pPr>
            <w:r w:rsidRPr="00FA281A">
              <w:rPr>
                <w:rFonts w:ascii="Times New Roman" w:eastAsia="Times New Roman" w:hAnsi="Times New Roman" w:cs="Times New Roman"/>
                <w:color w:val="000000" w:themeColor="text1"/>
                <w:lang w:eastAsia="en-ZA"/>
              </w:rPr>
              <w:t xml:space="preserve">Immunomodulation, </w:t>
            </w:r>
          </w:p>
        </w:tc>
        <w:tc>
          <w:tcPr>
            <w:tcW w:w="4923" w:type="dxa"/>
            <w:shd w:val="clear" w:color="auto" w:fill="FFFFFF" w:themeFill="background1"/>
            <w:vAlign w:val="center"/>
          </w:tcPr>
          <w:p w14:paraId="76DBFF23" w14:textId="1D5DE2BB" w:rsidR="0046534C" w:rsidRPr="00FA281A" w:rsidRDefault="0046534C" w:rsidP="0046534C">
            <w:pPr>
              <w:spacing w:after="0" w:line="240" w:lineRule="auto"/>
              <w:rPr>
                <w:rFonts w:ascii="Times New Roman" w:eastAsia="Times New Roman" w:hAnsi="Times New Roman" w:cs="Times New Roman"/>
                <w:color w:val="000000" w:themeColor="text1"/>
                <w:lang w:eastAsia="en-ZA"/>
              </w:rPr>
            </w:pPr>
            <w:r w:rsidRPr="00FA281A">
              <w:rPr>
                <w:rFonts w:ascii="Times New Roman" w:eastAsia="Times New Roman" w:hAnsi="Times New Roman" w:cs="Times New Roman"/>
                <w:color w:val="000000" w:themeColor="text1"/>
                <w:lang w:eastAsia="en-ZA"/>
              </w:rPr>
              <w:t>Thalidomide</w:t>
            </w:r>
            <w:r w:rsidR="009D132B">
              <w:rPr>
                <w:rFonts w:ascii="Times New Roman" w:eastAsia="Times New Roman" w:hAnsi="Times New Roman" w:cs="Times New Roman"/>
                <w:color w:val="000000" w:themeColor="text1"/>
                <w:lang w:eastAsia="en-ZA"/>
              </w:rPr>
              <w:t xml:space="preserve"> is given for leukemia treatment</w:t>
            </w:r>
            <w:r w:rsidR="009D132B">
              <w:rPr>
                <w:rFonts w:ascii="Times New Roman" w:eastAsia="Times New Roman" w:hAnsi="Times New Roman" w:cs="Times New Roman"/>
                <w:color w:val="000000" w:themeColor="text1"/>
                <w:lang w:eastAsia="en-ZA"/>
              </w:rPr>
              <w:fldChar w:fldCharType="begin"/>
            </w:r>
            <w:r w:rsidR="009D132B">
              <w:rPr>
                <w:rFonts w:ascii="Times New Roman" w:eastAsia="Times New Roman" w:hAnsi="Times New Roman" w:cs="Times New Roman"/>
                <w:color w:val="000000" w:themeColor="text1"/>
                <w:lang w:eastAsia="en-ZA"/>
              </w:rPr>
              <w:instrText xml:space="preserve"> ADDIN ZOTERO_ITEM CSL_CITATION {"citationID":"GfQ9elpf","properties":{"formattedCitation":"\\super 26\\nosupersub{}","plainCitation":"26","noteIndex":0},"citationItems":[{"id":160,"uris":["http://zotero.org/users/local/qSoqcP4W/items/WHCUX8NV"],"itemData":{"id":160,"type":"article-journal","abstract":"In analogy to solid neoplasms, accumulating data suggest the requirement of angiogenesis also for the development and progression of hematopoietic malignancies including acute myeloid leukemia (AML). Inhibition of increased microvessel density in bone marrow (BM) might be a promising target for pharmacological interventions aimed at reducing disease activity. Among the putative inhibitors of angiogenesis, thalidomide has demonstrated a considerable efficacy in myelodysplastic syndromes (MDS) and AML with overall response rates up to 56% and 25%, respectively. Responders experienced hematologic improvements with increased hemoglobin and platelet counts resulting in temporary transfusion independence. In AML, partial responses--defined as reduction of the leukemic blast cell infiltration of at least 50% in BM--occurred in four of 20 patients after one month of thalidomide administration in a previous phase I/II study. Additionally, we observed a long-term response in one AML patient of more than 20 months, meanwhile fulfilling the criteria of complete remission. The decrease in leukemic blast infiltration in BM of responders was accompanied by a significant reduction of the microvessel density. Overall adverse events caused by the drug consisted mainly of fatigue, constipation, skin rash and polyneuropathy with a tolerable dose of 200-400 mg p.o. per day. In conclusion, thalidomide as a single agent has significant anti-leukemic activity with some evidence for anti-angiogenic effects in BM, although the precise mechanism of action remains to be elucidated.","container-title":"Leukemia &amp; Lymphoma","DOI":"10.3109/10428190309178769","ISSN":"1042-8194","issue":"9","journalAbbreviation":"Leuk Lymphoma","language":"eng","note":"PMID: 14565649","page":"1489-1493","source":"PubMed","title":"Thalidomide for the treatment of acute myeloid leukemia","volume":"44","author":[{"family":"Steins","given":"M. B."},{"family":"Bieker","given":"R."},{"family":"Padró","given":"T."},{"family":"Kessler","given":"T."},{"family":"Kienast","given":"J."},{"family":"Berdel","given":"W. E."},{"family":"Mesters","given":"R. M."}],"issued":{"date-parts":[["2003",9]]}}}],"schema":"https://github.com/citation-style-language/schema/raw/master/csl-citation.json"} </w:instrText>
            </w:r>
            <w:r w:rsidR="009D132B">
              <w:rPr>
                <w:rFonts w:ascii="Times New Roman" w:eastAsia="Times New Roman" w:hAnsi="Times New Roman" w:cs="Times New Roman"/>
                <w:color w:val="000000" w:themeColor="text1"/>
                <w:lang w:eastAsia="en-ZA"/>
              </w:rPr>
              <w:fldChar w:fldCharType="separate"/>
            </w:r>
            <w:r w:rsidR="009D132B" w:rsidRPr="009D132B">
              <w:rPr>
                <w:rFonts w:ascii="Times New Roman" w:hAnsi="Times New Roman" w:cs="Times New Roman"/>
                <w:vertAlign w:val="superscript"/>
              </w:rPr>
              <w:t>26</w:t>
            </w:r>
            <w:r w:rsidR="009D132B">
              <w:rPr>
                <w:rFonts w:ascii="Times New Roman" w:eastAsia="Times New Roman" w:hAnsi="Times New Roman" w:cs="Times New Roman"/>
                <w:color w:val="000000" w:themeColor="text1"/>
                <w:lang w:eastAsia="en-ZA"/>
              </w:rPr>
              <w:fldChar w:fldCharType="end"/>
            </w:r>
            <w:r w:rsidR="009D132B">
              <w:rPr>
                <w:rFonts w:ascii="Times New Roman" w:eastAsia="Times New Roman" w:hAnsi="Times New Roman" w:cs="Times New Roman"/>
                <w:color w:val="000000" w:themeColor="text1"/>
                <w:lang w:eastAsia="en-ZA"/>
              </w:rPr>
              <w:t>.</w:t>
            </w:r>
          </w:p>
        </w:tc>
      </w:tr>
      <w:tr w:rsidR="0046534C" w:rsidRPr="00FA281A" w14:paraId="51F6DB9C" w14:textId="70D7C72A" w:rsidTr="005D4557">
        <w:trPr>
          <w:trHeight w:val="288"/>
        </w:trPr>
        <w:tc>
          <w:tcPr>
            <w:tcW w:w="485" w:type="dxa"/>
            <w:shd w:val="clear" w:color="auto" w:fill="FFFFFF" w:themeFill="background1"/>
          </w:tcPr>
          <w:p w14:paraId="0B511B99" w14:textId="77777777" w:rsidR="0046534C" w:rsidRPr="00FA281A" w:rsidRDefault="0046534C" w:rsidP="0046534C">
            <w:pPr>
              <w:spacing w:after="0" w:line="240" w:lineRule="auto"/>
              <w:rPr>
                <w:rFonts w:ascii="Times New Roman" w:eastAsia="Times New Roman" w:hAnsi="Times New Roman" w:cs="Times New Roman"/>
                <w:color w:val="000000" w:themeColor="text1"/>
                <w:lang w:eastAsia="en-ZA"/>
              </w:rPr>
            </w:pPr>
            <w:r>
              <w:rPr>
                <w:rFonts w:ascii="Times New Roman" w:eastAsia="Times New Roman" w:hAnsi="Times New Roman" w:cs="Times New Roman"/>
                <w:color w:val="000000" w:themeColor="text1"/>
                <w:lang w:eastAsia="en-ZA"/>
              </w:rPr>
              <w:t>29</w:t>
            </w:r>
          </w:p>
        </w:tc>
        <w:tc>
          <w:tcPr>
            <w:tcW w:w="1925" w:type="dxa"/>
            <w:shd w:val="clear" w:color="auto" w:fill="FFFFFF" w:themeFill="background1"/>
            <w:vAlign w:val="center"/>
            <w:hideMark/>
          </w:tcPr>
          <w:p w14:paraId="419C7C6C" w14:textId="77777777" w:rsidR="0046534C" w:rsidRPr="00FA281A" w:rsidRDefault="0046534C" w:rsidP="0046534C">
            <w:pPr>
              <w:spacing w:after="0" w:line="240" w:lineRule="auto"/>
              <w:rPr>
                <w:rFonts w:ascii="Times New Roman" w:eastAsia="Times New Roman" w:hAnsi="Times New Roman" w:cs="Times New Roman"/>
                <w:color w:val="000000" w:themeColor="text1"/>
                <w:lang w:eastAsia="en-ZA"/>
              </w:rPr>
            </w:pPr>
            <w:r w:rsidRPr="00FA281A">
              <w:rPr>
                <w:rFonts w:ascii="Times New Roman" w:eastAsia="Times New Roman" w:hAnsi="Times New Roman" w:cs="Times New Roman"/>
                <w:color w:val="000000" w:themeColor="text1"/>
                <w:lang w:eastAsia="en-ZA"/>
              </w:rPr>
              <w:t>Tretinoin</w:t>
            </w:r>
          </w:p>
        </w:tc>
        <w:tc>
          <w:tcPr>
            <w:tcW w:w="2136" w:type="dxa"/>
            <w:shd w:val="clear" w:color="auto" w:fill="FFFFFF" w:themeFill="background1"/>
            <w:noWrap/>
            <w:vAlign w:val="bottom"/>
            <w:hideMark/>
          </w:tcPr>
          <w:p w14:paraId="2B5E0BC9" w14:textId="77777777" w:rsidR="0046534C" w:rsidRPr="00FA281A" w:rsidRDefault="0046534C" w:rsidP="0046534C">
            <w:pPr>
              <w:spacing w:after="0" w:line="240" w:lineRule="auto"/>
              <w:rPr>
                <w:rFonts w:ascii="Times New Roman" w:eastAsia="Times New Roman" w:hAnsi="Times New Roman" w:cs="Times New Roman"/>
                <w:color w:val="000000" w:themeColor="text1"/>
                <w:lang w:eastAsia="en-ZA"/>
              </w:rPr>
            </w:pPr>
            <w:r w:rsidRPr="00FA281A">
              <w:rPr>
                <w:rFonts w:ascii="Times New Roman" w:eastAsia="Times New Roman" w:hAnsi="Times New Roman" w:cs="Times New Roman"/>
                <w:color w:val="000000" w:themeColor="text1"/>
                <w:lang w:eastAsia="en-ZA"/>
              </w:rPr>
              <w:t>Retinoic acid receptor agonist</w:t>
            </w:r>
          </w:p>
        </w:tc>
        <w:tc>
          <w:tcPr>
            <w:tcW w:w="4923" w:type="dxa"/>
            <w:shd w:val="clear" w:color="auto" w:fill="FFFFFF" w:themeFill="background1"/>
          </w:tcPr>
          <w:p w14:paraId="2100945D" w14:textId="4006D769" w:rsidR="0046534C" w:rsidRPr="00FA281A" w:rsidRDefault="0046534C" w:rsidP="0046534C">
            <w:pPr>
              <w:spacing w:after="0" w:line="240" w:lineRule="auto"/>
              <w:rPr>
                <w:rFonts w:ascii="Times New Roman" w:eastAsia="Times New Roman" w:hAnsi="Times New Roman" w:cs="Times New Roman"/>
                <w:color w:val="000000" w:themeColor="text1"/>
                <w:lang w:eastAsia="en-ZA"/>
              </w:rPr>
            </w:pPr>
            <w:r>
              <w:rPr>
                <w:rFonts w:ascii="Times New Roman" w:eastAsia="Times New Roman" w:hAnsi="Times New Roman" w:cs="Times New Roman"/>
                <w:color w:val="000000" w:themeColor="text1"/>
                <w:lang w:eastAsia="en-ZA"/>
              </w:rPr>
              <w:t>Tertinoin was used to study chemotherapy effects in leukemia using an ex vivo drug sensitivity test</w:t>
            </w:r>
            <w:r>
              <w:rPr>
                <w:rFonts w:ascii="Times New Roman" w:eastAsia="Times New Roman" w:hAnsi="Times New Roman" w:cs="Times New Roman"/>
                <w:color w:val="000000" w:themeColor="text1"/>
                <w:lang w:eastAsia="en-ZA"/>
              </w:rPr>
              <w:fldChar w:fldCharType="begin"/>
            </w:r>
            <w:r w:rsidR="009D132B">
              <w:rPr>
                <w:rFonts w:ascii="Times New Roman" w:eastAsia="Times New Roman" w:hAnsi="Times New Roman" w:cs="Times New Roman"/>
                <w:color w:val="000000" w:themeColor="text1"/>
                <w:lang w:eastAsia="en-ZA"/>
              </w:rPr>
              <w:instrText xml:space="preserve"> ADDIN ZOTERO_ITEM CSL_CITATION {"citationID":"jY0EGXAg","properties":{"formattedCitation":"\\super 27\\nosupersub{}","plainCitation":"27","noteIndex":0},"citationItems":[{"id":111,"uris":["http://zotero.org/users/local/qSoqcP4W/items/29YAYFZJ"],"itemData":{"id":111,"type":"article-journal","abstract":"PURPOSE: Juvenile myelomonocytic leukemia (JMML) is an aggressive pediatric malignancy with myelodysplastic and myeloproliferative features. Curative treatment is restricted to hematopoietic stem-cell transplantation. Fludarabine combined with cytarabine (FLA) and 5-azacitidine (AZA) monotherapy are commonly used pre-transplant therapies. Here, we present a drug screening strategy using a flow cytometry-based precision medicine platform to identify potential additional therapeutic vulnerabilities.\nMETHODS: We screened 120 dual- and 10 triple-drug combinations (DCs) on peripheral blood (n = 21) or bone marrow (n = 6) samples from 27 children with JMML to identify DCs more effectively reducing leukemic cells than the DCs' components on their own. If fewer leukemic cells survived a DC ex vivo treatment compared with that DC's most effective component alone, the drug effect was referred to as cooperative. The difference between the two resistant fractions is the effect size.\nRESULTS: We identified 26 dual- and one triple-DC more effective than their components. The differentiation agent tretinoin (TRET; all-trans retinoic acid) reduced the resistant fraction of FLA in 19/21 (90%) samples (decrease from 15% [2%-61%] to 11% [2%-50%] with a mean effect size of 3.8% [0.5%-11%]), and of AZA in 19/25 (76%) samples (decrease from 69% [34%-100+%] to 47% [17%-83%] with a mean effect size of 16% [0.3%-40%]). Among the resistant fractions, the mean proportion of CD38+ cells increased from 7% (0.03%-25%; FLA) to 17% (0.3%-38%; FLA + TRET) or from 10% (0.2%-31%; AZA) to 51% (0.8%-88%; AZA + TRET).\nCONCLUSION: TRET enhanced the effects of FLA and AZA in ex vivo assays with primary JMML samples.","container-title":"JCO precision oncology","DOI":"10.1200/PO.23.00302","ISSN":"2473-4284","journalAbbreviation":"JCO Precis Oncol","language":"eng","note":"PMID: 37944074\nPMCID: PMC10645413","page":"e2300302","source":"PubMed","title":"Tretinoin Enhances the Effects of Chemotherapy in Juvenile Myelomonocytic Leukemia Using an Ex Vivo Drug Sensitivity Assay","volume":"7","author":[{"family":"Stieglitz","given":"Elliot"},{"family":"Gu","given":"Christine J."},{"family":"Richardson","given":"Michelle"},{"family":"Kita","given":"Ryosuke"},{"family":"Santaguida","given":"Marianne T."},{"family":"Ali","given":"Kamran A."},{"family":"Strachan","given":"Debbie C."},{"family":"Dhar","given":"Anukriti"},{"family":"Yam","given":"George"},{"family":"Anderson","given":"Wade"},{"family":"Anderson","given":"Erica"},{"family":"Hübner","given":"Juwita"},{"family":"Tasian","given":"Sarah K."},{"family":"Loh","given":"Mignon L."},{"family":"Lacher","given":"Markus D."}],"issued":{"date-parts":[["2023",9]]}}}],"schema":"https://github.com/citation-style-language/schema/raw/master/csl-citation.json"} </w:instrText>
            </w:r>
            <w:r>
              <w:rPr>
                <w:rFonts w:ascii="Times New Roman" w:eastAsia="Times New Roman" w:hAnsi="Times New Roman" w:cs="Times New Roman"/>
                <w:color w:val="000000" w:themeColor="text1"/>
                <w:lang w:eastAsia="en-ZA"/>
              </w:rPr>
              <w:fldChar w:fldCharType="separate"/>
            </w:r>
            <w:r w:rsidR="009D132B" w:rsidRPr="009D132B">
              <w:rPr>
                <w:rFonts w:ascii="Times New Roman" w:hAnsi="Times New Roman" w:cs="Times New Roman"/>
                <w:vertAlign w:val="superscript"/>
              </w:rPr>
              <w:t>27</w:t>
            </w:r>
            <w:r>
              <w:rPr>
                <w:rFonts w:ascii="Times New Roman" w:eastAsia="Times New Roman" w:hAnsi="Times New Roman" w:cs="Times New Roman"/>
                <w:color w:val="000000" w:themeColor="text1"/>
                <w:lang w:eastAsia="en-ZA"/>
              </w:rPr>
              <w:fldChar w:fldCharType="end"/>
            </w:r>
          </w:p>
        </w:tc>
      </w:tr>
      <w:tr w:rsidR="0046534C" w:rsidRPr="00FA281A" w14:paraId="2F510332" w14:textId="2E48823D" w:rsidTr="005D4557">
        <w:trPr>
          <w:trHeight w:val="288"/>
        </w:trPr>
        <w:tc>
          <w:tcPr>
            <w:tcW w:w="485" w:type="dxa"/>
            <w:shd w:val="clear" w:color="auto" w:fill="FFFFFF" w:themeFill="background1"/>
          </w:tcPr>
          <w:p w14:paraId="0653D55A" w14:textId="77777777" w:rsidR="0046534C" w:rsidRPr="00FA281A" w:rsidRDefault="0046534C" w:rsidP="0046534C">
            <w:pPr>
              <w:spacing w:after="0" w:line="240" w:lineRule="auto"/>
              <w:rPr>
                <w:rFonts w:ascii="Times New Roman" w:eastAsia="Times New Roman" w:hAnsi="Times New Roman" w:cs="Times New Roman"/>
                <w:color w:val="000000" w:themeColor="text1"/>
                <w:lang w:eastAsia="en-ZA"/>
              </w:rPr>
            </w:pPr>
            <w:r>
              <w:rPr>
                <w:rFonts w:ascii="Times New Roman" w:eastAsia="Times New Roman" w:hAnsi="Times New Roman" w:cs="Times New Roman"/>
                <w:color w:val="000000" w:themeColor="text1"/>
                <w:lang w:eastAsia="en-ZA"/>
              </w:rPr>
              <w:t>30</w:t>
            </w:r>
          </w:p>
        </w:tc>
        <w:tc>
          <w:tcPr>
            <w:tcW w:w="1925" w:type="dxa"/>
            <w:shd w:val="clear" w:color="auto" w:fill="FFFFFF" w:themeFill="background1"/>
            <w:vAlign w:val="center"/>
            <w:hideMark/>
          </w:tcPr>
          <w:p w14:paraId="592CA3D4" w14:textId="77777777" w:rsidR="0046534C" w:rsidRPr="00FA281A" w:rsidRDefault="0046534C" w:rsidP="0046534C">
            <w:pPr>
              <w:spacing w:after="0" w:line="240" w:lineRule="auto"/>
              <w:rPr>
                <w:rFonts w:ascii="Times New Roman" w:eastAsia="Times New Roman" w:hAnsi="Times New Roman" w:cs="Times New Roman"/>
                <w:color w:val="000000" w:themeColor="text1"/>
                <w:lang w:eastAsia="en-ZA"/>
              </w:rPr>
            </w:pPr>
            <w:r w:rsidRPr="00FA281A">
              <w:rPr>
                <w:rFonts w:ascii="Times New Roman" w:eastAsia="Times New Roman" w:hAnsi="Times New Roman" w:cs="Times New Roman"/>
                <w:color w:val="000000" w:themeColor="text1"/>
                <w:lang w:eastAsia="en-ZA"/>
              </w:rPr>
              <w:t>Vinblastine</w:t>
            </w:r>
          </w:p>
        </w:tc>
        <w:tc>
          <w:tcPr>
            <w:tcW w:w="2136" w:type="dxa"/>
            <w:shd w:val="clear" w:color="auto" w:fill="FFFFFF" w:themeFill="background1"/>
            <w:noWrap/>
            <w:vAlign w:val="bottom"/>
            <w:hideMark/>
          </w:tcPr>
          <w:p w14:paraId="2095D675" w14:textId="77777777" w:rsidR="0046534C" w:rsidRPr="00FA281A" w:rsidRDefault="0046534C" w:rsidP="0046534C">
            <w:pPr>
              <w:spacing w:after="0" w:line="240" w:lineRule="auto"/>
              <w:rPr>
                <w:rFonts w:ascii="Times New Roman" w:eastAsia="Times New Roman" w:hAnsi="Times New Roman" w:cs="Times New Roman"/>
                <w:color w:val="000000" w:themeColor="text1"/>
                <w:lang w:eastAsia="en-ZA"/>
              </w:rPr>
            </w:pPr>
            <w:r w:rsidRPr="00FA281A">
              <w:rPr>
                <w:rFonts w:ascii="Times New Roman" w:eastAsia="Times New Roman" w:hAnsi="Times New Roman" w:cs="Times New Roman"/>
                <w:color w:val="000000" w:themeColor="text1"/>
                <w:lang w:eastAsia="en-ZA"/>
              </w:rPr>
              <w:t>Mitotic inhibitor</w:t>
            </w:r>
          </w:p>
        </w:tc>
        <w:tc>
          <w:tcPr>
            <w:tcW w:w="4923" w:type="dxa"/>
            <w:shd w:val="clear" w:color="auto" w:fill="FFFFFF" w:themeFill="background1"/>
          </w:tcPr>
          <w:p w14:paraId="2EB91875" w14:textId="324B9E7D" w:rsidR="0046534C" w:rsidRPr="00FA281A" w:rsidRDefault="0046534C" w:rsidP="0046534C">
            <w:pPr>
              <w:spacing w:after="0" w:line="240" w:lineRule="auto"/>
              <w:rPr>
                <w:rFonts w:ascii="Times New Roman" w:eastAsia="Times New Roman" w:hAnsi="Times New Roman" w:cs="Times New Roman"/>
                <w:color w:val="000000" w:themeColor="text1"/>
                <w:lang w:eastAsia="en-ZA"/>
              </w:rPr>
            </w:pPr>
            <w:r>
              <w:rPr>
                <w:rFonts w:ascii="Times New Roman" w:eastAsia="Times New Roman" w:hAnsi="Times New Roman" w:cs="Times New Roman"/>
                <w:color w:val="000000" w:themeColor="text1"/>
                <w:lang w:eastAsia="en-ZA"/>
              </w:rPr>
              <w:t>Vinblastine has been used for CLL treatment</w:t>
            </w:r>
            <w:r>
              <w:rPr>
                <w:rFonts w:ascii="Times New Roman" w:eastAsia="Times New Roman" w:hAnsi="Times New Roman" w:cs="Times New Roman"/>
                <w:color w:val="000000" w:themeColor="text1"/>
                <w:lang w:eastAsia="en-ZA"/>
              </w:rPr>
              <w:fldChar w:fldCharType="begin"/>
            </w:r>
            <w:r w:rsidR="009D132B">
              <w:rPr>
                <w:rFonts w:ascii="Times New Roman" w:eastAsia="Times New Roman" w:hAnsi="Times New Roman" w:cs="Times New Roman"/>
                <w:color w:val="000000" w:themeColor="text1"/>
                <w:lang w:eastAsia="en-ZA"/>
              </w:rPr>
              <w:instrText xml:space="preserve"> ADDIN ZOTERO_ITEM CSL_CITATION {"citationID":"crAZPjl8","properties":{"formattedCitation":"\\super 28\\nosupersub{}","plainCitation":"28","noteIndex":0},"citationItems":[{"id":108,"uris":["http://zotero.org/users/local/qSoqcP4W/items/6IZL9WCU"],"itemData":{"id":108,"type":"article-journal","abstract":"Proteins of the BCL2 family provide a survival mechanism in many human malignancies including chronic lymphocytic leukemia (CLL). The BCL2 inhibitor ABT-263 (navitoclax) is active in clinical trials for lymphoid malignancies, yet resistance is expected based on preclinical models. We recently demonstrated that vinblastine can dramatically sensitize several leukemia cell lines to ABT-737 (the experimental congener of ABT-263). The goal of these experiments was to determine the impact of vinblastine on ABT-737 sensitivity in CLL cells isolated from peripheral blood and to define the underlying mechanism. Freshly isolated CLL cells from 35 patients, as well as normal lymphocytes and platelets, were incubated with various microtubule disrupting agents plus ABT-737 to assess sensitivity to the single agents and the combination. ABT-737 and vinblastine displayed a range of sensitivity as single agents, and vinblastine markedly sensitized all CLL samples to ABT-737 within 6 h. Vinblastine potently induced the pro-apoptotic protein PMAIP1 (NOXA) in both a time- and dose-dependent manner and this was required for the observed apoptosis. Combretastatin A4, which dissociates microtubules by binding a different site, had the same effect confirming that interaction of these agents with microtubules is the initial target. Similarly, vincristine and vinorelbine induced NOXA and enhanced CLL sensitivity to ABT-737. Furthermore, vinblastine plus ABT-737 overcame stroma-mediated resistance to ABT-737 alone. Apoptosis was induced with clinically achievable concentrations, with no additional toxicity to normal lymphocytes or platelets. These results suggest that vinca alkaloids may improve the clinical efficacy of ABT-263 in patients with CLL.","container-title":"Molecular cancer therapeutics","DOI":"10.1158/1535-7163.MCT-12-1197","ISSN":"1535-7163","issue":"8","journalAbbreviation":"Mol Cancer Ther","note":"PMID: 23723123\nPMCID: PMC3742582","page":"1504-1514","source":"PubMed Central","title":"Vinblastine rapidly induces NOXA and acutely sensitizes primary chronic lymphocytic leukemia cells to ABT-737","volume":"12","author":[{"family":"Bates","given":"Darcy J. P."},{"family":"Danilov","given":"Alexey V."},{"family":"Lowrey","given":"Christopher H."},{"family":"Eastman","given":"Alan"}],"issued":{"date-parts":[["2013",8]]}}}],"schema":"https://github.com/citation-style-language/schema/raw/master/csl-citation.json"} </w:instrText>
            </w:r>
            <w:r>
              <w:rPr>
                <w:rFonts w:ascii="Times New Roman" w:eastAsia="Times New Roman" w:hAnsi="Times New Roman" w:cs="Times New Roman"/>
                <w:color w:val="000000" w:themeColor="text1"/>
                <w:lang w:eastAsia="en-ZA"/>
              </w:rPr>
              <w:fldChar w:fldCharType="separate"/>
            </w:r>
            <w:r w:rsidR="009D132B" w:rsidRPr="009D132B">
              <w:rPr>
                <w:rFonts w:ascii="Times New Roman" w:hAnsi="Times New Roman" w:cs="Times New Roman"/>
                <w:vertAlign w:val="superscript"/>
              </w:rPr>
              <w:t>28</w:t>
            </w:r>
            <w:r>
              <w:rPr>
                <w:rFonts w:ascii="Times New Roman" w:eastAsia="Times New Roman" w:hAnsi="Times New Roman" w:cs="Times New Roman"/>
                <w:color w:val="000000" w:themeColor="text1"/>
                <w:lang w:eastAsia="en-ZA"/>
              </w:rPr>
              <w:fldChar w:fldCharType="end"/>
            </w:r>
          </w:p>
        </w:tc>
      </w:tr>
    </w:tbl>
    <w:p w14:paraId="51F473F3" w14:textId="77777777" w:rsidR="00085E86" w:rsidRDefault="00085E86" w:rsidP="00085E86">
      <w:pPr>
        <w:spacing w:before="160" w:after="120" w:line="360" w:lineRule="auto"/>
        <w:rPr>
          <w:rFonts w:ascii="Times New Roman" w:eastAsia="Calibri" w:hAnsi="Times New Roman" w:cs="Times New Roman"/>
          <w:sz w:val="24"/>
          <w:szCs w:val="24"/>
        </w:rPr>
      </w:pPr>
      <w:r w:rsidRPr="002C6B7E">
        <w:rPr>
          <w:rFonts w:ascii="Times New Roman" w:eastAsia="Calibri" w:hAnsi="Times New Roman" w:cs="Times New Roman"/>
          <w:b/>
          <w:bCs/>
          <w:sz w:val="24"/>
          <w:szCs w:val="24"/>
        </w:rPr>
        <w:t xml:space="preserve">Supplementary Table </w:t>
      </w:r>
      <w:r>
        <w:rPr>
          <w:rFonts w:ascii="Times New Roman" w:eastAsia="Calibri" w:hAnsi="Times New Roman" w:cs="Times New Roman"/>
          <w:b/>
          <w:bCs/>
          <w:sz w:val="24"/>
          <w:szCs w:val="24"/>
        </w:rPr>
        <w:t>S</w:t>
      </w:r>
      <w:r w:rsidRPr="002C6B7E">
        <w:rPr>
          <w:rFonts w:ascii="Times New Roman" w:eastAsia="Calibri" w:hAnsi="Times New Roman" w:cs="Times New Roman"/>
          <w:b/>
          <w:bCs/>
          <w:sz w:val="24"/>
          <w:szCs w:val="24"/>
        </w:rPr>
        <w:t>4</w:t>
      </w:r>
      <w:r>
        <w:rPr>
          <w:rFonts w:ascii="Times New Roman" w:eastAsia="Calibri" w:hAnsi="Times New Roman" w:cs="Times New Roman"/>
          <w:sz w:val="24"/>
          <w:szCs w:val="24"/>
        </w:rPr>
        <w:t>: List of drugs tested for anchored and matrix combination.</w:t>
      </w:r>
    </w:p>
    <w:tbl>
      <w:tblPr>
        <w:tblStyle w:val="TableGrid"/>
        <w:tblW w:w="0" w:type="auto"/>
        <w:tblLook w:val="04A0" w:firstRow="1" w:lastRow="0" w:firstColumn="1" w:lastColumn="0" w:noHBand="0" w:noVBand="1"/>
      </w:tblPr>
      <w:tblGrid>
        <w:gridCol w:w="574"/>
        <w:gridCol w:w="1521"/>
        <w:gridCol w:w="3400"/>
        <w:gridCol w:w="1984"/>
        <w:gridCol w:w="1763"/>
      </w:tblGrid>
      <w:tr w:rsidR="00085E86" w:rsidRPr="007F36FA" w14:paraId="79C13989" w14:textId="77777777" w:rsidTr="00727472">
        <w:tc>
          <w:tcPr>
            <w:tcW w:w="574" w:type="dxa"/>
          </w:tcPr>
          <w:p w14:paraId="2A110280" w14:textId="77777777" w:rsidR="00085E86" w:rsidRPr="007F36FA" w:rsidRDefault="00085E86" w:rsidP="00727472">
            <w:pPr>
              <w:spacing w:line="240" w:lineRule="auto"/>
              <w:rPr>
                <w:rFonts w:ascii="Times New Roman" w:eastAsia="Calibri" w:hAnsi="Times New Roman" w:cs="Times New Roman"/>
              </w:rPr>
            </w:pPr>
            <w:r w:rsidRPr="007F36FA">
              <w:rPr>
                <w:rFonts w:ascii="Times New Roman" w:eastAsia="Calibri" w:hAnsi="Times New Roman" w:cs="Times New Roman"/>
              </w:rPr>
              <w:t>No</w:t>
            </w:r>
          </w:p>
        </w:tc>
        <w:tc>
          <w:tcPr>
            <w:tcW w:w="1521" w:type="dxa"/>
          </w:tcPr>
          <w:p w14:paraId="6999BE71" w14:textId="77777777" w:rsidR="00085E86" w:rsidRPr="007F36FA" w:rsidRDefault="00085E86" w:rsidP="00727472">
            <w:pPr>
              <w:spacing w:line="240" w:lineRule="auto"/>
              <w:rPr>
                <w:rFonts w:ascii="Times New Roman" w:eastAsia="Calibri" w:hAnsi="Times New Roman" w:cs="Times New Roman"/>
              </w:rPr>
            </w:pPr>
            <w:r w:rsidRPr="007F36FA">
              <w:rPr>
                <w:rFonts w:ascii="Times New Roman" w:eastAsia="Calibri" w:hAnsi="Times New Roman" w:cs="Times New Roman"/>
              </w:rPr>
              <w:t>Drug Name</w:t>
            </w:r>
          </w:p>
        </w:tc>
        <w:tc>
          <w:tcPr>
            <w:tcW w:w="3400" w:type="dxa"/>
          </w:tcPr>
          <w:p w14:paraId="4A2BDC01" w14:textId="77777777" w:rsidR="00085E86" w:rsidRPr="007F36FA" w:rsidRDefault="00085E86" w:rsidP="00727472">
            <w:pPr>
              <w:spacing w:line="240" w:lineRule="auto"/>
              <w:rPr>
                <w:rFonts w:ascii="Times New Roman" w:eastAsia="Calibri" w:hAnsi="Times New Roman" w:cs="Times New Roman"/>
              </w:rPr>
            </w:pPr>
            <w:r w:rsidRPr="007F36FA">
              <w:rPr>
                <w:rFonts w:ascii="Times New Roman" w:eastAsia="Calibri" w:hAnsi="Times New Roman" w:cs="Times New Roman"/>
              </w:rPr>
              <w:t xml:space="preserve">Concentration </w:t>
            </w:r>
            <w:r>
              <w:rPr>
                <w:rFonts w:ascii="Times New Roman" w:eastAsia="Calibri" w:hAnsi="Times New Roman" w:cs="Times New Roman"/>
              </w:rPr>
              <w:t>(nm)</w:t>
            </w:r>
          </w:p>
        </w:tc>
        <w:tc>
          <w:tcPr>
            <w:tcW w:w="1984" w:type="dxa"/>
          </w:tcPr>
          <w:p w14:paraId="0FA3DBDF" w14:textId="77777777" w:rsidR="00085E86" w:rsidRPr="007F36FA" w:rsidRDefault="00085E86" w:rsidP="00727472">
            <w:pPr>
              <w:spacing w:line="240" w:lineRule="auto"/>
              <w:rPr>
                <w:rFonts w:ascii="Times New Roman" w:eastAsia="Calibri" w:hAnsi="Times New Roman" w:cs="Times New Roman"/>
              </w:rPr>
            </w:pPr>
            <w:r w:rsidRPr="007F36FA">
              <w:rPr>
                <w:rFonts w:ascii="Times New Roman" w:eastAsia="Calibri" w:hAnsi="Times New Roman" w:cs="Times New Roman"/>
              </w:rPr>
              <w:t xml:space="preserve">Anchored </w:t>
            </w:r>
          </w:p>
        </w:tc>
        <w:tc>
          <w:tcPr>
            <w:tcW w:w="1763" w:type="dxa"/>
          </w:tcPr>
          <w:p w14:paraId="1C36B4C2" w14:textId="77777777" w:rsidR="00085E86" w:rsidRPr="007F36FA" w:rsidRDefault="00085E86" w:rsidP="00727472">
            <w:pPr>
              <w:spacing w:line="240" w:lineRule="auto"/>
              <w:rPr>
                <w:rFonts w:ascii="Times New Roman" w:eastAsia="Calibri" w:hAnsi="Times New Roman" w:cs="Times New Roman"/>
              </w:rPr>
            </w:pPr>
            <w:r>
              <w:rPr>
                <w:rFonts w:ascii="Times New Roman" w:eastAsia="Calibri" w:hAnsi="Times New Roman" w:cs="Times New Roman"/>
              </w:rPr>
              <w:t>Full matrix</w:t>
            </w:r>
          </w:p>
        </w:tc>
      </w:tr>
      <w:tr w:rsidR="00085E86" w:rsidRPr="007F36FA" w14:paraId="4BA82FF0" w14:textId="77777777" w:rsidTr="00727472">
        <w:tc>
          <w:tcPr>
            <w:tcW w:w="574" w:type="dxa"/>
          </w:tcPr>
          <w:p w14:paraId="04C92C6B" w14:textId="77777777" w:rsidR="00085E86" w:rsidRPr="007F36FA" w:rsidRDefault="00085E86" w:rsidP="00727472">
            <w:pPr>
              <w:spacing w:line="240" w:lineRule="auto"/>
              <w:rPr>
                <w:rFonts w:ascii="Times New Roman" w:eastAsia="Calibri" w:hAnsi="Times New Roman" w:cs="Times New Roman"/>
              </w:rPr>
            </w:pPr>
            <w:r w:rsidRPr="007F36FA">
              <w:rPr>
                <w:rFonts w:ascii="Times New Roman" w:eastAsia="Calibri" w:hAnsi="Times New Roman" w:cs="Times New Roman"/>
              </w:rPr>
              <w:t>1</w:t>
            </w:r>
          </w:p>
        </w:tc>
        <w:tc>
          <w:tcPr>
            <w:tcW w:w="1521" w:type="dxa"/>
          </w:tcPr>
          <w:p w14:paraId="34B9AADC" w14:textId="77777777" w:rsidR="00085E86" w:rsidRPr="007F36FA" w:rsidRDefault="00085E86" w:rsidP="00727472">
            <w:pPr>
              <w:spacing w:line="240" w:lineRule="auto"/>
              <w:rPr>
                <w:rFonts w:ascii="Times New Roman" w:eastAsia="Calibri" w:hAnsi="Times New Roman" w:cs="Times New Roman"/>
              </w:rPr>
            </w:pPr>
            <w:r w:rsidRPr="007F36FA">
              <w:rPr>
                <w:rFonts w:ascii="Times New Roman" w:eastAsia="Calibri" w:hAnsi="Times New Roman" w:cs="Times New Roman"/>
              </w:rPr>
              <w:t>Nilatinib</w:t>
            </w:r>
          </w:p>
        </w:tc>
        <w:tc>
          <w:tcPr>
            <w:tcW w:w="3400" w:type="dxa"/>
          </w:tcPr>
          <w:p w14:paraId="51DC9748" w14:textId="77777777" w:rsidR="00085E86" w:rsidRPr="007F36FA" w:rsidRDefault="00085E86" w:rsidP="00727472">
            <w:pPr>
              <w:spacing w:line="240" w:lineRule="auto"/>
              <w:rPr>
                <w:rFonts w:ascii="Times New Roman" w:eastAsia="Calibri" w:hAnsi="Times New Roman" w:cs="Times New Roman"/>
              </w:rPr>
            </w:pPr>
            <w:r>
              <w:rPr>
                <w:rFonts w:ascii="Times New Roman" w:eastAsia="Calibri" w:hAnsi="Times New Roman" w:cs="Times New Roman"/>
              </w:rPr>
              <w:t>10 (anchored), 1-1000 (full)</w:t>
            </w:r>
          </w:p>
        </w:tc>
        <w:tc>
          <w:tcPr>
            <w:tcW w:w="1984" w:type="dxa"/>
          </w:tcPr>
          <w:p w14:paraId="16A48B70" w14:textId="77777777" w:rsidR="00085E86" w:rsidRPr="007F36FA" w:rsidRDefault="00085E86" w:rsidP="00727472">
            <w:pPr>
              <w:spacing w:line="240" w:lineRule="auto"/>
              <w:rPr>
                <w:rFonts w:ascii="Times New Roman" w:eastAsia="Calibri" w:hAnsi="Times New Roman" w:cs="Times New Roman"/>
              </w:rPr>
            </w:pPr>
            <w:r>
              <w:rPr>
                <w:rFonts w:ascii="Times New Roman" w:eastAsia="Calibri" w:hAnsi="Times New Roman" w:cs="Times New Roman"/>
              </w:rPr>
              <w:t>Irinotecan</w:t>
            </w:r>
          </w:p>
        </w:tc>
        <w:tc>
          <w:tcPr>
            <w:tcW w:w="1763" w:type="dxa"/>
          </w:tcPr>
          <w:p w14:paraId="4185F8D7" w14:textId="77777777" w:rsidR="00085E86" w:rsidRDefault="00085E86" w:rsidP="00727472">
            <w:pPr>
              <w:spacing w:line="240" w:lineRule="auto"/>
              <w:rPr>
                <w:rFonts w:ascii="Times New Roman" w:eastAsia="Calibri" w:hAnsi="Times New Roman" w:cs="Times New Roman"/>
              </w:rPr>
            </w:pPr>
            <w:r>
              <w:rPr>
                <w:rFonts w:ascii="Times New Roman" w:eastAsia="Calibri" w:hAnsi="Times New Roman" w:cs="Times New Roman"/>
              </w:rPr>
              <w:t>Irinotecan</w:t>
            </w:r>
          </w:p>
        </w:tc>
      </w:tr>
      <w:tr w:rsidR="00085E86" w:rsidRPr="007F36FA" w14:paraId="4A89CD3C" w14:textId="77777777" w:rsidTr="00727472">
        <w:tc>
          <w:tcPr>
            <w:tcW w:w="574" w:type="dxa"/>
          </w:tcPr>
          <w:p w14:paraId="0E43F03E" w14:textId="77777777" w:rsidR="00085E86" w:rsidRPr="007F36FA" w:rsidRDefault="00085E86" w:rsidP="00727472">
            <w:pPr>
              <w:spacing w:line="240" w:lineRule="auto"/>
              <w:rPr>
                <w:rFonts w:ascii="Times New Roman" w:eastAsia="Calibri" w:hAnsi="Times New Roman" w:cs="Times New Roman"/>
              </w:rPr>
            </w:pPr>
            <w:r w:rsidRPr="007F36FA">
              <w:rPr>
                <w:rFonts w:ascii="Times New Roman" w:eastAsia="Calibri" w:hAnsi="Times New Roman" w:cs="Times New Roman"/>
              </w:rPr>
              <w:t>2</w:t>
            </w:r>
          </w:p>
        </w:tc>
        <w:tc>
          <w:tcPr>
            <w:tcW w:w="1521" w:type="dxa"/>
          </w:tcPr>
          <w:p w14:paraId="5F643D22" w14:textId="77777777" w:rsidR="00085E86" w:rsidRPr="007F36FA" w:rsidRDefault="00085E86" w:rsidP="00727472">
            <w:pPr>
              <w:spacing w:line="240" w:lineRule="auto"/>
              <w:rPr>
                <w:rFonts w:ascii="Times New Roman" w:eastAsia="Calibri" w:hAnsi="Times New Roman" w:cs="Times New Roman"/>
              </w:rPr>
            </w:pPr>
            <w:r>
              <w:rPr>
                <w:rFonts w:ascii="Times New Roman" w:eastAsia="Calibri" w:hAnsi="Times New Roman" w:cs="Times New Roman"/>
              </w:rPr>
              <w:t>Irinotecan</w:t>
            </w:r>
          </w:p>
        </w:tc>
        <w:tc>
          <w:tcPr>
            <w:tcW w:w="3400" w:type="dxa"/>
          </w:tcPr>
          <w:p w14:paraId="238A2D8D" w14:textId="77777777" w:rsidR="00085E86" w:rsidRPr="007F36FA" w:rsidRDefault="00085E86" w:rsidP="00727472">
            <w:pPr>
              <w:spacing w:line="240" w:lineRule="auto"/>
              <w:rPr>
                <w:rFonts w:ascii="Times New Roman" w:eastAsia="Calibri" w:hAnsi="Times New Roman" w:cs="Times New Roman"/>
              </w:rPr>
            </w:pPr>
            <w:r>
              <w:rPr>
                <w:rFonts w:ascii="Times New Roman" w:eastAsia="Calibri" w:hAnsi="Times New Roman" w:cs="Times New Roman"/>
              </w:rPr>
              <w:t>1-1000 (anchored and full matrix)</w:t>
            </w:r>
          </w:p>
        </w:tc>
        <w:tc>
          <w:tcPr>
            <w:tcW w:w="1984" w:type="dxa"/>
          </w:tcPr>
          <w:p w14:paraId="070238CB" w14:textId="77777777" w:rsidR="00085E86" w:rsidRPr="007F36FA" w:rsidRDefault="00085E86" w:rsidP="00727472">
            <w:pPr>
              <w:spacing w:line="240" w:lineRule="auto"/>
              <w:rPr>
                <w:rFonts w:ascii="Times New Roman" w:eastAsia="Calibri" w:hAnsi="Times New Roman" w:cs="Times New Roman"/>
              </w:rPr>
            </w:pPr>
            <w:r>
              <w:rPr>
                <w:rFonts w:ascii="Times New Roman" w:eastAsia="Calibri" w:hAnsi="Times New Roman" w:cs="Times New Roman"/>
              </w:rPr>
              <w:t>Nilatinib</w:t>
            </w:r>
          </w:p>
        </w:tc>
        <w:tc>
          <w:tcPr>
            <w:tcW w:w="1763" w:type="dxa"/>
          </w:tcPr>
          <w:p w14:paraId="7B496A8E" w14:textId="77777777" w:rsidR="00085E86" w:rsidRPr="007F36FA" w:rsidRDefault="00085E86" w:rsidP="00727472">
            <w:pPr>
              <w:spacing w:line="240" w:lineRule="auto"/>
              <w:rPr>
                <w:rFonts w:ascii="Times New Roman" w:eastAsia="Calibri" w:hAnsi="Times New Roman" w:cs="Times New Roman"/>
              </w:rPr>
            </w:pPr>
            <w:r>
              <w:rPr>
                <w:rFonts w:ascii="Times New Roman" w:eastAsia="Calibri" w:hAnsi="Times New Roman" w:cs="Times New Roman"/>
              </w:rPr>
              <w:t>Nilatinib</w:t>
            </w:r>
          </w:p>
        </w:tc>
      </w:tr>
      <w:tr w:rsidR="00085E86" w:rsidRPr="007F36FA" w14:paraId="1B4EA6FC" w14:textId="77777777" w:rsidTr="00727472">
        <w:tc>
          <w:tcPr>
            <w:tcW w:w="574" w:type="dxa"/>
          </w:tcPr>
          <w:p w14:paraId="2393562F" w14:textId="77777777" w:rsidR="00085E86" w:rsidRPr="007F36FA" w:rsidRDefault="00085E86" w:rsidP="00727472">
            <w:pPr>
              <w:spacing w:line="240" w:lineRule="auto"/>
              <w:rPr>
                <w:rFonts w:ascii="Times New Roman" w:eastAsia="Calibri" w:hAnsi="Times New Roman" w:cs="Times New Roman"/>
              </w:rPr>
            </w:pPr>
            <w:r w:rsidRPr="007F36FA">
              <w:rPr>
                <w:rFonts w:ascii="Times New Roman" w:eastAsia="Calibri" w:hAnsi="Times New Roman" w:cs="Times New Roman"/>
              </w:rPr>
              <w:t>3</w:t>
            </w:r>
          </w:p>
        </w:tc>
        <w:tc>
          <w:tcPr>
            <w:tcW w:w="1521" w:type="dxa"/>
          </w:tcPr>
          <w:p w14:paraId="665E0551" w14:textId="77777777" w:rsidR="00085E86" w:rsidRPr="007F36FA" w:rsidRDefault="00085E86" w:rsidP="00727472">
            <w:pPr>
              <w:spacing w:line="240" w:lineRule="auto"/>
              <w:rPr>
                <w:rFonts w:ascii="Times New Roman" w:eastAsia="Calibri" w:hAnsi="Times New Roman" w:cs="Times New Roman"/>
              </w:rPr>
            </w:pPr>
            <w:r w:rsidRPr="007F36FA">
              <w:rPr>
                <w:rFonts w:ascii="Times New Roman" w:eastAsia="Calibri" w:hAnsi="Times New Roman" w:cs="Times New Roman"/>
              </w:rPr>
              <w:t>Fludarabine</w:t>
            </w:r>
          </w:p>
        </w:tc>
        <w:tc>
          <w:tcPr>
            <w:tcW w:w="3400" w:type="dxa"/>
          </w:tcPr>
          <w:p w14:paraId="3FFECFC4" w14:textId="77777777" w:rsidR="00085E86" w:rsidRPr="007F36FA" w:rsidRDefault="00085E86" w:rsidP="00727472">
            <w:pPr>
              <w:spacing w:line="240" w:lineRule="auto"/>
              <w:rPr>
                <w:rFonts w:ascii="Times New Roman" w:eastAsia="Calibri" w:hAnsi="Times New Roman" w:cs="Times New Roman"/>
              </w:rPr>
            </w:pPr>
            <w:r>
              <w:rPr>
                <w:rFonts w:ascii="Times New Roman" w:eastAsia="Calibri" w:hAnsi="Times New Roman" w:cs="Times New Roman"/>
              </w:rPr>
              <w:t>10 nm (anchored), 1-1000 (full)</w:t>
            </w:r>
          </w:p>
        </w:tc>
        <w:tc>
          <w:tcPr>
            <w:tcW w:w="1984" w:type="dxa"/>
          </w:tcPr>
          <w:p w14:paraId="2D7555CA" w14:textId="77777777" w:rsidR="00085E86" w:rsidRPr="007F36FA" w:rsidRDefault="00085E86" w:rsidP="00727472">
            <w:pPr>
              <w:spacing w:line="240" w:lineRule="auto"/>
              <w:rPr>
                <w:rFonts w:ascii="Times New Roman" w:eastAsia="Calibri" w:hAnsi="Times New Roman" w:cs="Times New Roman"/>
              </w:rPr>
            </w:pPr>
            <w:r>
              <w:rPr>
                <w:rFonts w:ascii="Times New Roman" w:eastAsia="Calibri" w:hAnsi="Times New Roman" w:cs="Times New Roman"/>
              </w:rPr>
              <w:t>Cladribine</w:t>
            </w:r>
          </w:p>
        </w:tc>
        <w:tc>
          <w:tcPr>
            <w:tcW w:w="1763" w:type="dxa"/>
          </w:tcPr>
          <w:p w14:paraId="0968FA15" w14:textId="77777777" w:rsidR="00085E86" w:rsidRPr="007F36FA" w:rsidRDefault="00085E86" w:rsidP="00727472">
            <w:pPr>
              <w:spacing w:line="240" w:lineRule="auto"/>
              <w:rPr>
                <w:rFonts w:ascii="Times New Roman" w:eastAsia="Calibri" w:hAnsi="Times New Roman" w:cs="Times New Roman"/>
              </w:rPr>
            </w:pPr>
            <w:r>
              <w:rPr>
                <w:rFonts w:ascii="Times New Roman" w:eastAsia="Calibri" w:hAnsi="Times New Roman" w:cs="Times New Roman"/>
              </w:rPr>
              <w:t>Cladribine</w:t>
            </w:r>
          </w:p>
        </w:tc>
      </w:tr>
      <w:tr w:rsidR="00085E86" w:rsidRPr="007F36FA" w14:paraId="39196563" w14:textId="77777777" w:rsidTr="00727472">
        <w:tc>
          <w:tcPr>
            <w:tcW w:w="574" w:type="dxa"/>
          </w:tcPr>
          <w:p w14:paraId="3368E398" w14:textId="77777777" w:rsidR="00085E86" w:rsidRPr="007F36FA" w:rsidRDefault="00085E86" w:rsidP="00727472">
            <w:pPr>
              <w:spacing w:line="240" w:lineRule="auto"/>
              <w:rPr>
                <w:rFonts w:ascii="Times New Roman" w:eastAsia="Calibri" w:hAnsi="Times New Roman" w:cs="Times New Roman"/>
              </w:rPr>
            </w:pPr>
            <w:r w:rsidRPr="007F36FA">
              <w:rPr>
                <w:rFonts w:ascii="Times New Roman" w:eastAsia="Calibri" w:hAnsi="Times New Roman" w:cs="Times New Roman"/>
              </w:rPr>
              <w:t>4</w:t>
            </w:r>
          </w:p>
        </w:tc>
        <w:tc>
          <w:tcPr>
            <w:tcW w:w="1521" w:type="dxa"/>
          </w:tcPr>
          <w:p w14:paraId="59F01416" w14:textId="77777777" w:rsidR="00085E86" w:rsidRPr="007F36FA" w:rsidRDefault="00085E86" w:rsidP="00727472">
            <w:pPr>
              <w:spacing w:line="240" w:lineRule="auto"/>
              <w:rPr>
                <w:rFonts w:ascii="Times New Roman" w:eastAsia="Calibri" w:hAnsi="Times New Roman" w:cs="Times New Roman"/>
              </w:rPr>
            </w:pPr>
            <w:r w:rsidRPr="007F36FA">
              <w:rPr>
                <w:rFonts w:ascii="Times New Roman" w:eastAsia="Calibri" w:hAnsi="Times New Roman" w:cs="Times New Roman"/>
              </w:rPr>
              <w:t>5-Azacytidine</w:t>
            </w:r>
          </w:p>
        </w:tc>
        <w:tc>
          <w:tcPr>
            <w:tcW w:w="3400" w:type="dxa"/>
          </w:tcPr>
          <w:p w14:paraId="6A3F6FF9" w14:textId="77777777" w:rsidR="00085E86" w:rsidRPr="007F36FA" w:rsidRDefault="00085E86" w:rsidP="00727472">
            <w:pPr>
              <w:spacing w:line="240" w:lineRule="auto"/>
              <w:rPr>
                <w:rFonts w:ascii="Times New Roman" w:eastAsia="Calibri" w:hAnsi="Times New Roman" w:cs="Times New Roman"/>
              </w:rPr>
            </w:pPr>
            <w:r>
              <w:rPr>
                <w:rFonts w:ascii="Times New Roman" w:eastAsia="Calibri" w:hAnsi="Times New Roman" w:cs="Times New Roman"/>
              </w:rPr>
              <w:t>10 (anchored), 1-1000  (full)</w:t>
            </w:r>
          </w:p>
        </w:tc>
        <w:tc>
          <w:tcPr>
            <w:tcW w:w="1984" w:type="dxa"/>
          </w:tcPr>
          <w:p w14:paraId="1EB79773" w14:textId="77777777" w:rsidR="00085E86" w:rsidRPr="007F36FA" w:rsidRDefault="00085E86" w:rsidP="00727472">
            <w:pPr>
              <w:spacing w:line="240" w:lineRule="auto"/>
              <w:rPr>
                <w:rFonts w:ascii="Times New Roman" w:eastAsia="Calibri" w:hAnsi="Times New Roman" w:cs="Times New Roman"/>
              </w:rPr>
            </w:pPr>
            <w:r>
              <w:rPr>
                <w:rFonts w:ascii="Times New Roman" w:eastAsia="Calibri" w:hAnsi="Times New Roman" w:cs="Times New Roman"/>
              </w:rPr>
              <w:t>Everolimus</w:t>
            </w:r>
          </w:p>
        </w:tc>
        <w:tc>
          <w:tcPr>
            <w:tcW w:w="1763" w:type="dxa"/>
          </w:tcPr>
          <w:p w14:paraId="0439D127" w14:textId="77777777" w:rsidR="00085E86" w:rsidRPr="007F36FA" w:rsidRDefault="00085E86" w:rsidP="00727472">
            <w:pPr>
              <w:spacing w:line="240" w:lineRule="auto"/>
              <w:rPr>
                <w:rFonts w:ascii="Times New Roman" w:eastAsia="Calibri" w:hAnsi="Times New Roman" w:cs="Times New Roman"/>
              </w:rPr>
            </w:pPr>
            <w:r>
              <w:rPr>
                <w:rFonts w:ascii="Times New Roman" w:eastAsia="Calibri" w:hAnsi="Times New Roman" w:cs="Times New Roman"/>
              </w:rPr>
              <w:t>Everolimus</w:t>
            </w:r>
          </w:p>
        </w:tc>
      </w:tr>
      <w:tr w:rsidR="00085E86" w:rsidRPr="007F36FA" w14:paraId="0D61DFD6" w14:textId="77777777" w:rsidTr="00727472">
        <w:tc>
          <w:tcPr>
            <w:tcW w:w="574" w:type="dxa"/>
          </w:tcPr>
          <w:p w14:paraId="1E5364DA" w14:textId="77777777" w:rsidR="00085E86" w:rsidRPr="007F36FA" w:rsidRDefault="00085E86" w:rsidP="00727472">
            <w:pPr>
              <w:spacing w:line="240" w:lineRule="auto"/>
              <w:rPr>
                <w:rFonts w:ascii="Times New Roman" w:eastAsia="Calibri" w:hAnsi="Times New Roman" w:cs="Times New Roman"/>
              </w:rPr>
            </w:pPr>
            <w:r w:rsidRPr="007F36FA">
              <w:rPr>
                <w:rFonts w:ascii="Times New Roman" w:eastAsia="Calibri" w:hAnsi="Times New Roman" w:cs="Times New Roman"/>
              </w:rPr>
              <w:t>5</w:t>
            </w:r>
          </w:p>
        </w:tc>
        <w:tc>
          <w:tcPr>
            <w:tcW w:w="1521" w:type="dxa"/>
          </w:tcPr>
          <w:p w14:paraId="0050C987" w14:textId="77777777" w:rsidR="00085E86" w:rsidRPr="007F36FA" w:rsidRDefault="00085E86" w:rsidP="00727472">
            <w:pPr>
              <w:spacing w:line="240" w:lineRule="auto"/>
              <w:rPr>
                <w:rFonts w:ascii="Times New Roman" w:eastAsia="Calibri" w:hAnsi="Times New Roman" w:cs="Times New Roman"/>
              </w:rPr>
            </w:pPr>
            <w:r w:rsidRPr="007F36FA">
              <w:rPr>
                <w:rFonts w:ascii="Times New Roman" w:eastAsia="Calibri" w:hAnsi="Times New Roman" w:cs="Times New Roman"/>
              </w:rPr>
              <w:t>Dastinib</w:t>
            </w:r>
          </w:p>
        </w:tc>
        <w:tc>
          <w:tcPr>
            <w:tcW w:w="3400" w:type="dxa"/>
          </w:tcPr>
          <w:p w14:paraId="364FFAB6" w14:textId="77777777" w:rsidR="00085E86" w:rsidRPr="007F36FA" w:rsidRDefault="00085E86" w:rsidP="00727472">
            <w:pPr>
              <w:spacing w:line="240" w:lineRule="auto"/>
              <w:rPr>
                <w:rFonts w:ascii="Times New Roman" w:eastAsia="Calibri" w:hAnsi="Times New Roman" w:cs="Times New Roman"/>
              </w:rPr>
            </w:pPr>
            <w:r>
              <w:rPr>
                <w:rFonts w:ascii="Times New Roman" w:eastAsia="Calibri" w:hAnsi="Times New Roman" w:cs="Times New Roman"/>
              </w:rPr>
              <w:t>10 (anchored), 1-1000  (full)</w:t>
            </w:r>
          </w:p>
        </w:tc>
        <w:tc>
          <w:tcPr>
            <w:tcW w:w="1984" w:type="dxa"/>
          </w:tcPr>
          <w:p w14:paraId="3551FA93" w14:textId="77777777" w:rsidR="00085E86" w:rsidRPr="007F36FA" w:rsidRDefault="00085E86" w:rsidP="00727472">
            <w:pPr>
              <w:spacing w:line="240" w:lineRule="auto"/>
              <w:rPr>
                <w:rFonts w:ascii="Times New Roman" w:eastAsia="Calibri" w:hAnsi="Times New Roman" w:cs="Times New Roman"/>
              </w:rPr>
            </w:pPr>
            <w:r>
              <w:rPr>
                <w:rFonts w:ascii="Times New Roman" w:eastAsia="Calibri" w:hAnsi="Times New Roman" w:cs="Times New Roman"/>
              </w:rPr>
              <w:t>Bortezomib</w:t>
            </w:r>
          </w:p>
        </w:tc>
        <w:tc>
          <w:tcPr>
            <w:tcW w:w="1763" w:type="dxa"/>
          </w:tcPr>
          <w:p w14:paraId="2506B531" w14:textId="77777777" w:rsidR="00085E86" w:rsidRPr="007F36FA" w:rsidRDefault="00085E86" w:rsidP="00727472">
            <w:pPr>
              <w:spacing w:line="240" w:lineRule="auto"/>
              <w:rPr>
                <w:rFonts w:ascii="Times New Roman" w:eastAsia="Calibri" w:hAnsi="Times New Roman" w:cs="Times New Roman"/>
              </w:rPr>
            </w:pPr>
            <w:r>
              <w:rPr>
                <w:rFonts w:ascii="Times New Roman" w:eastAsia="Calibri" w:hAnsi="Times New Roman" w:cs="Times New Roman"/>
              </w:rPr>
              <w:t>Bortezomib</w:t>
            </w:r>
          </w:p>
        </w:tc>
      </w:tr>
      <w:tr w:rsidR="00085E86" w:rsidRPr="007F36FA" w14:paraId="27FD33FA" w14:textId="77777777" w:rsidTr="00727472">
        <w:tc>
          <w:tcPr>
            <w:tcW w:w="574" w:type="dxa"/>
          </w:tcPr>
          <w:p w14:paraId="7ED4CFB5" w14:textId="77777777" w:rsidR="00085E86" w:rsidRPr="007F36FA" w:rsidRDefault="00085E86" w:rsidP="00727472">
            <w:pPr>
              <w:spacing w:line="240" w:lineRule="auto"/>
              <w:rPr>
                <w:rFonts w:ascii="Times New Roman" w:eastAsia="Calibri" w:hAnsi="Times New Roman" w:cs="Times New Roman"/>
              </w:rPr>
            </w:pPr>
            <w:r w:rsidRPr="007F36FA">
              <w:rPr>
                <w:rFonts w:ascii="Times New Roman" w:eastAsia="Calibri" w:hAnsi="Times New Roman" w:cs="Times New Roman"/>
              </w:rPr>
              <w:t>6</w:t>
            </w:r>
          </w:p>
        </w:tc>
        <w:tc>
          <w:tcPr>
            <w:tcW w:w="1521" w:type="dxa"/>
          </w:tcPr>
          <w:p w14:paraId="45315115" w14:textId="77777777" w:rsidR="00085E86" w:rsidRPr="007F36FA" w:rsidRDefault="00085E86" w:rsidP="00727472">
            <w:pPr>
              <w:spacing w:line="240" w:lineRule="auto"/>
              <w:rPr>
                <w:rFonts w:ascii="Times New Roman" w:eastAsia="Calibri" w:hAnsi="Times New Roman" w:cs="Times New Roman"/>
              </w:rPr>
            </w:pPr>
            <w:r>
              <w:rPr>
                <w:rFonts w:ascii="Times New Roman" w:eastAsia="Calibri" w:hAnsi="Times New Roman" w:cs="Times New Roman"/>
              </w:rPr>
              <w:t>Cladribine</w:t>
            </w:r>
          </w:p>
        </w:tc>
        <w:tc>
          <w:tcPr>
            <w:tcW w:w="3400" w:type="dxa"/>
          </w:tcPr>
          <w:p w14:paraId="10007610" w14:textId="77777777" w:rsidR="00085E86" w:rsidRPr="007F36FA" w:rsidRDefault="00085E86" w:rsidP="00727472">
            <w:pPr>
              <w:spacing w:line="240" w:lineRule="auto"/>
              <w:rPr>
                <w:rFonts w:ascii="Times New Roman" w:eastAsia="Calibri" w:hAnsi="Times New Roman" w:cs="Times New Roman"/>
              </w:rPr>
            </w:pPr>
            <w:r>
              <w:rPr>
                <w:rFonts w:ascii="Times New Roman" w:eastAsia="Calibri" w:hAnsi="Times New Roman" w:cs="Times New Roman"/>
              </w:rPr>
              <w:t>1-1000  (anchored and full)</w:t>
            </w:r>
          </w:p>
        </w:tc>
        <w:tc>
          <w:tcPr>
            <w:tcW w:w="1984" w:type="dxa"/>
          </w:tcPr>
          <w:p w14:paraId="7CBDF8B5" w14:textId="77777777" w:rsidR="00085E86" w:rsidRPr="007F36FA" w:rsidRDefault="00085E86" w:rsidP="00727472">
            <w:pPr>
              <w:spacing w:line="240" w:lineRule="auto"/>
              <w:rPr>
                <w:rFonts w:ascii="Times New Roman" w:eastAsia="Calibri" w:hAnsi="Times New Roman" w:cs="Times New Roman"/>
              </w:rPr>
            </w:pPr>
            <w:r>
              <w:rPr>
                <w:rFonts w:ascii="Times New Roman" w:eastAsia="Calibri" w:hAnsi="Times New Roman" w:cs="Times New Roman"/>
              </w:rPr>
              <w:t>Fludarabine</w:t>
            </w:r>
          </w:p>
        </w:tc>
        <w:tc>
          <w:tcPr>
            <w:tcW w:w="1763" w:type="dxa"/>
          </w:tcPr>
          <w:p w14:paraId="1EFB411A" w14:textId="77777777" w:rsidR="00085E86" w:rsidRPr="007F36FA" w:rsidRDefault="00085E86" w:rsidP="00727472">
            <w:pPr>
              <w:spacing w:line="240" w:lineRule="auto"/>
              <w:rPr>
                <w:rFonts w:ascii="Times New Roman" w:eastAsia="Calibri" w:hAnsi="Times New Roman" w:cs="Times New Roman"/>
              </w:rPr>
            </w:pPr>
            <w:r>
              <w:rPr>
                <w:rFonts w:ascii="Times New Roman" w:eastAsia="Calibri" w:hAnsi="Times New Roman" w:cs="Times New Roman"/>
              </w:rPr>
              <w:t>Fludarabine</w:t>
            </w:r>
          </w:p>
        </w:tc>
      </w:tr>
      <w:tr w:rsidR="00085E86" w:rsidRPr="007F36FA" w14:paraId="62DD8846" w14:textId="77777777" w:rsidTr="00727472">
        <w:tc>
          <w:tcPr>
            <w:tcW w:w="574" w:type="dxa"/>
          </w:tcPr>
          <w:p w14:paraId="37BFB3C5" w14:textId="77777777" w:rsidR="00085E86" w:rsidRPr="007F36FA" w:rsidRDefault="00085E86" w:rsidP="00727472">
            <w:pPr>
              <w:spacing w:line="240" w:lineRule="auto"/>
              <w:rPr>
                <w:rFonts w:ascii="Times New Roman" w:eastAsia="Calibri" w:hAnsi="Times New Roman" w:cs="Times New Roman"/>
              </w:rPr>
            </w:pPr>
            <w:r>
              <w:rPr>
                <w:rFonts w:ascii="Times New Roman" w:eastAsia="Calibri" w:hAnsi="Times New Roman" w:cs="Times New Roman"/>
              </w:rPr>
              <w:t>7</w:t>
            </w:r>
          </w:p>
        </w:tc>
        <w:tc>
          <w:tcPr>
            <w:tcW w:w="1521" w:type="dxa"/>
          </w:tcPr>
          <w:p w14:paraId="50605E03" w14:textId="77777777" w:rsidR="00085E86" w:rsidRDefault="00085E86" w:rsidP="00727472">
            <w:pPr>
              <w:spacing w:line="240" w:lineRule="auto"/>
              <w:rPr>
                <w:rFonts w:ascii="Times New Roman" w:eastAsia="Calibri" w:hAnsi="Times New Roman" w:cs="Times New Roman"/>
              </w:rPr>
            </w:pPr>
            <w:r>
              <w:rPr>
                <w:rFonts w:ascii="Times New Roman" w:eastAsia="Calibri" w:hAnsi="Times New Roman" w:cs="Times New Roman"/>
              </w:rPr>
              <w:t>Bortezomib</w:t>
            </w:r>
          </w:p>
        </w:tc>
        <w:tc>
          <w:tcPr>
            <w:tcW w:w="3400" w:type="dxa"/>
          </w:tcPr>
          <w:p w14:paraId="1C0383F1" w14:textId="77777777" w:rsidR="00085E86" w:rsidRPr="007F36FA" w:rsidRDefault="00085E86" w:rsidP="00727472">
            <w:pPr>
              <w:spacing w:line="240" w:lineRule="auto"/>
              <w:rPr>
                <w:rFonts w:ascii="Times New Roman" w:eastAsia="Calibri" w:hAnsi="Times New Roman" w:cs="Times New Roman"/>
              </w:rPr>
            </w:pPr>
            <w:r>
              <w:rPr>
                <w:rFonts w:ascii="Times New Roman" w:eastAsia="Calibri" w:hAnsi="Times New Roman" w:cs="Times New Roman"/>
              </w:rPr>
              <w:t>1-1000  (full and anchored)</w:t>
            </w:r>
          </w:p>
        </w:tc>
        <w:tc>
          <w:tcPr>
            <w:tcW w:w="1984" w:type="dxa"/>
          </w:tcPr>
          <w:p w14:paraId="4DE968C6" w14:textId="77777777" w:rsidR="00085E86" w:rsidRPr="007F36FA" w:rsidRDefault="00085E86" w:rsidP="00727472">
            <w:pPr>
              <w:spacing w:line="240" w:lineRule="auto"/>
              <w:rPr>
                <w:rFonts w:ascii="Times New Roman" w:eastAsia="Calibri" w:hAnsi="Times New Roman" w:cs="Times New Roman"/>
              </w:rPr>
            </w:pPr>
            <w:r>
              <w:rPr>
                <w:rFonts w:ascii="Times New Roman" w:eastAsia="Calibri" w:hAnsi="Times New Roman" w:cs="Times New Roman"/>
              </w:rPr>
              <w:t>Dasatinib</w:t>
            </w:r>
          </w:p>
        </w:tc>
        <w:tc>
          <w:tcPr>
            <w:tcW w:w="1763" w:type="dxa"/>
          </w:tcPr>
          <w:p w14:paraId="0E6564ED" w14:textId="77777777" w:rsidR="00085E86" w:rsidRPr="007F36FA" w:rsidRDefault="00085E86" w:rsidP="00727472">
            <w:pPr>
              <w:spacing w:line="240" w:lineRule="auto"/>
              <w:rPr>
                <w:rFonts w:ascii="Times New Roman" w:eastAsia="Calibri" w:hAnsi="Times New Roman" w:cs="Times New Roman"/>
              </w:rPr>
            </w:pPr>
            <w:r>
              <w:rPr>
                <w:rFonts w:ascii="Times New Roman" w:eastAsia="Calibri" w:hAnsi="Times New Roman" w:cs="Times New Roman"/>
              </w:rPr>
              <w:t xml:space="preserve"> Dasatinib</w:t>
            </w:r>
          </w:p>
        </w:tc>
      </w:tr>
      <w:tr w:rsidR="00085E86" w:rsidRPr="007F36FA" w14:paraId="54AB12CE" w14:textId="77777777" w:rsidTr="00727472">
        <w:tc>
          <w:tcPr>
            <w:tcW w:w="574" w:type="dxa"/>
          </w:tcPr>
          <w:p w14:paraId="67C1DDC3" w14:textId="77777777" w:rsidR="00085E86" w:rsidRDefault="00085E86" w:rsidP="00727472">
            <w:pPr>
              <w:spacing w:line="240" w:lineRule="auto"/>
              <w:rPr>
                <w:rFonts w:ascii="Times New Roman" w:eastAsia="Calibri" w:hAnsi="Times New Roman" w:cs="Times New Roman"/>
              </w:rPr>
            </w:pPr>
            <w:r>
              <w:rPr>
                <w:rFonts w:ascii="Times New Roman" w:eastAsia="Calibri" w:hAnsi="Times New Roman" w:cs="Times New Roman"/>
              </w:rPr>
              <w:t>8</w:t>
            </w:r>
          </w:p>
        </w:tc>
        <w:tc>
          <w:tcPr>
            <w:tcW w:w="1521" w:type="dxa"/>
          </w:tcPr>
          <w:p w14:paraId="1365771B" w14:textId="77777777" w:rsidR="00085E86" w:rsidRDefault="00085E86" w:rsidP="00727472">
            <w:pPr>
              <w:spacing w:line="240" w:lineRule="auto"/>
              <w:rPr>
                <w:rFonts w:ascii="Times New Roman" w:eastAsia="Calibri" w:hAnsi="Times New Roman" w:cs="Times New Roman"/>
              </w:rPr>
            </w:pPr>
            <w:r>
              <w:rPr>
                <w:rFonts w:ascii="Times New Roman" w:eastAsia="Calibri" w:hAnsi="Times New Roman" w:cs="Times New Roman"/>
              </w:rPr>
              <w:t>Thalidomide</w:t>
            </w:r>
          </w:p>
        </w:tc>
        <w:tc>
          <w:tcPr>
            <w:tcW w:w="3400" w:type="dxa"/>
          </w:tcPr>
          <w:p w14:paraId="3697048D" w14:textId="77777777" w:rsidR="00085E86" w:rsidRPr="007F36FA" w:rsidRDefault="00085E86" w:rsidP="00727472">
            <w:pPr>
              <w:spacing w:line="240" w:lineRule="auto"/>
              <w:rPr>
                <w:rFonts w:ascii="Times New Roman" w:eastAsia="Calibri" w:hAnsi="Times New Roman" w:cs="Times New Roman"/>
              </w:rPr>
            </w:pPr>
            <w:r>
              <w:rPr>
                <w:rFonts w:ascii="Times New Roman" w:eastAsia="Calibri" w:hAnsi="Times New Roman" w:cs="Times New Roman"/>
              </w:rPr>
              <w:t>10 (anchored), 1-1000  (full)</w:t>
            </w:r>
          </w:p>
        </w:tc>
        <w:tc>
          <w:tcPr>
            <w:tcW w:w="1984" w:type="dxa"/>
          </w:tcPr>
          <w:p w14:paraId="5A966279" w14:textId="77777777" w:rsidR="00085E86" w:rsidRPr="007F36FA" w:rsidRDefault="00085E86" w:rsidP="00727472">
            <w:pPr>
              <w:spacing w:line="240" w:lineRule="auto"/>
              <w:rPr>
                <w:rFonts w:ascii="Times New Roman" w:eastAsia="Calibri" w:hAnsi="Times New Roman" w:cs="Times New Roman"/>
              </w:rPr>
            </w:pPr>
            <w:r>
              <w:rPr>
                <w:rFonts w:ascii="Times New Roman" w:eastAsia="Calibri" w:hAnsi="Times New Roman" w:cs="Times New Roman"/>
              </w:rPr>
              <w:t>Chlorambucil</w:t>
            </w:r>
          </w:p>
        </w:tc>
        <w:tc>
          <w:tcPr>
            <w:tcW w:w="1763" w:type="dxa"/>
          </w:tcPr>
          <w:p w14:paraId="564CA036" w14:textId="77777777" w:rsidR="00085E86" w:rsidRPr="007F36FA" w:rsidRDefault="00085E86" w:rsidP="00727472">
            <w:pPr>
              <w:spacing w:line="240" w:lineRule="auto"/>
              <w:rPr>
                <w:rFonts w:ascii="Times New Roman" w:eastAsia="Calibri" w:hAnsi="Times New Roman" w:cs="Times New Roman"/>
              </w:rPr>
            </w:pPr>
            <w:r>
              <w:rPr>
                <w:rFonts w:ascii="Times New Roman" w:eastAsia="Calibri" w:hAnsi="Times New Roman" w:cs="Times New Roman"/>
              </w:rPr>
              <w:t>Chlorambucil</w:t>
            </w:r>
          </w:p>
        </w:tc>
      </w:tr>
      <w:tr w:rsidR="00085E86" w:rsidRPr="007F36FA" w14:paraId="63F54F73" w14:textId="77777777" w:rsidTr="00727472">
        <w:tc>
          <w:tcPr>
            <w:tcW w:w="574" w:type="dxa"/>
          </w:tcPr>
          <w:p w14:paraId="41FD44D9" w14:textId="77777777" w:rsidR="00085E86" w:rsidRDefault="00085E86" w:rsidP="00727472">
            <w:pPr>
              <w:spacing w:line="240" w:lineRule="auto"/>
              <w:rPr>
                <w:rFonts w:ascii="Times New Roman" w:eastAsia="Calibri" w:hAnsi="Times New Roman" w:cs="Times New Roman"/>
              </w:rPr>
            </w:pPr>
            <w:r>
              <w:rPr>
                <w:rFonts w:ascii="Times New Roman" w:eastAsia="Calibri" w:hAnsi="Times New Roman" w:cs="Times New Roman"/>
              </w:rPr>
              <w:t>9</w:t>
            </w:r>
          </w:p>
        </w:tc>
        <w:tc>
          <w:tcPr>
            <w:tcW w:w="1521" w:type="dxa"/>
          </w:tcPr>
          <w:p w14:paraId="2C4714C5" w14:textId="77777777" w:rsidR="00085E86" w:rsidRDefault="00085E86" w:rsidP="00727472">
            <w:pPr>
              <w:spacing w:line="240" w:lineRule="auto"/>
              <w:rPr>
                <w:rFonts w:ascii="Times New Roman" w:eastAsia="Calibri" w:hAnsi="Times New Roman" w:cs="Times New Roman"/>
              </w:rPr>
            </w:pPr>
            <w:r>
              <w:rPr>
                <w:rFonts w:ascii="Times New Roman" w:eastAsia="Calibri" w:hAnsi="Times New Roman" w:cs="Times New Roman"/>
              </w:rPr>
              <w:t>Everolimus</w:t>
            </w:r>
          </w:p>
        </w:tc>
        <w:tc>
          <w:tcPr>
            <w:tcW w:w="3400" w:type="dxa"/>
          </w:tcPr>
          <w:p w14:paraId="3DF49E89" w14:textId="77777777" w:rsidR="00085E86" w:rsidRPr="007F36FA" w:rsidRDefault="00085E86" w:rsidP="00727472">
            <w:pPr>
              <w:spacing w:line="240" w:lineRule="auto"/>
              <w:rPr>
                <w:rFonts w:ascii="Times New Roman" w:eastAsia="Calibri" w:hAnsi="Times New Roman" w:cs="Times New Roman"/>
              </w:rPr>
            </w:pPr>
            <w:r>
              <w:rPr>
                <w:rFonts w:ascii="Times New Roman" w:eastAsia="Calibri" w:hAnsi="Times New Roman" w:cs="Times New Roman"/>
              </w:rPr>
              <w:t>1-1000  (anchored and full)</w:t>
            </w:r>
          </w:p>
        </w:tc>
        <w:tc>
          <w:tcPr>
            <w:tcW w:w="1984" w:type="dxa"/>
          </w:tcPr>
          <w:p w14:paraId="6C72C6DB" w14:textId="77777777" w:rsidR="00085E86" w:rsidRPr="007F36FA" w:rsidRDefault="00085E86" w:rsidP="00727472">
            <w:pPr>
              <w:spacing w:line="240" w:lineRule="auto"/>
              <w:rPr>
                <w:rFonts w:ascii="Times New Roman" w:eastAsia="Calibri" w:hAnsi="Times New Roman" w:cs="Times New Roman"/>
              </w:rPr>
            </w:pPr>
            <w:r>
              <w:rPr>
                <w:rFonts w:ascii="Times New Roman" w:eastAsia="Calibri" w:hAnsi="Times New Roman" w:cs="Times New Roman"/>
              </w:rPr>
              <w:t>5-azacytidine</w:t>
            </w:r>
          </w:p>
        </w:tc>
        <w:tc>
          <w:tcPr>
            <w:tcW w:w="1763" w:type="dxa"/>
          </w:tcPr>
          <w:p w14:paraId="0A43BEA4" w14:textId="77777777" w:rsidR="00085E86" w:rsidRPr="007F36FA" w:rsidRDefault="00085E86" w:rsidP="00727472">
            <w:pPr>
              <w:spacing w:line="240" w:lineRule="auto"/>
              <w:rPr>
                <w:rFonts w:ascii="Times New Roman" w:eastAsia="Calibri" w:hAnsi="Times New Roman" w:cs="Times New Roman"/>
              </w:rPr>
            </w:pPr>
            <w:r>
              <w:rPr>
                <w:rFonts w:ascii="Times New Roman" w:eastAsia="Calibri" w:hAnsi="Times New Roman" w:cs="Times New Roman"/>
              </w:rPr>
              <w:t xml:space="preserve"> 5-azacytidine</w:t>
            </w:r>
          </w:p>
        </w:tc>
      </w:tr>
      <w:tr w:rsidR="00085E86" w:rsidRPr="007F36FA" w14:paraId="50410A8F" w14:textId="77777777" w:rsidTr="00727472">
        <w:tc>
          <w:tcPr>
            <w:tcW w:w="574" w:type="dxa"/>
          </w:tcPr>
          <w:p w14:paraId="54F5DF9E" w14:textId="77777777" w:rsidR="00085E86" w:rsidRDefault="00085E86" w:rsidP="00727472">
            <w:pPr>
              <w:spacing w:line="240" w:lineRule="auto"/>
              <w:rPr>
                <w:rFonts w:ascii="Times New Roman" w:eastAsia="Calibri" w:hAnsi="Times New Roman" w:cs="Times New Roman"/>
              </w:rPr>
            </w:pPr>
            <w:r>
              <w:rPr>
                <w:rFonts w:ascii="Times New Roman" w:eastAsia="Calibri" w:hAnsi="Times New Roman" w:cs="Times New Roman"/>
              </w:rPr>
              <w:t>10</w:t>
            </w:r>
          </w:p>
        </w:tc>
        <w:tc>
          <w:tcPr>
            <w:tcW w:w="1521" w:type="dxa"/>
          </w:tcPr>
          <w:p w14:paraId="77909F5D" w14:textId="77777777" w:rsidR="00085E86" w:rsidRDefault="00085E86" w:rsidP="00727472">
            <w:pPr>
              <w:spacing w:line="240" w:lineRule="auto"/>
              <w:rPr>
                <w:rFonts w:ascii="Times New Roman" w:eastAsia="Calibri" w:hAnsi="Times New Roman" w:cs="Times New Roman"/>
              </w:rPr>
            </w:pPr>
            <w:r>
              <w:rPr>
                <w:rFonts w:ascii="Times New Roman" w:eastAsia="Calibri" w:hAnsi="Times New Roman" w:cs="Times New Roman"/>
              </w:rPr>
              <w:t>Chlorambucil</w:t>
            </w:r>
          </w:p>
        </w:tc>
        <w:tc>
          <w:tcPr>
            <w:tcW w:w="3400" w:type="dxa"/>
          </w:tcPr>
          <w:p w14:paraId="023EB35E" w14:textId="77777777" w:rsidR="00085E86" w:rsidRPr="007F36FA" w:rsidRDefault="00085E86" w:rsidP="00727472">
            <w:pPr>
              <w:spacing w:line="240" w:lineRule="auto"/>
              <w:rPr>
                <w:rFonts w:ascii="Times New Roman" w:eastAsia="Calibri" w:hAnsi="Times New Roman" w:cs="Times New Roman"/>
              </w:rPr>
            </w:pPr>
            <w:r>
              <w:rPr>
                <w:rFonts w:ascii="Times New Roman" w:eastAsia="Calibri" w:hAnsi="Times New Roman" w:cs="Times New Roman"/>
              </w:rPr>
              <w:t>10  (anchored), 1-1000  (full)</w:t>
            </w:r>
          </w:p>
        </w:tc>
        <w:tc>
          <w:tcPr>
            <w:tcW w:w="1984" w:type="dxa"/>
          </w:tcPr>
          <w:p w14:paraId="3A73C4F0" w14:textId="77777777" w:rsidR="00085E86" w:rsidRPr="007F36FA" w:rsidRDefault="00085E86" w:rsidP="00727472">
            <w:pPr>
              <w:spacing w:line="240" w:lineRule="auto"/>
              <w:rPr>
                <w:rFonts w:ascii="Times New Roman" w:eastAsia="Calibri" w:hAnsi="Times New Roman" w:cs="Times New Roman"/>
              </w:rPr>
            </w:pPr>
            <w:r>
              <w:rPr>
                <w:rFonts w:ascii="Times New Roman" w:eastAsia="Calibri" w:hAnsi="Times New Roman" w:cs="Times New Roman"/>
              </w:rPr>
              <w:t>Thalidomide</w:t>
            </w:r>
          </w:p>
        </w:tc>
        <w:tc>
          <w:tcPr>
            <w:tcW w:w="1763" w:type="dxa"/>
          </w:tcPr>
          <w:p w14:paraId="0656EFFA" w14:textId="77777777" w:rsidR="00085E86" w:rsidRPr="007F36FA" w:rsidRDefault="00085E86" w:rsidP="00727472">
            <w:pPr>
              <w:spacing w:line="240" w:lineRule="auto"/>
              <w:rPr>
                <w:rFonts w:ascii="Times New Roman" w:eastAsia="Calibri" w:hAnsi="Times New Roman" w:cs="Times New Roman"/>
              </w:rPr>
            </w:pPr>
            <w:r>
              <w:rPr>
                <w:rFonts w:ascii="Times New Roman" w:eastAsia="Calibri" w:hAnsi="Times New Roman" w:cs="Times New Roman"/>
              </w:rPr>
              <w:t xml:space="preserve"> Thalidomide</w:t>
            </w:r>
          </w:p>
        </w:tc>
      </w:tr>
    </w:tbl>
    <w:p w14:paraId="6A3EE763" w14:textId="603D8C58" w:rsidR="00085E86" w:rsidRDefault="00B716CB" w:rsidP="00285796">
      <w:pPr>
        <w:spacing w:before="160" w:after="120" w:line="240" w:lineRule="auto"/>
        <w:rPr>
          <w:rFonts w:ascii="Times New Roman" w:eastAsia="Calibri" w:hAnsi="Times New Roman" w:cs="Times New Roman"/>
          <w:sz w:val="24"/>
          <w:szCs w:val="24"/>
        </w:rPr>
      </w:pPr>
      <w:r w:rsidRPr="00780AED">
        <w:rPr>
          <w:rFonts w:ascii="Times New Roman" w:eastAsia="Calibri" w:hAnsi="Times New Roman" w:cs="Times New Roman"/>
          <w:b/>
          <w:bCs/>
          <w:sz w:val="24"/>
          <w:szCs w:val="24"/>
        </w:rPr>
        <w:lastRenderedPageBreak/>
        <w:t>Supplementary Table S5</w:t>
      </w:r>
      <w:r>
        <w:rPr>
          <w:rFonts w:ascii="Times New Roman" w:eastAsia="Calibri" w:hAnsi="Times New Roman" w:cs="Times New Roman"/>
          <w:sz w:val="24"/>
          <w:szCs w:val="24"/>
        </w:rPr>
        <w:t xml:space="preserve">: List of the patients and annotations. </w:t>
      </w:r>
    </w:p>
    <w:tbl>
      <w:tblPr>
        <w:tblStyle w:val="TableGrid"/>
        <w:tblW w:w="0" w:type="auto"/>
        <w:tblLook w:val="04A0" w:firstRow="1" w:lastRow="0" w:firstColumn="1" w:lastColumn="0" w:noHBand="0" w:noVBand="1"/>
      </w:tblPr>
      <w:tblGrid>
        <w:gridCol w:w="846"/>
        <w:gridCol w:w="5463"/>
        <w:gridCol w:w="3155"/>
      </w:tblGrid>
      <w:tr w:rsidR="00B716CB" w14:paraId="7934A3B7" w14:textId="77777777" w:rsidTr="00B716CB">
        <w:tc>
          <w:tcPr>
            <w:tcW w:w="846" w:type="dxa"/>
          </w:tcPr>
          <w:p w14:paraId="12095C37" w14:textId="23EFA9FC" w:rsidR="00B716CB" w:rsidRDefault="00B716CB" w:rsidP="00B716C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No</w:t>
            </w:r>
          </w:p>
        </w:tc>
        <w:tc>
          <w:tcPr>
            <w:tcW w:w="5463" w:type="dxa"/>
          </w:tcPr>
          <w:p w14:paraId="0C235332" w14:textId="0A359E9F" w:rsidR="00B716CB" w:rsidRDefault="00B716CB" w:rsidP="00B716C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Patient annotation</w:t>
            </w:r>
          </w:p>
        </w:tc>
        <w:tc>
          <w:tcPr>
            <w:tcW w:w="3155" w:type="dxa"/>
          </w:tcPr>
          <w:p w14:paraId="423B54E5" w14:textId="17772ECA" w:rsidR="00B716CB" w:rsidRDefault="00B716CB" w:rsidP="00B716C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Disease type</w:t>
            </w:r>
          </w:p>
        </w:tc>
      </w:tr>
      <w:tr w:rsidR="00B716CB" w14:paraId="30B93427" w14:textId="77777777" w:rsidTr="00B716CB">
        <w:tc>
          <w:tcPr>
            <w:tcW w:w="846" w:type="dxa"/>
          </w:tcPr>
          <w:p w14:paraId="15874FD4" w14:textId="028A77A0" w:rsidR="00B716CB" w:rsidRDefault="00B716CB" w:rsidP="00B716C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5463" w:type="dxa"/>
          </w:tcPr>
          <w:p w14:paraId="030E2BF2" w14:textId="6262A2A2" w:rsidR="00B716CB" w:rsidRDefault="00285796" w:rsidP="00B716C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DGAML01</w:t>
            </w:r>
          </w:p>
        </w:tc>
        <w:tc>
          <w:tcPr>
            <w:tcW w:w="3155" w:type="dxa"/>
          </w:tcPr>
          <w:p w14:paraId="51B891AB" w14:textId="42B46D1B" w:rsidR="00B716CB" w:rsidRDefault="00285796" w:rsidP="00B716C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AML</w:t>
            </w:r>
          </w:p>
        </w:tc>
      </w:tr>
      <w:tr w:rsidR="00B716CB" w14:paraId="07C78D89" w14:textId="77777777" w:rsidTr="00B716CB">
        <w:tc>
          <w:tcPr>
            <w:tcW w:w="846" w:type="dxa"/>
          </w:tcPr>
          <w:p w14:paraId="352984DC" w14:textId="66D2CD27" w:rsidR="00B716CB" w:rsidRDefault="00B716CB" w:rsidP="00B716C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5463" w:type="dxa"/>
          </w:tcPr>
          <w:p w14:paraId="14DAB2E2" w14:textId="033E9066" w:rsidR="00B716CB" w:rsidRDefault="00285796" w:rsidP="00B716C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DGAML02</w:t>
            </w:r>
          </w:p>
        </w:tc>
        <w:tc>
          <w:tcPr>
            <w:tcW w:w="3155" w:type="dxa"/>
          </w:tcPr>
          <w:p w14:paraId="250D3C1B" w14:textId="78883E97" w:rsidR="00B716CB" w:rsidRDefault="00285796" w:rsidP="00B716C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AML</w:t>
            </w:r>
          </w:p>
        </w:tc>
      </w:tr>
      <w:tr w:rsidR="00B716CB" w14:paraId="217AB3CF" w14:textId="77777777" w:rsidTr="00B716CB">
        <w:tc>
          <w:tcPr>
            <w:tcW w:w="846" w:type="dxa"/>
          </w:tcPr>
          <w:p w14:paraId="04CD5EF7" w14:textId="5706BA4B" w:rsidR="00B716CB" w:rsidRDefault="00B716CB" w:rsidP="00B716C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5463" w:type="dxa"/>
          </w:tcPr>
          <w:p w14:paraId="55C0CE98" w14:textId="6DBCA7E2" w:rsidR="00B716CB" w:rsidRDefault="00285796" w:rsidP="00B716C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AML03</w:t>
            </w:r>
          </w:p>
        </w:tc>
        <w:tc>
          <w:tcPr>
            <w:tcW w:w="3155" w:type="dxa"/>
          </w:tcPr>
          <w:p w14:paraId="60C28525" w14:textId="5DE67C16" w:rsidR="00B716CB" w:rsidRDefault="00285796" w:rsidP="00B716C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AML</w:t>
            </w:r>
          </w:p>
        </w:tc>
      </w:tr>
      <w:tr w:rsidR="00B716CB" w14:paraId="2B7DC7B3" w14:textId="77777777" w:rsidTr="00B716CB">
        <w:tc>
          <w:tcPr>
            <w:tcW w:w="846" w:type="dxa"/>
          </w:tcPr>
          <w:p w14:paraId="66D6BF71" w14:textId="4D6A6704" w:rsidR="00B716CB" w:rsidRDefault="00B716CB" w:rsidP="00B716C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5463" w:type="dxa"/>
          </w:tcPr>
          <w:p w14:paraId="577B3FE5" w14:textId="4801A643" w:rsidR="00B716CB" w:rsidRDefault="00285796" w:rsidP="00B716C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AML04</w:t>
            </w:r>
          </w:p>
        </w:tc>
        <w:tc>
          <w:tcPr>
            <w:tcW w:w="3155" w:type="dxa"/>
          </w:tcPr>
          <w:p w14:paraId="2E4F18F9" w14:textId="7E5E499F" w:rsidR="00B716CB" w:rsidRDefault="00285796" w:rsidP="00B716C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AML</w:t>
            </w:r>
          </w:p>
        </w:tc>
      </w:tr>
      <w:tr w:rsidR="00B716CB" w14:paraId="4A933553" w14:textId="77777777" w:rsidTr="00B716CB">
        <w:tc>
          <w:tcPr>
            <w:tcW w:w="846" w:type="dxa"/>
          </w:tcPr>
          <w:p w14:paraId="11973F7A" w14:textId="68A6E661" w:rsidR="00B716CB" w:rsidRDefault="00B716CB" w:rsidP="00B716C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5463" w:type="dxa"/>
          </w:tcPr>
          <w:p w14:paraId="726AD7C0" w14:textId="17E1EE1B" w:rsidR="00B716CB" w:rsidRDefault="00285796" w:rsidP="00B716C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DGCML01</w:t>
            </w:r>
          </w:p>
        </w:tc>
        <w:tc>
          <w:tcPr>
            <w:tcW w:w="3155" w:type="dxa"/>
          </w:tcPr>
          <w:p w14:paraId="07E3D5F1" w14:textId="6A5D4138" w:rsidR="00B716CB" w:rsidRDefault="00285796" w:rsidP="00B716C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CML</w:t>
            </w:r>
          </w:p>
        </w:tc>
      </w:tr>
      <w:tr w:rsidR="00B716CB" w14:paraId="2F7DC28F" w14:textId="77777777" w:rsidTr="00B716CB">
        <w:tc>
          <w:tcPr>
            <w:tcW w:w="846" w:type="dxa"/>
          </w:tcPr>
          <w:p w14:paraId="60CC2D03" w14:textId="6E75CCAA" w:rsidR="00B716CB" w:rsidRDefault="00B716CB" w:rsidP="00B716C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5463" w:type="dxa"/>
          </w:tcPr>
          <w:p w14:paraId="13E7B105" w14:textId="79ED00EE" w:rsidR="00B716CB" w:rsidRDefault="00285796" w:rsidP="00B716C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CML03</w:t>
            </w:r>
          </w:p>
        </w:tc>
        <w:tc>
          <w:tcPr>
            <w:tcW w:w="3155" w:type="dxa"/>
          </w:tcPr>
          <w:p w14:paraId="3A7ED9FE" w14:textId="28A6525E" w:rsidR="00B716CB" w:rsidRDefault="00285796" w:rsidP="00B716C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CML</w:t>
            </w:r>
          </w:p>
        </w:tc>
      </w:tr>
      <w:tr w:rsidR="00B716CB" w14:paraId="407D78E5" w14:textId="77777777" w:rsidTr="00B716CB">
        <w:tc>
          <w:tcPr>
            <w:tcW w:w="846" w:type="dxa"/>
          </w:tcPr>
          <w:p w14:paraId="381548DB" w14:textId="59657DC2" w:rsidR="00B716CB" w:rsidRDefault="00B716CB" w:rsidP="00B716C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5463" w:type="dxa"/>
          </w:tcPr>
          <w:p w14:paraId="2398CBE8" w14:textId="15B9CC1E" w:rsidR="00B716CB" w:rsidRDefault="00285796" w:rsidP="00B716C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CML04</w:t>
            </w:r>
          </w:p>
        </w:tc>
        <w:tc>
          <w:tcPr>
            <w:tcW w:w="3155" w:type="dxa"/>
          </w:tcPr>
          <w:p w14:paraId="37D34EA9" w14:textId="15AD3D3C" w:rsidR="00B716CB" w:rsidRDefault="00285796" w:rsidP="00B716C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CML</w:t>
            </w:r>
          </w:p>
        </w:tc>
      </w:tr>
      <w:tr w:rsidR="00B716CB" w14:paraId="03EAEF24" w14:textId="77777777" w:rsidTr="00B716CB">
        <w:tc>
          <w:tcPr>
            <w:tcW w:w="846" w:type="dxa"/>
          </w:tcPr>
          <w:p w14:paraId="496ACF5E" w14:textId="7756A168" w:rsidR="00B716CB" w:rsidRDefault="00B716CB" w:rsidP="00B716C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5463" w:type="dxa"/>
          </w:tcPr>
          <w:p w14:paraId="21A2179A" w14:textId="10AB6946" w:rsidR="00B716CB" w:rsidRDefault="00285796" w:rsidP="00B716C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DGCLL01</w:t>
            </w:r>
          </w:p>
        </w:tc>
        <w:tc>
          <w:tcPr>
            <w:tcW w:w="3155" w:type="dxa"/>
          </w:tcPr>
          <w:p w14:paraId="6270293D" w14:textId="20961714" w:rsidR="00B716CB" w:rsidRDefault="00285796" w:rsidP="00B716C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CLL</w:t>
            </w:r>
          </w:p>
        </w:tc>
      </w:tr>
      <w:tr w:rsidR="00B716CB" w14:paraId="44F7E45E" w14:textId="77777777" w:rsidTr="00B716CB">
        <w:tc>
          <w:tcPr>
            <w:tcW w:w="846" w:type="dxa"/>
          </w:tcPr>
          <w:p w14:paraId="66181CEC" w14:textId="0EC6D5FA" w:rsidR="00B716CB" w:rsidRDefault="00B716CB" w:rsidP="00B716C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5463" w:type="dxa"/>
          </w:tcPr>
          <w:p w14:paraId="461A6EEC" w14:textId="02680E30" w:rsidR="00B716CB" w:rsidRDefault="00285796" w:rsidP="00B716C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BHX (X- represent number)</w:t>
            </w:r>
          </w:p>
        </w:tc>
        <w:tc>
          <w:tcPr>
            <w:tcW w:w="3155" w:type="dxa"/>
          </w:tcPr>
          <w:p w14:paraId="7F1E3583" w14:textId="707B095D" w:rsidR="00B716CB" w:rsidRDefault="00285796" w:rsidP="00B716C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CLL</w:t>
            </w:r>
          </w:p>
        </w:tc>
      </w:tr>
    </w:tbl>
    <w:p w14:paraId="0A3FC032" w14:textId="77777777" w:rsidR="00085E86" w:rsidRDefault="00085E86" w:rsidP="00F8066F">
      <w:pPr>
        <w:spacing w:after="40" w:line="360" w:lineRule="auto"/>
        <w:jc w:val="both"/>
        <w:rPr>
          <w:rFonts w:ascii="Times New Roman" w:eastAsia="Calibri" w:hAnsi="Times New Roman" w:cs="Times New Roman"/>
          <w:b/>
          <w:bCs/>
          <w:sz w:val="24"/>
          <w:szCs w:val="24"/>
        </w:rPr>
      </w:pPr>
      <w:r w:rsidRPr="00E814C4">
        <w:rPr>
          <w:rFonts w:ascii="Times New Roman" w:eastAsia="Calibri" w:hAnsi="Times New Roman" w:cs="Times New Roman"/>
          <w:b/>
          <w:bCs/>
          <w:sz w:val="24"/>
          <w:szCs w:val="24"/>
        </w:rPr>
        <w:t xml:space="preserve">Supplementary Figures </w:t>
      </w:r>
    </w:p>
    <w:p w14:paraId="4ABD01F9" w14:textId="7986B1CE" w:rsidR="00085E86" w:rsidRPr="00F82DBE" w:rsidRDefault="00085E86" w:rsidP="00F8066F">
      <w:pPr>
        <w:pStyle w:val="ListParagraph"/>
        <w:numPr>
          <w:ilvl w:val="0"/>
          <w:numId w:val="1"/>
        </w:numPr>
        <w:spacing w:line="480" w:lineRule="auto"/>
        <w:ind w:left="714" w:hanging="357"/>
        <w:jc w:val="both"/>
        <w:rPr>
          <w:rFonts w:ascii="Times New Roman" w:eastAsia="Calibri" w:hAnsi="Times New Roman" w:cs="Times New Roman"/>
          <w:b/>
          <w:bCs/>
          <w:sz w:val="24"/>
          <w:szCs w:val="24"/>
        </w:rPr>
      </w:pPr>
      <w:r>
        <w:rPr>
          <w:noProof/>
          <w:lang w:val="en-IN" w:eastAsia="en-IN"/>
        </w:rPr>
        <mc:AlternateContent>
          <mc:Choice Requires="wps">
            <w:drawing>
              <wp:anchor distT="0" distB="0" distL="114300" distR="114300" simplePos="0" relativeHeight="251659264" behindDoc="0" locked="0" layoutInCell="1" allowOverlap="1" wp14:anchorId="3AE4CC0A" wp14:editId="4EADB85D">
                <wp:simplePos x="0" y="0"/>
                <wp:positionH relativeFrom="column">
                  <wp:posOffset>699770</wp:posOffset>
                </wp:positionH>
                <wp:positionV relativeFrom="paragraph">
                  <wp:posOffset>207010</wp:posOffset>
                </wp:positionV>
                <wp:extent cx="716280" cy="129540"/>
                <wp:effectExtent l="0" t="0" r="7620" b="22860"/>
                <wp:wrapNone/>
                <wp:docPr id="1143014010" name="Arrow: Curved Down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6280" cy="129540"/>
                        </a:xfrm>
                        <a:prstGeom prst="curvedDownArrow">
                          <a:avLst>
                            <a:gd name="adj1" fmla="val 25010"/>
                            <a:gd name="adj2" fmla="val 49995"/>
                            <a:gd name="adj3" fmla="val 25000"/>
                          </a:avLst>
                        </a:prstGeom>
                        <a:solidFill>
                          <a:schemeClr val="accent1">
                            <a:lumMod val="100000"/>
                            <a:lumOff val="0"/>
                          </a:schemeClr>
                        </a:solidFill>
                        <a:ln w="12700">
                          <a:solidFill>
                            <a:schemeClr val="accent1">
                              <a:lumMod val="50000"/>
                              <a:lumOff val="0"/>
                            </a:schemeClr>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698E4D5"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Arrow: Curved Down 4" o:spid="_x0000_s1026" type="#_x0000_t105" style="position:absolute;margin-left:55.1pt;margin-top:16.3pt;width:56.4pt;height:10.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" adj="19647,21112,16200" fillcolor="#156082 [3204]" strokecolor="#0a2f40 [1604]" strokeweight="1pt"/>
            </w:pict>
          </mc:Fallback>
        </mc:AlternateContent>
      </w:r>
      <w:r>
        <w:rPr>
          <w:noProof/>
          <w:lang w:val="en-IN" w:eastAsia="en-IN"/>
        </w:rPr>
        <mc:AlternateContent>
          <mc:Choice Requires="wps">
            <w:drawing>
              <wp:anchor distT="0" distB="0" distL="114300" distR="114300" simplePos="0" relativeHeight="251661312" behindDoc="0" locked="0" layoutInCell="1" allowOverlap="1" wp14:anchorId="5145033D" wp14:editId="7A5E1193">
                <wp:simplePos x="0" y="0"/>
                <wp:positionH relativeFrom="column">
                  <wp:posOffset>2384425</wp:posOffset>
                </wp:positionH>
                <wp:positionV relativeFrom="paragraph">
                  <wp:posOffset>214630</wp:posOffset>
                </wp:positionV>
                <wp:extent cx="716280" cy="129540"/>
                <wp:effectExtent l="0" t="0" r="7620" b="22860"/>
                <wp:wrapNone/>
                <wp:docPr id="1969796405" name="Arrow: Curved Down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6280" cy="129540"/>
                        </a:xfrm>
                        <a:prstGeom prst="curvedDownArrow">
                          <a:avLst>
                            <a:gd name="adj1" fmla="val 25010"/>
                            <a:gd name="adj2" fmla="val 49995"/>
                            <a:gd name="adj3" fmla="val 25000"/>
                          </a:avLst>
                        </a:prstGeom>
                        <a:solidFill>
                          <a:schemeClr val="accent1">
                            <a:lumMod val="100000"/>
                            <a:lumOff val="0"/>
                          </a:schemeClr>
                        </a:solidFill>
                        <a:ln w="12700">
                          <a:solidFill>
                            <a:schemeClr val="accent1">
                              <a:lumMod val="50000"/>
                              <a:lumOff val="0"/>
                            </a:schemeClr>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3B4B94" id="Arrow: Curved Down 3" o:spid="_x0000_s1026" type="#_x0000_t105" style="position:absolute;margin-left:187.75pt;margin-top:16.9pt;width:56.4pt;height:10.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" adj="19647,21112,16200" fillcolor="#156082 [3204]" strokecolor="#0a2f40 [1604]" strokeweight="1pt"/>
            </w:pict>
          </mc:Fallback>
        </mc:AlternateContent>
      </w:r>
      <w:r>
        <w:rPr>
          <w:noProof/>
          <w:lang w:val="en-IN" w:eastAsia="en-IN"/>
        </w:rPr>
        <mc:AlternateContent>
          <mc:Choice Requires="wps">
            <w:drawing>
              <wp:anchor distT="0" distB="0" distL="114300" distR="114300" simplePos="0" relativeHeight="251662336" behindDoc="0" locked="0" layoutInCell="1" allowOverlap="1" wp14:anchorId="0A02F250" wp14:editId="75EDF1E7">
                <wp:simplePos x="0" y="0"/>
                <wp:positionH relativeFrom="column">
                  <wp:posOffset>3190240</wp:posOffset>
                </wp:positionH>
                <wp:positionV relativeFrom="paragraph">
                  <wp:posOffset>200660</wp:posOffset>
                </wp:positionV>
                <wp:extent cx="716280" cy="129540"/>
                <wp:effectExtent l="0" t="0" r="7620" b="22860"/>
                <wp:wrapNone/>
                <wp:docPr id="1380782612" name="Arrow: Curved Down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6280" cy="129540"/>
                        </a:xfrm>
                        <a:prstGeom prst="curvedDownArrow">
                          <a:avLst>
                            <a:gd name="adj1" fmla="val 25010"/>
                            <a:gd name="adj2" fmla="val 49995"/>
                            <a:gd name="adj3" fmla="val 25000"/>
                          </a:avLst>
                        </a:prstGeom>
                        <a:solidFill>
                          <a:schemeClr val="accent1">
                            <a:lumMod val="100000"/>
                            <a:lumOff val="0"/>
                          </a:schemeClr>
                        </a:solidFill>
                        <a:ln w="12700">
                          <a:solidFill>
                            <a:schemeClr val="accent1">
                              <a:lumMod val="50000"/>
                              <a:lumOff val="0"/>
                            </a:schemeClr>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5A3EBC9" id="Arrow: Curved Down 2" o:spid="_x0000_s1026" type="#_x0000_t105" style="position:absolute;margin-left:251.2pt;margin-top:15.8pt;width:56.4pt;height:10.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" adj="19647,21112,16200" fillcolor="#156082 [3204]" strokecolor="#0a2f40 [1604]" strokeweight="1pt"/>
            </w:pict>
          </mc:Fallback>
        </mc:AlternateContent>
      </w:r>
      <w:r>
        <w:rPr>
          <w:noProof/>
          <w:lang w:val="en-IN" w:eastAsia="en-IN"/>
        </w:rPr>
        <mc:AlternateContent>
          <mc:Choice Requires="wps">
            <w:drawing>
              <wp:anchor distT="0" distB="0" distL="114300" distR="114300" simplePos="0" relativeHeight="251660288" behindDoc="0" locked="0" layoutInCell="1" allowOverlap="1" wp14:anchorId="24114195" wp14:editId="672FE6AB">
                <wp:simplePos x="0" y="0"/>
                <wp:positionH relativeFrom="column">
                  <wp:posOffset>1551305</wp:posOffset>
                </wp:positionH>
                <wp:positionV relativeFrom="paragraph">
                  <wp:posOffset>210185</wp:posOffset>
                </wp:positionV>
                <wp:extent cx="716280" cy="129540"/>
                <wp:effectExtent l="0" t="0" r="7620" b="22860"/>
                <wp:wrapNone/>
                <wp:docPr id="803540744" name="Arrow: Curved Down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6280" cy="129540"/>
                        </a:xfrm>
                        <a:prstGeom prst="curvedDownArrow">
                          <a:avLst>
                            <a:gd name="adj1" fmla="val 25010"/>
                            <a:gd name="adj2" fmla="val 49995"/>
                            <a:gd name="adj3" fmla="val 25000"/>
                          </a:avLst>
                        </a:prstGeom>
                        <a:solidFill>
                          <a:schemeClr val="accent1">
                            <a:lumMod val="100000"/>
                            <a:lumOff val="0"/>
                          </a:schemeClr>
                        </a:solidFill>
                        <a:ln w="12700">
                          <a:solidFill>
                            <a:schemeClr val="accent1">
                              <a:lumMod val="50000"/>
                              <a:lumOff val="0"/>
                            </a:schemeClr>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B24A336" id="Arrow: Curved Down 1" o:spid="_x0000_s1026" type="#_x0000_t105" style="position:absolute;margin-left:122.15pt;margin-top:16.55pt;width:56.4pt;height:10.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" adj="19647,21112,16200" fillcolor="#156082 [3204]" strokecolor="#0a2f40 [1604]" strokeweight="1pt"/>
            </w:pict>
          </mc:Fallback>
        </mc:AlternateContent>
      </w:r>
      <w:r>
        <w:rPr>
          <w:rFonts w:ascii="Times New Roman" w:eastAsia="Calibri" w:hAnsi="Times New Roman" w:cs="Times New Roman"/>
          <w:b/>
          <w:bCs/>
          <w:sz w:val="24"/>
          <w:szCs w:val="24"/>
        </w:rPr>
        <w:t>Drug dilutions</w:t>
      </w:r>
    </w:p>
    <w:tbl>
      <w:tblPr>
        <w:tblStyle w:val="TableGrid2"/>
        <w:tblW w:w="0" w:type="auto"/>
        <w:tblInd w:w="0" w:type="dxa"/>
        <w:tblLook w:val="04A0" w:firstRow="1" w:lastRow="0" w:firstColumn="1" w:lastColumn="0" w:noHBand="0" w:noVBand="1"/>
      </w:tblPr>
      <w:tblGrid>
        <w:gridCol w:w="1677"/>
        <w:gridCol w:w="1701"/>
        <w:gridCol w:w="1140"/>
        <w:gridCol w:w="1104"/>
        <w:gridCol w:w="1066"/>
        <w:gridCol w:w="1005"/>
      </w:tblGrid>
      <w:tr w:rsidR="00085E86" w:rsidRPr="00971DBD" w14:paraId="4B5ADD18" w14:textId="77777777" w:rsidTr="00727472">
        <w:trPr>
          <w:trHeight w:val="366"/>
        </w:trPr>
        <w:tc>
          <w:tcPr>
            <w:tcW w:w="1572" w:type="dxa"/>
            <w:tcBorders>
              <w:top w:val="single" w:sz="4" w:space="0" w:color="auto"/>
              <w:left w:val="single" w:sz="4" w:space="0" w:color="auto"/>
              <w:bottom w:val="single" w:sz="4" w:space="0" w:color="auto"/>
              <w:right w:val="single" w:sz="4" w:space="0" w:color="auto"/>
            </w:tcBorders>
            <w:hideMark/>
          </w:tcPr>
          <w:p w14:paraId="5001960E" w14:textId="77777777" w:rsidR="00085E86" w:rsidRPr="00971DBD" w:rsidRDefault="00085E86" w:rsidP="00727472">
            <w:pPr>
              <w:spacing w:line="480" w:lineRule="auto"/>
              <w:rPr>
                <w:rFonts w:ascii="Times New Roman" w:hAnsi="Times New Roman" w:cs="Times New Roman"/>
                <w:sz w:val="24"/>
                <w:szCs w:val="24"/>
              </w:rPr>
            </w:pPr>
            <w:r w:rsidRPr="00971DBD">
              <w:rPr>
                <w:rFonts w:ascii="Times New Roman" w:hAnsi="Times New Roman" w:cs="Times New Roman"/>
                <w:sz w:val="24"/>
                <w:szCs w:val="24"/>
              </w:rPr>
              <w:t>Concentrations</w:t>
            </w:r>
          </w:p>
        </w:tc>
        <w:tc>
          <w:tcPr>
            <w:tcW w:w="1538" w:type="dxa"/>
            <w:tcBorders>
              <w:top w:val="single" w:sz="4" w:space="0" w:color="auto"/>
              <w:left w:val="single" w:sz="4" w:space="0" w:color="auto"/>
              <w:bottom w:val="single" w:sz="4" w:space="0" w:color="auto"/>
              <w:right w:val="single" w:sz="4" w:space="0" w:color="auto"/>
            </w:tcBorders>
            <w:shd w:val="clear" w:color="auto" w:fill="F1A983" w:themeFill="accent2" w:themeFillTint="99"/>
            <w:hideMark/>
          </w:tcPr>
          <w:p w14:paraId="67E686CD" w14:textId="77777777" w:rsidR="00085E86" w:rsidRPr="00971DBD" w:rsidRDefault="00085E86" w:rsidP="00727472">
            <w:pPr>
              <w:spacing w:line="480" w:lineRule="auto"/>
              <w:rPr>
                <w:rFonts w:ascii="Times New Roman" w:hAnsi="Times New Roman" w:cs="Times New Roman"/>
                <w:sz w:val="24"/>
                <w:szCs w:val="24"/>
              </w:rPr>
            </w:pPr>
            <w:r w:rsidRPr="00971DBD">
              <w:rPr>
                <w:rFonts w:ascii="Times New Roman" w:hAnsi="Times New Roman" w:cs="Times New Roman"/>
                <w:sz w:val="24"/>
                <w:szCs w:val="24"/>
              </w:rPr>
              <w:t>C1</w:t>
            </w:r>
          </w:p>
        </w:tc>
        <w:tc>
          <w:tcPr>
            <w:tcW w:w="1140" w:type="dxa"/>
            <w:tcBorders>
              <w:top w:val="single" w:sz="4" w:space="0" w:color="auto"/>
              <w:left w:val="single" w:sz="4" w:space="0" w:color="auto"/>
              <w:bottom w:val="single" w:sz="4" w:space="0" w:color="auto"/>
              <w:right w:val="single" w:sz="4" w:space="0" w:color="auto"/>
            </w:tcBorders>
            <w:shd w:val="clear" w:color="auto" w:fill="F1A983" w:themeFill="accent2" w:themeFillTint="99"/>
            <w:hideMark/>
          </w:tcPr>
          <w:p w14:paraId="11CE6002" w14:textId="77777777" w:rsidR="00085E86" w:rsidRPr="00971DBD" w:rsidRDefault="00085E86" w:rsidP="00727472">
            <w:pPr>
              <w:spacing w:line="480" w:lineRule="auto"/>
              <w:rPr>
                <w:rFonts w:ascii="Times New Roman" w:hAnsi="Times New Roman" w:cs="Times New Roman"/>
                <w:sz w:val="24"/>
                <w:szCs w:val="24"/>
              </w:rPr>
            </w:pPr>
            <w:r w:rsidRPr="00971DBD">
              <w:rPr>
                <w:rFonts w:ascii="Times New Roman" w:hAnsi="Times New Roman" w:cs="Times New Roman"/>
                <w:sz w:val="24"/>
                <w:szCs w:val="24"/>
              </w:rPr>
              <w:t>C2</w:t>
            </w:r>
          </w:p>
        </w:tc>
        <w:tc>
          <w:tcPr>
            <w:tcW w:w="1104" w:type="dxa"/>
            <w:tcBorders>
              <w:top w:val="single" w:sz="4" w:space="0" w:color="auto"/>
              <w:left w:val="single" w:sz="4" w:space="0" w:color="auto"/>
              <w:bottom w:val="single" w:sz="4" w:space="0" w:color="auto"/>
              <w:right w:val="single" w:sz="4" w:space="0" w:color="auto"/>
            </w:tcBorders>
            <w:shd w:val="clear" w:color="auto" w:fill="F1A983" w:themeFill="accent2" w:themeFillTint="99"/>
            <w:hideMark/>
          </w:tcPr>
          <w:p w14:paraId="3545F808" w14:textId="77777777" w:rsidR="00085E86" w:rsidRPr="00971DBD" w:rsidRDefault="00085E86" w:rsidP="00727472">
            <w:pPr>
              <w:spacing w:line="480" w:lineRule="auto"/>
              <w:rPr>
                <w:rFonts w:ascii="Times New Roman" w:hAnsi="Times New Roman" w:cs="Times New Roman"/>
                <w:sz w:val="24"/>
                <w:szCs w:val="24"/>
              </w:rPr>
            </w:pPr>
            <w:r w:rsidRPr="00971DBD">
              <w:rPr>
                <w:rFonts w:ascii="Times New Roman" w:hAnsi="Times New Roman" w:cs="Times New Roman"/>
                <w:sz w:val="24"/>
                <w:szCs w:val="24"/>
              </w:rPr>
              <w:t>C3</w:t>
            </w:r>
          </w:p>
        </w:tc>
        <w:tc>
          <w:tcPr>
            <w:tcW w:w="1066" w:type="dxa"/>
            <w:tcBorders>
              <w:top w:val="single" w:sz="4" w:space="0" w:color="auto"/>
              <w:left w:val="single" w:sz="4" w:space="0" w:color="auto"/>
              <w:bottom w:val="single" w:sz="4" w:space="0" w:color="auto"/>
              <w:right w:val="single" w:sz="4" w:space="0" w:color="auto"/>
            </w:tcBorders>
            <w:shd w:val="clear" w:color="auto" w:fill="F1A983" w:themeFill="accent2" w:themeFillTint="99"/>
            <w:hideMark/>
          </w:tcPr>
          <w:p w14:paraId="58491370" w14:textId="77777777" w:rsidR="00085E86" w:rsidRPr="00971DBD" w:rsidRDefault="00085E86" w:rsidP="00727472">
            <w:pPr>
              <w:spacing w:line="480" w:lineRule="auto"/>
              <w:rPr>
                <w:rFonts w:ascii="Times New Roman" w:hAnsi="Times New Roman" w:cs="Times New Roman"/>
                <w:sz w:val="24"/>
                <w:szCs w:val="24"/>
              </w:rPr>
            </w:pPr>
            <w:r w:rsidRPr="00971DBD">
              <w:rPr>
                <w:rFonts w:ascii="Times New Roman" w:hAnsi="Times New Roman" w:cs="Times New Roman"/>
                <w:sz w:val="24"/>
                <w:szCs w:val="24"/>
              </w:rPr>
              <w:t>C4</w:t>
            </w:r>
          </w:p>
        </w:tc>
        <w:tc>
          <w:tcPr>
            <w:tcW w:w="1005" w:type="dxa"/>
            <w:tcBorders>
              <w:top w:val="single" w:sz="4" w:space="0" w:color="auto"/>
              <w:left w:val="single" w:sz="4" w:space="0" w:color="auto"/>
              <w:bottom w:val="single" w:sz="4" w:space="0" w:color="auto"/>
              <w:right w:val="single" w:sz="4" w:space="0" w:color="auto"/>
            </w:tcBorders>
            <w:hideMark/>
          </w:tcPr>
          <w:p w14:paraId="067B82F0" w14:textId="77777777" w:rsidR="00085E86" w:rsidRPr="00971DBD" w:rsidRDefault="00085E86" w:rsidP="00727472">
            <w:pPr>
              <w:spacing w:line="480" w:lineRule="auto"/>
              <w:rPr>
                <w:rFonts w:ascii="Times New Roman" w:hAnsi="Times New Roman" w:cs="Times New Roman"/>
                <w:sz w:val="24"/>
                <w:szCs w:val="24"/>
              </w:rPr>
            </w:pPr>
            <w:r w:rsidRPr="00971DBD">
              <w:rPr>
                <w:rFonts w:ascii="Times New Roman" w:hAnsi="Times New Roman" w:cs="Times New Roman"/>
                <w:sz w:val="24"/>
                <w:szCs w:val="24"/>
              </w:rPr>
              <w:t>C5</w:t>
            </w:r>
          </w:p>
        </w:tc>
      </w:tr>
      <w:tr w:rsidR="00085E86" w:rsidRPr="00971DBD" w14:paraId="08E93E9D" w14:textId="77777777" w:rsidTr="00727472">
        <w:trPr>
          <w:trHeight w:val="363"/>
        </w:trPr>
        <w:tc>
          <w:tcPr>
            <w:tcW w:w="1572" w:type="dxa"/>
            <w:tcBorders>
              <w:top w:val="single" w:sz="4" w:space="0" w:color="auto"/>
              <w:left w:val="single" w:sz="4" w:space="0" w:color="auto"/>
              <w:right w:val="single" w:sz="4" w:space="0" w:color="auto"/>
            </w:tcBorders>
          </w:tcPr>
          <w:p w14:paraId="77E0CC7D" w14:textId="77777777" w:rsidR="00085E86" w:rsidRPr="00971DBD" w:rsidRDefault="00085E86" w:rsidP="00971DBD">
            <w:pPr>
              <w:spacing w:line="360" w:lineRule="auto"/>
              <w:rPr>
                <w:rFonts w:ascii="Times New Roman" w:hAnsi="Times New Roman" w:cs="Times New Roman"/>
                <w:sz w:val="24"/>
                <w:szCs w:val="24"/>
              </w:rPr>
            </w:pPr>
            <w:r w:rsidRPr="00971DBD">
              <w:rPr>
                <w:rFonts w:ascii="Times New Roman" w:hAnsi="Times New Roman" w:cs="Times New Roman"/>
                <w:sz w:val="24"/>
                <w:szCs w:val="24"/>
              </w:rPr>
              <w:t>Master plate</w:t>
            </w:r>
          </w:p>
          <w:p w14:paraId="749ADE70" w14:textId="77777777" w:rsidR="00085E86" w:rsidRPr="00971DBD" w:rsidRDefault="00085E86" w:rsidP="00971DBD">
            <w:pPr>
              <w:spacing w:line="360" w:lineRule="auto"/>
              <w:rPr>
                <w:rFonts w:ascii="Times New Roman" w:hAnsi="Times New Roman" w:cs="Times New Roman"/>
                <w:b/>
                <w:bCs/>
                <w:sz w:val="24"/>
                <w:szCs w:val="24"/>
              </w:rPr>
            </w:pPr>
            <w:r w:rsidRPr="00971DBD">
              <w:rPr>
                <w:rFonts w:ascii="Times New Roman" w:hAnsi="Times New Roman" w:cs="Times New Roman"/>
                <w:b/>
                <w:bCs/>
                <w:sz w:val="24"/>
                <w:szCs w:val="24"/>
              </w:rPr>
              <w:t>10µM</w:t>
            </w:r>
          </w:p>
        </w:tc>
        <w:tc>
          <w:tcPr>
            <w:tcW w:w="1538" w:type="dxa"/>
            <w:tcBorders>
              <w:top w:val="single" w:sz="4" w:space="0" w:color="auto"/>
              <w:left w:val="single" w:sz="4" w:space="0" w:color="auto"/>
              <w:bottom w:val="single" w:sz="4" w:space="0" w:color="auto"/>
              <w:right w:val="single" w:sz="4" w:space="0" w:color="auto"/>
            </w:tcBorders>
            <w:hideMark/>
          </w:tcPr>
          <w:p w14:paraId="74546B37" w14:textId="77777777" w:rsidR="00085E86" w:rsidRPr="00971DBD" w:rsidRDefault="00085E86" w:rsidP="00727472">
            <w:pPr>
              <w:spacing w:line="480" w:lineRule="auto"/>
              <w:rPr>
                <w:rFonts w:ascii="Times New Roman" w:hAnsi="Times New Roman" w:cs="Times New Roman"/>
                <w:b/>
                <w:bCs/>
                <w:sz w:val="24"/>
                <w:szCs w:val="24"/>
              </w:rPr>
            </w:pPr>
            <w:r w:rsidRPr="00971DBD">
              <w:rPr>
                <w:rFonts w:ascii="Times New Roman" w:hAnsi="Times New Roman" w:cs="Times New Roman"/>
                <w:b/>
                <w:bCs/>
                <w:sz w:val="24"/>
                <w:szCs w:val="24"/>
              </w:rPr>
              <w:t>1µM(1000nM)</w:t>
            </w:r>
          </w:p>
        </w:tc>
        <w:tc>
          <w:tcPr>
            <w:tcW w:w="1140" w:type="dxa"/>
            <w:tcBorders>
              <w:top w:val="single" w:sz="4" w:space="0" w:color="auto"/>
              <w:left w:val="single" w:sz="4" w:space="0" w:color="auto"/>
              <w:bottom w:val="single" w:sz="4" w:space="0" w:color="auto"/>
              <w:right w:val="single" w:sz="4" w:space="0" w:color="auto"/>
            </w:tcBorders>
            <w:hideMark/>
          </w:tcPr>
          <w:p w14:paraId="65A218FC" w14:textId="77777777" w:rsidR="00085E86" w:rsidRPr="00971DBD" w:rsidRDefault="00085E86" w:rsidP="00727472">
            <w:pPr>
              <w:spacing w:line="480" w:lineRule="auto"/>
              <w:rPr>
                <w:rFonts w:ascii="Times New Roman" w:hAnsi="Times New Roman" w:cs="Times New Roman"/>
                <w:b/>
                <w:bCs/>
                <w:sz w:val="24"/>
                <w:szCs w:val="24"/>
              </w:rPr>
            </w:pPr>
            <w:r w:rsidRPr="00971DBD">
              <w:rPr>
                <w:rFonts w:ascii="Times New Roman" w:hAnsi="Times New Roman" w:cs="Times New Roman"/>
                <w:b/>
                <w:bCs/>
                <w:sz w:val="24"/>
                <w:szCs w:val="24"/>
              </w:rPr>
              <w:t>100nM</w:t>
            </w:r>
          </w:p>
        </w:tc>
        <w:tc>
          <w:tcPr>
            <w:tcW w:w="1104" w:type="dxa"/>
            <w:tcBorders>
              <w:top w:val="single" w:sz="4" w:space="0" w:color="auto"/>
              <w:left w:val="single" w:sz="4" w:space="0" w:color="auto"/>
              <w:bottom w:val="single" w:sz="4" w:space="0" w:color="auto"/>
              <w:right w:val="single" w:sz="4" w:space="0" w:color="auto"/>
            </w:tcBorders>
            <w:hideMark/>
          </w:tcPr>
          <w:p w14:paraId="16A56D11" w14:textId="77777777" w:rsidR="00085E86" w:rsidRPr="00971DBD" w:rsidRDefault="00085E86" w:rsidP="00727472">
            <w:pPr>
              <w:spacing w:line="480" w:lineRule="auto"/>
              <w:rPr>
                <w:rFonts w:ascii="Times New Roman" w:hAnsi="Times New Roman" w:cs="Times New Roman"/>
                <w:b/>
                <w:bCs/>
                <w:sz w:val="24"/>
                <w:szCs w:val="24"/>
              </w:rPr>
            </w:pPr>
            <w:r w:rsidRPr="00971DBD">
              <w:rPr>
                <w:rFonts w:ascii="Times New Roman" w:hAnsi="Times New Roman" w:cs="Times New Roman"/>
                <w:b/>
                <w:bCs/>
                <w:sz w:val="24"/>
                <w:szCs w:val="24"/>
              </w:rPr>
              <w:t>10nM</w:t>
            </w:r>
          </w:p>
        </w:tc>
        <w:tc>
          <w:tcPr>
            <w:tcW w:w="1066" w:type="dxa"/>
            <w:tcBorders>
              <w:top w:val="single" w:sz="4" w:space="0" w:color="auto"/>
              <w:left w:val="single" w:sz="4" w:space="0" w:color="auto"/>
              <w:bottom w:val="single" w:sz="4" w:space="0" w:color="auto"/>
              <w:right w:val="single" w:sz="4" w:space="0" w:color="auto"/>
            </w:tcBorders>
            <w:hideMark/>
          </w:tcPr>
          <w:p w14:paraId="6355DFC5" w14:textId="77777777" w:rsidR="00085E86" w:rsidRPr="00971DBD" w:rsidRDefault="00085E86" w:rsidP="00727472">
            <w:pPr>
              <w:spacing w:line="480" w:lineRule="auto"/>
              <w:rPr>
                <w:rFonts w:ascii="Times New Roman" w:hAnsi="Times New Roman" w:cs="Times New Roman"/>
                <w:b/>
                <w:bCs/>
                <w:sz w:val="24"/>
                <w:szCs w:val="24"/>
              </w:rPr>
            </w:pPr>
            <w:r w:rsidRPr="00971DBD">
              <w:rPr>
                <w:rFonts w:ascii="Times New Roman" w:hAnsi="Times New Roman" w:cs="Times New Roman"/>
                <w:b/>
                <w:bCs/>
                <w:sz w:val="24"/>
                <w:szCs w:val="24"/>
              </w:rPr>
              <w:t>1nM</w:t>
            </w:r>
          </w:p>
        </w:tc>
        <w:tc>
          <w:tcPr>
            <w:tcW w:w="1005" w:type="dxa"/>
            <w:tcBorders>
              <w:top w:val="single" w:sz="4" w:space="0" w:color="auto"/>
              <w:left w:val="single" w:sz="4" w:space="0" w:color="auto"/>
              <w:bottom w:val="single" w:sz="4" w:space="0" w:color="auto"/>
              <w:right w:val="single" w:sz="4" w:space="0" w:color="auto"/>
            </w:tcBorders>
            <w:hideMark/>
          </w:tcPr>
          <w:p w14:paraId="7076640D" w14:textId="77777777" w:rsidR="00085E86" w:rsidRPr="00971DBD" w:rsidRDefault="00085E86" w:rsidP="00727472">
            <w:pPr>
              <w:spacing w:line="480" w:lineRule="auto"/>
              <w:rPr>
                <w:rFonts w:ascii="Times New Roman" w:hAnsi="Times New Roman" w:cs="Times New Roman"/>
                <w:b/>
                <w:bCs/>
                <w:sz w:val="24"/>
                <w:szCs w:val="24"/>
              </w:rPr>
            </w:pPr>
            <w:r w:rsidRPr="00971DBD">
              <w:rPr>
                <w:rFonts w:ascii="Times New Roman" w:hAnsi="Times New Roman" w:cs="Times New Roman"/>
                <w:b/>
                <w:bCs/>
                <w:sz w:val="24"/>
                <w:szCs w:val="24"/>
              </w:rPr>
              <w:t>0.1nM</w:t>
            </w:r>
          </w:p>
        </w:tc>
      </w:tr>
      <w:tr w:rsidR="00085E86" w:rsidRPr="00971DBD" w14:paraId="7EEEB5FD" w14:textId="77777777" w:rsidTr="00727472">
        <w:trPr>
          <w:trHeight w:val="130"/>
        </w:trPr>
        <w:tc>
          <w:tcPr>
            <w:tcW w:w="0" w:type="auto"/>
            <w:tcBorders>
              <w:left w:val="single" w:sz="4" w:space="0" w:color="auto"/>
              <w:right w:val="single" w:sz="4" w:space="0" w:color="auto"/>
            </w:tcBorders>
            <w:vAlign w:val="center"/>
            <w:hideMark/>
          </w:tcPr>
          <w:p w14:paraId="7713B21F" w14:textId="77777777" w:rsidR="00085E86" w:rsidRPr="00971DBD" w:rsidRDefault="00085E86" w:rsidP="00727472">
            <w:pPr>
              <w:spacing w:line="480" w:lineRule="auto"/>
              <w:rPr>
                <w:rFonts w:ascii="Times New Roman" w:hAnsi="Times New Roman" w:cs="Times New Roman"/>
                <w:b/>
                <w:bCs/>
                <w:sz w:val="24"/>
                <w:szCs w:val="24"/>
              </w:rPr>
            </w:pPr>
            <w:r w:rsidRPr="00971DBD">
              <w:rPr>
                <w:rFonts w:ascii="Times New Roman" w:hAnsi="Times New Roman" w:cs="Times New Roman"/>
                <w:b/>
                <w:bCs/>
                <w:sz w:val="24"/>
                <w:szCs w:val="24"/>
              </w:rPr>
              <w:t>Serial dilution</w:t>
            </w:r>
          </w:p>
        </w:tc>
        <w:tc>
          <w:tcPr>
            <w:tcW w:w="1538" w:type="dxa"/>
            <w:tcBorders>
              <w:top w:val="single" w:sz="4" w:space="0" w:color="auto"/>
              <w:left w:val="single" w:sz="4" w:space="0" w:color="auto"/>
              <w:bottom w:val="single" w:sz="4" w:space="0" w:color="auto"/>
              <w:right w:val="single" w:sz="4" w:space="0" w:color="auto"/>
            </w:tcBorders>
            <w:hideMark/>
          </w:tcPr>
          <w:p w14:paraId="49A54C18" w14:textId="77777777" w:rsidR="00085E86" w:rsidRPr="00971DBD" w:rsidRDefault="00085E86" w:rsidP="00727472">
            <w:pPr>
              <w:spacing w:line="480" w:lineRule="auto"/>
              <w:rPr>
                <w:rFonts w:ascii="Times New Roman" w:hAnsi="Times New Roman" w:cs="Times New Roman"/>
                <w:sz w:val="24"/>
                <w:szCs w:val="24"/>
              </w:rPr>
            </w:pPr>
            <w:r w:rsidRPr="00971DBD">
              <w:rPr>
                <w:rFonts w:ascii="Times New Roman" w:hAnsi="Times New Roman" w:cs="Times New Roman"/>
                <w:sz w:val="24"/>
                <w:szCs w:val="24"/>
              </w:rPr>
              <w:t>20</w:t>
            </w:r>
          </w:p>
        </w:tc>
        <w:tc>
          <w:tcPr>
            <w:tcW w:w="1140" w:type="dxa"/>
            <w:tcBorders>
              <w:top w:val="single" w:sz="4" w:space="0" w:color="auto"/>
              <w:left w:val="single" w:sz="4" w:space="0" w:color="auto"/>
              <w:bottom w:val="single" w:sz="4" w:space="0" w:color="auto"/>
              <w:right w:val="single" w:sz="4" w:space="0" w:color="auto"/>
            </w:tcBorders>
            <w:hideMark/>
          </w:tcPr>
          <w:p w14:paraId="6564FFDF" w14:textId="77777777" w:rsidR="00085E86" w:rsidRPr="00971DBD" w:rsidRDefault="00085E86" w:rsidP="00727472">
            <w:pPr>
              <w:spacing w:line="480" w:lineRule="auto"/>
              <w:rPr>
                <w:rFonts w:ascii="Times New Roman" w:hAnsi="Times New Roman" w:cs="Times New Roman"/>
                <w:sz w:val="24"/>
                <w:szCs w:val="24"/>
              </w:rPr>
            </w:pPr>
            <w:r w:rsidRPr="00971DBD">
              <w:rPr>
                <w:rFonts w:ascii="Times New Roman" w:hAnsi="Times New Roman" w:cs="Times New Roman"/>
                <w:sz w:val="24"/>
                <w:szCs w:val="24"/>
              </w:rPr>
              <w:t>20</w:t>
            </w:r>
          </w:p>
        </w:tc>
        <w:tc>
          <w:tcPr>
            <w:tcW w:w="1104" w:type="dxa"/>
            <w:tcBorders>
              <w:top w:val="single" w:sz="4" w:space="0" w:color="auto"/>
              <w:left w:val="single" w:sz="4" w:space="0" w:color="auto"/>
              <w:bottom w:val="single" w:sz="4" w:space="0" w:color="auto"/>
              <w:right w:val="single" w:sz="4" w:space="0" w:color="auto"/>
            </w:tcBorders>
            <w:hideMark/>
          </w:tcPr>
          <w:p w14:paraId="6EB8EEF7" w14:textId="77777777" w:rsidR="00085E86" w:rsidRPr="00971DBD" w:rsidRDefault="00085E86" w:rsidP="00727472">
            <w:pPr>
              <w:spacing w:line="480" w:lineRule="auto"/>
              <w:rPr>
                <w:rFonts w:ascii="Times New Roman" w:hAnsi="Times New Roman" w:cs="Times New Roman"/>
                <w:sz w:val="24"/>
                <w:szCs w:val="24"/>
              </w:rPr>
            </w:pPr>
            <w:r w:rsidRPr="00971DBD">
              <w:rPr>
                <w:rFonts w:ascii="Times New Roman" w:hAnsi="Times New Roman" w:cs="Times New Roman"/>
                <w:sz w:val="24"/>
                <w:szCs w:val="24"/>
              </w:rPr>
              <w:t>20</w:t>
            </w:r>
          </w:p>
        </w:tc>
        <w:tc>
          <w:tcPr>
            <w:tcW w:w="1066" w:type="dxa"/>
            <w:tcBorders>
              <w:top w:val="single" w:sz="4" w:space="0" w:color="auto"/>
              <w:left w:val="single" w:sz="4" w:space="0" w:color="auto"/>
              <w:bottom w:val="single" w:sz="4" w:space="0" w:color="auto"/>
              <w:right w:val="single" w:sz="4" w:space="0" w:color="auto"/>
            </w:tcBorders>
            <w:hideMark/>
          </w:tcPr>
          <w:p w14:paraId="47B47B95" w14:textId="77777777" w:rsidR="00085E86" w:rsidRPr="00971DBD" w:rsidRDefault="00085E86" w:rsidP="00727472">
            <w:pPr>
              <w:spacing w:line="480" w:lineRule="auto"/>
              <w:rPr>
                <w:rFonts w:ascii="Times New Roman" w:hAnsi="Times New Roman" w:cs="Times New Roman"/>
                <w:sz w:val="24"/>
                <w:szCs w:val="24"/>
              </w:rPr>
            </w:pPr>
            <w:r w:rsidRPr="00971DBD">
              <w:rPr>
                <w:rFonts w:ascii="Times New Roman" w:hAnsi="Times New Roman" w:cs="Times New Roman"/>
                <w:sz w:val="24"/>
                <w:szCs w:val="24"/>
              </w:rPr>
              <w:t>20</w:t>
            </w:r>
          </w:p>
        </w:tc>
        <w:tc>
          <w:tcPr>
            <w:tcW w:w="1005" w:type="dxa"/>
            <w:tcBorders>
              <w:top w:val="single" w:sz="4" w:space="0" w:color="auto"/>
              <w:left w:val="single" w:sz="4" w:space="0" w:color="auto"/>
              <w:bottom w:val="single" w:sz="4" w:space="0" w:color="auto"/>
              <w:right w:val="single" w:sz="4" w:space="0" w:color="auto"/>
            </w:tcBorders>
            <w:hideMark/>
          </w:tcPr>
          <w:p w14:paraId="71F5D4B9" w14:textId="77777777" w:rsidR="00085E86" w:rsidRPr="00971DBD" w:rsidRDefault="00085E86" w:rsidP="00727472">
            <w:pPr>
              <w:spacing w:line="480" w:lineRule="auto"/>
              <w:rPr>
                <w:rFonts w:ascii="Times New Roman" w:hAnsi="Times New Roman" w:cs="Times New Roman"/>
                <w:sz w:val="24"/>
                <w:szCs w:val="24"/>
              </w:rPr>
            </w:pPr>
            <w:r w:rsidRPr="00971DBD">
              <w:rPr>
                <w:rFonts w:ascii="Times New Roman" w:hAnsi="Times New Roman" w:cs="Times New Roman"/>
                <w:sz w:val="24"/>
                <w:szCs w:val="24"/>
              </w:rPr>
              <w:t>20</w:t>
            </w:r>
          </w:p>
        </w:tc>
      </w:tr>
      <w:tr w:rsidR="00085E86" w:rsidRPr="00971DBD" w14:paraId="3D6821F2" w14:textId="77777777" w:rsidTr="00727472">
        <w:trPr>
          <w:trHeight w:val="130"/>
        </w:trPr>
        <w:tc>
          <w:tcPr>
            <w:tcW w:w="0" w:type="auto"/>
            <w:tcBorders>
              <w:left w:val="single" w:sz="4" w:space="0" w:color="auto"/>
              <w:bottom w:val="single" w:sz="4" w:space="0" w:color="auto"/>
              <w:right w:val="single" w:sz="4" w:space="0" w:color="auto"/>
            </w:tcBorders>
            <w:vAlign w:val="center"/>
            <w:hideMark/>
          </w:tcPr>
          <w:p w14:paraId="26C8A39F" w14:textId="77777777" w:rsidR="00085E86" w:rsidRPr="00971DBD" w:rsidRDefault="00085E86" w:rsidP="00727472">
            <w:pPr>
              <w:spacing w:line="480" w:lineRule="auto"/>
              <w:rPr>
                <w:rFonts w:ascii="Times New Roman" w:hAnsi="Times New Roman" w:cs="Times New Roman"/>
                <w:b/>
                <w:bCs/>
                <w:sz w:val="24"/>
                <w:szCs w:val="24"/>
              </w:rPr>
            </w:pPr>
            <w:r w:rsidRPr="00971DBD">
              <w:rPr>
                <w:rFonts w:ascii="Times New Roman" w:hAnsi="Times New Roman" w:cs="Times New Roman"/>
                <w:b/>
                <w:bCs/>
                <w:sz w:val="24"/>
                <w:szCs w:val="24"/>
              </w:rPr>
              <w:t>Diluent</w:t>
            </w:r>
          </w:p>
        </w:tc>
        <w:tc>
          <w:tcPr>
            <w:tcW w:w="1538" w:type="dxa"/>
            <w:tcBorders>
              <w:top w:val="single" w:sz="4" w:space="0" w:color="auto"/>
              <w:left w:val="single" w:sz="4" w:space="0" w:color="auto"/>
              <w:bottom w:val="single" w:sz="4" w:space="0" w:color="auto"/>
              <w:right w:val="single" w:sz="4" w:space="0" w:color="auto"/>
            </w:tcBorders>
            <w:hideMark/>
          </w:tcPr>
          <w:p w14:paraId="7A39D636" w14:textId="77777777" w:rsidR="00085E86" w:rsidRPr="00971DBD" w:rsidRDefault="00085E86" w:rsidP="00727472">
            <w:pPr>
              <w:spacing w:line="480" w:lineRule="auto"/>
              <w:rPr>
                <w:rFonts w:ascii="Times New Roman" w:hAnsi="Times New Roman" w:cs="Times New Roman"/>
                <w:sz w:val="24"/>
                <w:szCs w:val="24"/>
              </w:rPr>
            </w:pPr>
            <w:r w:rsidRPr="00971DBD">
              <w:rPr>
                <w:rFonts w:ascii="Times New Roman" w:hAnsi="Times New Roman" w:cs="Times New Roman"/>
                <w:sz w:val="24"/>
                <w:szCs w:val="24"/>
              </w:rPr>
              <w:t>180</w:t>
            </w:r>
          </w:p>
        </w:tc>
        <w:tc>
          <w:tcPr>
            <w:tcW w:w="1140" w:type="dxa"/>
            <w:tcBorders>
              <w:top w:val="single" w:sz="4" w:space="0" w:color="auto"/>
              <w:left w:val="single" w:sz="4" w:space="0" w:color="auto"/>
              <w:bottom w:val="single" w:sz="4" w:space="0" w:color="auto"/>
              <w:right w:val="single" w:sz="4" w:space="0" w:color="auto"/>
            </w:tcBorders>
            <w:hideMark/>
          </w:tcPr>
          <w:p w14:paraId="17DBD273" w14:textId="77777777" w:rsidR="00085E86" w:rsidRPr="00971DBD" w:rsidRDefault="00085E86" w:rsidP="00727472">
            <w:pPr>
              <w:spacing w:line="480" w:lineRule="auto"/>
              <w:rPr>
                <w:rFonts w:ascii="Times New Roman" w:hAnsi="Times New Roman" w:cs="Times New Roman"/>
                <w:sz w:val="24"/>
                <w:szCs w:val="24"/>
              </w:rPr>
            </w:pPr>
            <w:r w:rsidRPr="00971DBD">
              <w:rPr>
                <w:rFonts w:ascii="Times New Roman" w:hAnsi="Times New Roman" w:cs="Times New Roman"/>
                <w:sz w:val="24"/>
                <w:szCs w:val="24"/>
              </w:rPr>
              <w:t>180</w:t>
            </w:r>
          </w:p>
        </w:tc>
        <w:tc>
          <w:tcPr>
            <w:tcW w:w="1104" w:type="dxa"/>
            <w:tcBorders>
              <w:top w:val="single" w:sz="4" w:space="0" w:color="auto"/>
              <w:left w:val="single" w:sz="4" w:space="0" w:color="auto"/>
              <w:bottom w:val="single" w:sz="4" w:space="0" w:color="auto"/>
              <w:right w:val="single" w:sz="4" w:space="0" w:color="auto"/>
            </w:tcBorders>
            <w:hideMark/>
          </w:tcPr>
          <w:p w14:paraId="672550EE" w14:textId="77777777" w:rsidR="00085E86" w:rsidRPr="00971DBD" w:rsidRDefault="00085E86" w:rsidP="00727472">
            <w:pPr>
              <w:spacing w:line="480" w:lineRule="auto"/>
              <w:rPr>
                <w:rFonts w:ascii="Times New Roman" w:hAnsi="Times New Roman" w:cs="Times New Roman"/>
                <w:sz w:val="24"/>
                <w:szCs w:val="24"/>
              </w:rPr>
            </w:pPr>
            <w:r w:rsidRPr="00971DBD">
              <w:rPr>
                <w:rFonts w:ascii="Times New Roman" w:hAnsi="Times New Roman" w:cs="Times New Roman"/>
                <w:sz w:val="24"/>
                <w:szCs w:val="24"/>
              </w:rPr>
              <w:t>180</w:t>
            </w:r>
          </w:p>
        </w:tc>
        <w:tc>
          <w:tcPr>
            <w:tcW w:w="1066" w:type="dxa"/>
            <w:tcBorders>
              <w:top w:val="single" w:sz="4" w:space="0" w:color="auto"/>
              <w:left w:val="single" w:sz="4" w:space="0" w:color="auto"/>
              <w:bottom w:val="single" w:sz="4" w:space="0" w:color="auto"/>
              <w:right w:val="single" w:sz="4" w:space="0" w:color="auto"/>
            </w:tcBorders>
            <w:hideMark/>
          </w:tcPr>
          <w:p w14:paraId="1D9E9B6C" w14:textId="77777777" w:rsidR="00085E86" w:rsidRPr="00971DBD" w:rsidRDefault="00085E86" w:rsidP="00727472">
            <w:pPr>
              <w:spacing w:line="480" w:lineRule="auto"/>
              <w:rPr>
                <w:rFonts w:ascii="Times New Roman" w:hAnsi="Times New Roman" w:cs="Times New Roman"/>
                <w:sz w:val="24"/>
                <w:szCs w:val="24"/>
              </w:rPr>
            </w:pPr>
            <w:r w:rsidRPr="00971DBD">
              <w:rPr>
                <w:rFonts w:ascii="Times New Roman" w:hAnsi="Times New Roman" w:cs="Times New Roman"/>
                <w:sz w:val="24"/>
                <w:szCs w:val="24"/>
              </w:rPr>
              <w:t>180</w:t>
            </w:r>
          </w:p>
        </w:tc>
        <w:tc>
          <w:tcPr>
            <w:tcW w:w="1005" w:type="dxa"/>
            <w:tcBorders>
              <w:top w:val="single" w:sz="4" w:space="0" w:color="auto"/>
              <w:left w:val="single" w:sz="4" w:space="0" w:color="auto"/>
              <w:bottom w:val="single" w:sz="4" w:space="0" w:color="auto"/>
              <w:right w:val="single" w:sz="4" w:space="0" w:color="auto"/>
            </w:tcBorders>
            <w:hideMark/>
          </w:tcPr>
          <w:p w14:paraId="68BD335B" w14:textId="77777777" w:rsidR="00085E86" w:rsidRPr="00971DBD" w:rsidRDefault="00085E86" w:rsidP="00727472">
            <w:pPr>
              <w:spacing w:line="480" w:lineRule="auto"/>
              <w:rPr>
                <w:rFonts w:ascii="Times New Roman" w:hAnsi="Times New Roman" w:cs="Times New Roman"/>
                <w:sz w:val="24"/>
                <w:szCs w:val="24"/>
              </w:rPr>
            </w:pPr>
            <w:r w:rsidRPr="00971DBD">
              <w:rPr>
                <w:rFonts w:ascii="Times New Roman" w:hAnsi="Times New Roman" w:cs="Times New Roman"/>
                <w:sz w:val="24"/>
                <w:szCs w:val="24"/>
              </w:rPr>
              <w:t>180</w:t>
            </w:r>
          </w:p>
        </w:tc>
      </w:tr>
    </w:tbl>
    <w:p w14:paraId="5EEB0C5E" w14:textId="77777777" w:rsidR="00085E86" w:rsidRDefault="00085E86" w:rsidP="003906D6">
      <w:pPr>
        <w:spacing w:before="120" w:after="40" w:line="480" w:lineRule="auto"/>
        <w:jc w:val="both"/>
        <w:rPr>
          <w:rFonts w:ascii="Times New Roman" w:eastAsia="Calibri" w:hAnsi="Times New Roman" w:cs="Times New Roman"/>
          <w:b/>
          <w:bCs/>
          <w:sz w:val="24"/>
          <w:szCs w:val="24"/>
          <w:lang w:val="en-GB"/>
        </w:rPr>
      </w:pPr>
      <w:r>
        <w:rPr>
          <w:rFonts w:ascii="Times New Roman" w:eastAsia="Calibri" w:hAnsi="Times New Roman" w:cs="Times New Roman"/>
          <w:b/>
          <w:bCs/>
          <w:sz w:val="24"/>
          <w:szCs w:val="24"/>
          <w:lang w:val="en-GB"/>
        </w:rPr>
        <w:t>b) Plate layout</w:t>
      </w:r>
    </w:p>
    <w:tbl>
      <w:tblPr>
        <w:tblStyle w:val="TableGrid1"/>
        <w:tblW w:w="9145" w:type="dxa"/>
        <w:tblInd w:w="0" w:type="dxa"/>
        <w:tblLook w:val="04A0" w:firstRow="1" w:lastRow="0" w:firstColumn="1" w:lastColumn="0" w:noHBand="0" w:noVBand="1"/>
      </w:tblPr>
      <w:tblGrid>
        <w:gridCol w:w="421"/>
        <w:gridCol w:w="1275"/>
        <w:gridCol w:w="567"/>
        <w:gridCol w:w="567"/>
        <w:gridCol w:w="567"/>
        <w:gridCol w:w="567"/>
        <w:gridCol w:w="567"/>
        <w:gridCol w:w="567"/>
        <w:gridCol w:w="567"/>
        <w:gridCol w:w="567"/>
        <w:gridCol w:w="709"/>
        <w:gridCol w:w="876"/>
        <w:gridCol w:w="1417"/>
      </w:tblGrid>
      <w:tr w:rsidR="00085E86" w14:paraId="37398119" w14:textId="77777777" w:rsidTr="00727472">
        <w:trPr>
          <w:trHeight w:val="392"/>
        </w:trPr>
        <w:tc>
          <w:tcPr>
            <w:tcW w:w="421" w:type="dxa"/>
            <w:tcBorders>
              <w:top w:val="single" w:sz="4" w:space="0" w:color="auto"/>
              <w:left w:val="single" w:sz="4" w:space="0" w:color="auto"/>
              <w:bottom w:val="single" w:sz="12" w:space="0" w:color="auto"/>
              <w:right w:val="single" w:sz="12" w:space="0" w:color="auto"/>
            </w:tcBorders>
            <w:noWrap/>
          </w:tcPr>
          <w:p w14:paraId="7A46489D" w14:textId="77777777" w:rsidR="00085E86" w:rsidRDefault="00085E86" w:rsidP="00780AED">
            <w:pPr>
              <w:spacing w:line="360" w:lineRule="auto"/>
            </w:pPr>
          </w:p>
        </w:tc>
        <w:tc>
          <w:tcPr>
            <w:tcW w:w="1275" w:type="dxa"/>
            <w:tcBorders>
              <w:top w:val="single" w:sz="4" w:space="0" w:color="auto"/>
              <w:left w:val="single" w:sz="12" w:space="0" w:color="auto"/>
              <w:bottom w:val="single" w:sz="12" w:space="0" w:color="auto"/>
              <w:right w:val="single" w:sz="12" w:space="0" w:color="auto"/>
            </w:tcBorders>
            <w:noWrap/>
            <w:hideMark/>
          </w:tcPr>
          <w:p w14:paraId="755CA066" w14:textId="77777777" w:rsidR="00085E86" w:rsidRDefault="00085E86" w:rsidP="00780AED">
            <w:pPr>
              <w:spacing w:line="360" w:lineRule="auto"/>
            </w:pPr>
            <w:r>
              <w:t>Blank</w:t>
            </w:r>
          </w:p>
        </w:tc>
        <w:tc>
          <w:tcPr>
            <w:tcW w:w="2268" w:type="dxa"/>
            <w:gridSpan w:val="4"/>
            <w:tcBorders>
              <w:top w:val="single" w:sz="4" w:space="0" w:color="auto"/>
              <w:left w:val="single" w:sz="12" w:space="0" w:color="auto"/>
              <w:bottom w:val="single" w:sz="12" w:space="0" w:color="auto"/>
              <w:right w:val="single" w:sz="12" w:space="0" w:color="auto"/>
            </w:tcBorders>
            <w:noWrap/>
            <w:hideMark/>
          </w:tcPr>
          <w:p w14:paraId="7D826283" w14:textId="77777777" w:rsidR="00085E86" w:rsidRDefault="00085E86" w:rsidP="00780AED">
            <w:pPr>
              <w:spacing w:line="360" w:lineRule="auto"/>
            </w:pPr>
            <w:r>
              <w:t>Drug dilutions</w:t>
            </w:r>
          </w:p>
        </w:tc>
        <w:tc>
          <w:tcPr>
            <w:tcW w:w="2268" w:type="dxa"/>
            <w:gridSpan w:val="4"/>
            <w:tcBorders>
              <w:top w:val="single" w:sz="4" w:space="0" w:color="auto"/>
              <w:left w:val="single" w:sz="12" w:space="0" w:color="auto"/>
              <w:bottom w:val="single" w:sz="12" w:space="0" w:color="auto"/>
              <w:right w:val="single" w:sz="12" w:space="0" w:color="auto"/>
            </w:tcBorders>
            <w:noWrap/>
            <w:hideMark/>
          </w:tcPr>
          <w:p w14:paraId="0E0A265E" w14:textId="77777777" w:rsidR="00085E86" w:rsidRDefault="00085E86" w:rsidP="00780AED">
            <w:pPr>
              <w:spacing w:line="360" w:lineRule="auto"/>
            </w:pPr>
            <w:r>
              <w:t>Drug dilutions</w:t>
            </w:r>
          </w:p>
        </w:tc>
        <w:tc>
          <w:tcPr>
            <w:tcW w:w="709" w:type="dxa"/>
            <w:tcBorders>
              <w:top w:val="single" w:sz="4" w:space="0" w:color="auto"/>
              <w:left w:val="single" w:sz="12" w:space="0" w:color="auto"/>
              <w:bottom w:val="single" w:sz="12" w:space="0" w:color="auto"/>
              <w:right w:val="single" w:sz="4" w:space="0" w:color="auto"/>
            </w:tcBorders>
            <w:noWrap/>
            <w:hideMark/>
          </w:tcPr>
          <w:p w14:paraId="366E917B" w14:textId="77777777" w:rsidR="00085E86" w:rsidRDefault="00085E86" w:rsidP="00780AED">
            <w:pPr>
              <w:spacing w:line="360" w:lineRule="auto"/>
            </w:pPr>
            <w:r>
              <w:t>+</w:t>
            </w:r>
          </w:p>
        </w:tc>
        <w:tc>
          <w:tcPr>
            <w:tcW w:w="787" w:type="dxa"/>
            <w:tcBorders>
              <w:top w:val="single" w:sz="4" w:space="0" w:color="auto"/>
              <w:left w:val="single" w:sz="4" w:space="0" w:color="auto"/>
              <w:bottom w:val="single" w:sz="12" w:space="0" w:color="auto"/>
              <w:right w:val="single" w:sz="4" w:space="0" w:color="auto"/>
            </w:tcBorders>
            <w:noWrap/>
            <w:hideMark/>
          </w:tcPr>
          <w:p w14:paraId="4ACFF167" w14:textId="77777777" w:rsidR="00085E86" w:rsidRDefault="00085E86" w:rsidP="00780AED">
            <w:pPr>
              <w:spacing w:line="360" w:lineRule="auto"/>
            </w:pPr>
            <w:r>
              <w:t>-</w:t>
            </w:r>
          </w:p>
        </w:tc>
        <w:tc>
          <w:tcPr>
            <w:tcW w:w="1417" w:type="dxa"/>
            <w:tcBorders>
              <w:top w:val="single" w:sz="4" w:space="0" w:color="auto"/>
              <w:left w:val="single" w:sz="4" w:space="0" w:color="auto"/>
              <w:bottom w:val="single" w:sz="12" w:space="0" w:color="auto"/>
              <w:right w:val="single" w:sz="4" w:space="0" w:color="auto"/>
            </w:tcBorders>
            <w:noWrap/>
          </w:tcPr>
          <w:p w14:paraId="266CCE77" w14:textId="77777777" w:rsidR="00085E86" w:rsidRDefault="00085E86" w:rsidP="00780AED">
            <w:pPr>
              <w:spacing w:line="360" w:lineRule="auto"/>
            </w:pPr>
          </w:p>
        </w:tc>
      </w:tr>
      <w:tr w:rsidR="00085E86" w14:paraId="38C0EFFB" w14:textId="77777777" w:rsidTr="00727472">
        <w:trPr>
          <w:trHeight w:val="268"/>
        </w:trPr>
        <w:tc>
          <w:tcPr>
            <w:tcW w:w="421" w:type="dxa"/>
            <w:tcBorders>
              <w:top w:val="single" w:sz="4" w:space="0" w:color="auto"/>
              <w:left w:val="single" w:sz="4" w:space="0" w:color="auto"/>
              <w:bottom w:val="single" w:sz="12" w:space="0" w:color="auto"/>
              <w:right w:val="single" w:sz="12" w:space="0" w:color="auto"/>
            </w:tcBorders>
            <w:noWrap/>
            <w:hideMark/>
          </w:tcPr>
          <w:p w14:paraId="341A7C11" w14:textId="77777777" w:rsidR="00085E86" w:rsidRDefault="00085E86" w:rsidP="00780AED">
            <w:pPr>
              <w:spacing w:line="360" w:lineRule="auto"/>
            </w:pPr>
            <w:r>
              <w:t>0</w:t>
            </w:r>
          </w:p>
        </w:tc>
        <w:tc>
          <w:tcPr>
            <w:tcW w:w="1275" w:type="dxa"/>
            <w:tcBorders>
              <w:top w:val="single" w:sz="4" w:space="0" w:color="auto"/>
              <w:left w:val="single" w:sz="12" w:space="0" w:color="auto"/>
              <w:bottom w:val="single" w:sz="12" w:space="0" w:color="auto"/>
              <w:right w:val="single" w:sz="12" w:space="0" w:color="auto"/>
            </w:tcBorders>
            <w:noWrap/>
            <w:hideMark/>
          </w:tcPr>
          <w:p w14:paraId="771665CC" w14:textId="77777777" w:rsidR="00085E86" w:rsidRDefault="00085E86" w:rsidP="00780AED">
            <w:pPr>
              <w:spacing w:line="360" w:lineRule="auto"/>
            </w:pPr>
            <w:r>
              <w:t>1</w:t>
            </w:r>
          </w:p>
        </w:tc>
        <w:tc>
          <w:tcPr>
            <w:tcW w:w="567" w:type="dxa"/>
            <w:tcBorders>
              <w:top w:val="single" w:sz="4" w:space="0" w:color="auto"/>
              <w:left w:val="single" w:sz="12" w:space="0" w:color="auto"/>
              <w:bottom w:val="single" w:sz="12" w:space="0" w:color="auto"/>
              <w:right w:val="single" w:sz="4" w:space="0" w:color="auto"/>
            </w:tcBorders>
            <w:noWrap/>
            <w:hideMark/>
          </w:tcPr>
          <w:p w14:paraId="314C4A35" w14:textId="77777777" w:rsidR="00085E86" w:rsidRDefault="00085E86" w:rsidP="00780AED">
            <w:pPr>
              <w:spacing w:line="360" w:lineRule="auto"/>
            </w:pPr>
            <w:r>
              <w:t>2</w:t>
            </w:r>
          </w:p>
        </w:tc>
        <w:tc>
          <w:tcPr>
            <w:tcW w:w="567" w:type="dxa"/>
            <w:tcBorders>
              <w:top w:val="single" w:sz="4" w:space="0" w:color="auto"/>
              <w:left w:val="single" w:sz="4" w:space="0" w:color="auto"/>
              <w:bottom w:val="single" w:sz="12" w:space="0" w:color="auto"/>
              <w:right w:val="single" w:sz="4" w:space="0" w:color="auto"/>
            </w:tcBorders>
            <w:noWrap/>
            <w:hideMark/>
          </w:tcPr>
          <w:p w14:paraId="56C799E9" w14:textId="77777777" w:rsidR="00085E86" w:rsidRDefault="00085E86" w:rsidP="00780AED">
            <w:pPr>
              <w:spacing w:line="360" w:lineRule="auto"/>
            </w:pPr>
            <w:r>
              <w:t>3</w:t>
            </w:r>
          </w:p>
        </w:tc>
        <w:tc>
          <w:tcPr>
            <w:tcW w:w="567" w:type="dxa"/>
            <w:tcBorders>
              <w:top w:val="single" w:sz="4" w:space="0" w:color="auto"/>
              <w:left w:val="single" w:sz="4" w:space="0" w:color="auto"/>
              <w:bottom w:val="single" w:sz="12" w:space="0" w:color="auto"/>
              <w:right w:val="single" w:sz="4" w:space="0" w:color="auto"/>
            </w:tcBorders>
            <w:noWrap/>
            <w:hideMark/>
          </w:tcPr>
          <w:p w14:paraId="42686480" w14:textId="77777777" w:rsidR="00085E86" w:rsidRDefault="00085E86" w:rsidP="00780AED">
            <w:pPr>
              <w:spacing w:line="360" w:lineRule="auto"/>
            </w:pPr>
            <w:r>
              <w:t>4</w:t>
            </w:r>
          </w:p>
        </w:tc>
        <w:tc>
          <w:tcPr>
            <w:tcW w:w="567" w:type="dxa"/>
            <w:tcBorders>
              <w:top w:val="single" w:sz="4" w:space="0" w:color="auto"/>
              <w:left w:val="single" w:sz="4" w:space="0" w:color="auto"/>
              <w:bottom w:val="single" w:sz="12" w:space="0" w:color="auto"/>
              <w:right w:val="single" w:sz="12" w:space="0" w:color="auto"/>
            </w:tcBorders>
            <w:noWrap/>
            <w:hideMark/>
          </w:tcPr>
          <w:p w14:paraId="39E448B5" w14:textId="77777777" w:rsidR="00085E86" w:rsidRDefault="00085E86" w:rsidP="00780AED">
            <w:pPr>
              <w:spacing w:line="360" w:lineRule="auto"/>
            </w:pPr>
            <w:r>
              <w:t>5</w:t>
            </w:r>
          </w:p>
        </w:tc>
        <w:tc>
          <w:tcPr>
            <w:tcW w:w="567" w:type="dxa"/>
            <w:tcBorders>
              <w:top w:val="single" w:sz="4" w:space="0" w:color="auto"/>
              <w:left w:val="single" w:sz="12" w:space="0" w:color="auto"/>
              <w:bottom w:val="single" w:sz="12" w:space="0" w:color="auto"/>
              <w:right w:val="single" w:sz="4" w:space="0" w:color="auto"/>
            </w:tcBorders>
            <w:noWrap/>
            <w:hideMark/>
          </w:tcPr>
          <w:p w14:paraId="05C6292A" w14:textId="77777777" w:rsidR="00085E86" w:rsidRDefault="00085E86" w:rsidP="00780AED">
            <w:pPr>
              <w:spacing w:line="360" w:lineRule="auto"/>
            </w:pPr>
            <w:r>
              <w:t>6</w:t>
            </w:r>
          </w:p>
        </w:tc>
        <w:tc>
          <w:tcPr>
            <w:tcW w:w="567" w:type="dxa"/>
            <w:tcBorders>
              <w:top w:val="single" w:sz="4" w:space="0" w:color="auto"/>
              <w:left w:val="single" w:sz="4" w:space="0" w:color="auto"/>
              <w:bottom w:val="single" w:sz="12" w:space="0" w:color="auto"/>
              <w:right w:val="single" w:sz="4" w:space="0" w:color="auto"/>
            </w:tcBorders>
            <w:noWrap/>
            <w:hideMark/>
          </w:tcPr>
          <w:p w14:paraId="1E25E8D5" w14:textId="77777777" w:rsidR="00085E86" w:rsidRDefault="00085E86" w:rsidP="00780AED">
            <w:pPr>
              <w:spacing w:line="360" w:lineRule="auto"/>
            </w:pPr>
            <w:r>
              <w:t>7</w:t>
            </w:r>
          </w:p>
        </w:tc>
        <w:tc>
          <w:tcPr>
            <w:tcW w:w="567" w:type="dxa"/>
            <w:tcBorders>
              <w:top w:val="single" w:sz="4" w:space="0" w:color="auto"/>
              <w:left w:val="single" w:sz="4" w:space="0" w:color="auto"/>
              <w:bottom w:val="single" w:sz="12" w:space="0" w:color="auto"/>
              <w:right w:val="single" w:sz="4" w:space="0" w:color="auto"/>
            </w:tcBorders>
            <w:noWrap/>
            <w:hideMark/>
          </w:tcPr>
          <w:p w14:paraId="2F61EC2D" w14:textId="77777777" w:rsidR="00085E86" w:rsidRDefault="00085E86" w:rsidP="00780AED">
            <w:pPr>
              <w:spacing w:line="360" w:lineRule="auto"/>
            </w:pPr>
            <w:r>
              <w:t>8</w:t>
            </w:r>
          </w:p>
        </w:tc>
        <w:tc>
          <w:tcPr>
            <w:tcW w:w="567" w:type="dxa"/>
            <w:tcBorders>
              <w:top w:val="single" w:sz="4" w:space="0" w:color="auto"/>
              <w:left w:val="single" w:sz="4" w:space="0" w:color="auto"/>
              <w:bottom w:val="single" w:sz="12" w:space="0" w:color="auto"/>
              <w:right w:val="single" w:sz="12" w:space="0" w:color="auto"/>
            </w:tcBorders>
            <w:noWrap/>
            <w:hideMark/>
          </w:tcPr>
          <w:p w14:paraId="5AAE480C" w14:textId="77777777" w:rsidR="00085E86" w:rsidRDefault="00085E86" w:rsidP="00780AED">
            <w:pPr>
              <w:spacing w:line="360" w:lineRule="auto"/>
            </w:pPr>
            <w:r>
              <w:t>9</w:t>
            </w:r>
          </w:p>
        </w:tc>
        <w:tc>
          <w:tcPr>
            <w:tcW w:w="709" w:type="dxa"/>
            <w:tcBorders>
              <w:top w:val="single" w:sz="4" w:space="0" w:color="auto"/>
              <w:left w:val="single" w:sz="12" w:space="0" w:color="auto"/>
              <w:bottom w:val="single" w:sz="12" w:space="0" w:color="auto"/>
              <w:right w:val="single" w:sz="4" w:space="0" w:color="auto"/>
            </w:tcBorders>
            <w:noWrap/>
            <w:hideMark/>
          </w:tcPr>
          <w:p w14:paraId="6B0EDC0F" w14:textId="77777777" w:rsidR="00085E86" w:rsidRDefault="00085E86" w:rsidP="00780AED">
            <w:pPr>
              <w:spacing w:line="360" w:lineRule="auto"/>
            </w:pPr>
            <w:r>
              <w:t>10</w:t>
            </w:r>
          </w:p>
        </w:tc>
        <w:tc>
          <w:tcPr>
            <w:tcW w:w="787" w:type="dxa"/>
            <w:tcBorders>
              <w:top w:val="single" w:sz="4" w:space="0" w:color="auto"/>
              <w:left w:val="single" w:sz="4" w:space="0" w:color="auto"/>
              <w:bottom w:val="single" w:sz="12" w:space="0" w:color="auto"/>
              <w:right w:val="single" w:sz="4" w:space="0" w:color="auto"/>
            </w:tcBorders>
            <w:noWrap/>
            <w:hideMark/>
          </w:tcPr>
          <w:p w14:paraId="341D1446" w14:textId="77777777" w:rsidR="00085E86" w:rsidRDefault="00085E86" w:rsidP="00780AED">
            <w:pPr>
              <w:spacing w:line="360" w:lineRule="auto"/>
            </w:pPr>
            <w:r>
              <w:t>11</w:t>
            </w:r>
          </w:p>
        </w:tc>
        <w:tc>
          <w:tcPr>
            <w:tcW w:w="1417" w:type="dxa"/>
            <w:tcBorders>
              <w:top w:val="single" w:sz="4" w:space="0" w:color="auto"/>
              <w:left w:val="single" w:sz="4" w:space="0" w:color="auto"/>
              <w:bottom w:val="single" w:sz="12" w:space="0" w:color="auto"/>
              <w:right w:val="single" w:sz="4" w:space="0" w:color="auto"/>
            </w:tcBorders>
            <w:noWrap/>
            <w:hideMark/>
          </w:tcPr>
          <w:p w14:paraId="5A9F9FC3" w14:textId="77777777" w:rsidR="00085E86" w:rsidRDefault="00085E86" w:rsidP="00780AED">
            <w:pPr>
              <w:spacing w:line="360" w:lineRule="auto"/>
            </w:pPr>
            <w:r>
              <w:t>12</w:t>
            </w:r>
          </w:p>
        </w:tc>
      </w:tr>
      <w:tr w:rsidR="00085E86" w14:paraId="2429CD34" w14:textId="77777777" w:rsidTr="00727472">
        <w:trPr>
          <w:trHeight w:val="417"/>
        </w:trPr>
        <w:tc>
          <w:tcPr>
            <w:tcW w:w="421" w:type="dxa"/>
            <w:tcBorders>
              <w:top w:val="single" w:sz="12" w:space="0" w:color="auto"/>
              <w:left w:val="single" w:sz="4" w:space="0" w:color="auto"/>
              <w:bottom w:val="single" w:sz="4" w:space="0" w:color="auto"/>
              <w:right w:val="single" w:sz="12" w:space="0" w:color="auto"/>
            </w:tcBorders>
            <w:noWrap/>
            <w:hideMark/>
          </w:tcPr>
          <w:p w14:paraId="5CC3387D" w14:textId="77777777" w:rsidR="00085E86" w:rsidRDefault="00085E86" w:rsidP="00780AED">
            <w:pPr>
              <w:spacing w:line="360" w:lineRule="auto"/>
              <w:rPr>
                <w:b/>
                <w:bCs/>
              </w:rPr>
            </w:pPr>
            <w:r>
              <w:rPr>
                <w:b/>
                <w:bCs/>
              </w:rPr>
              <w:t>A</w:t>
            </w:r>
          </w:p>
        </w:tc>
        <w:tc>
          <w:tcPr>
            <w:tcW w:w="1275" w:type="dxa"/>
            <w:tcBorders>
              <w:top w:val="single" w:sz="12" w:space="0" w:color="auto"/>
              <w:left w:val="single" w:sz="12" w:space="0" w:color="auto"/>
              <w:bottom w:val="single" w:sz="4" w:space="0" w:color="auto"/>
              <w:right w:val="single" w:sz="12" w:space="0" w:color="auto"/>
            </w:tcBorders>
            <w:noWrap/>
            <w:hideMark/>
          </w:tcPr>
          <w:p w14:paraId="485AF81D" w14:textId="77777777" w:rsidR="00085E86" w:rsidRDefault="00085E86" w:rsidP="00780AED">
            <w:pPr>
              <w:spacing w:line="360" w:lineRule="auto"/>
            </w:pPr>
            <w:r>
              <w:t>Media only</w:t>
            </w:r>
          </w:p>
        </w:tc>
        <w:tc>
          <w:tcPr>
            <w:tcW w:w="567" w:type="dxa"/>
            <w:tcBorders>
              <w:top w:val="single" w:sz="12" w:space="0" w:color="auto"/>
              <w:left w:val="single" w:sz="12" w:space="0" w:color="auto"/>
              <w:bottom w:val="single" w:sz="8" w:space="0" w:color="auto"/>
              <w:right w:val="single" w:sz="4" w:space="0" w:color="auto"/>
            </w:tcBorders>
            <w:noWrap/>
          </w:tcPr>
          <w:p w14:paraId="64ED4F2B" w14:textId="77777777" w:rsidR="00085E86" w:rsidRPr="00452288" w:rsidRDefault="00085E86" w:rsidP="00780AED">
            <w:pPr>
              <w:spacing w:line="360" w:lineRule="auto"/>
              <w:jc w:val="center"/>
            </w:pPr>
            <w:r>
              <w:t>C1</w:t>
            </w:r>
          </w:p>
        </w:tc>
        <w:tc>
          <w:tcPr>
            <w:tcW w:w="567" w:type="dxa"/>
            <w:tcBorders>
              <w:top w:val="single" w:sz="12" w:space="0" w:color="auto"/>
              <w:left w:val="single" w:sz="4" w:space="0" w:color="auto"/>
              <w:bottom w:val="single" w:sz="8" w:space="0" w:color="auto"/>
              <w:right w:val="single" w:sz="4" w:space="0" w:color="auto"/>
            </w:tcBorders>
            <w:noWrap/>
          </w:tcPr>
          <w:p w14:paraId="7F030E44" w14:textId="77777777" w:rsidR="00085E86" w:rsidRDefault="00085E86" w:rsidP="00780AED">
            <w:pPr>
              <w:spacing w:line="360" w:lineRule="auto"/>
              <w:jc w:val="center"/>
              <w:rPr>
                <w:color w:val="00B0F0"/>
              </w:rPr>
            </w:pPr>
            <w:r>
              <w:t>C2</w:t>
            </w:r>
          </w:p>
        </w:tc>
        <w:tc>
          <w:tcPr>
            <w:tcW w:w="567" w:type="dxa"/>
            <w:tcBorders>
              <w:top w:val="single" w:sz="12" w:space="0" w:color="auto"/>
              <w:left w:val="single" w:sz="4" w:space="0" w:color="auto"/>
              <w:bottom w:val="single" w:sz="8" w:space="0" w:color="auto"/>
              <w:right w:val="single" w:sz="4" w:space="0" w:color="auto"/>
            </w:tcBorders>
            <w:noWrap/>
          </w:tcPr>
          <w:p w14:paraId="33474B41" w14:textId="77777777" w:rsidR="00085E86" w:rsidRDefault="00085E86" w:rsidP="00780AED">
            <w:pPr>
              <w:spacing w:line="360" w:lineRule="auto"/>
              <w:jc w:val="center"/>
              <w:rPr>
                <w:color w:val="00B0F0"/>
              </w:rPr>
            </w:pPr>
            <w:r>
              <w:t>C3</w:t>
            </w:r>
          </w:p>
        </w:tc>
        <w:tc>
          <w:tcPr>
            <w:tcW w:w="567" w:type="dxa"/>
            <w:tcBorders>
              <w:top w:val="single" w:sz="12" w:space="0" w:color="auto"/>
              <w:left w:val="single" w:sz="4" w:space="0" w:color="auto"/>
              <w:bottom w:val="single" w:sz="8" w:space="0" w:color="auto"/>
              <w:right w:val="single" w:sz="12" w:space="0" w:color="auto"/>
            </w:tcBorders>
            <w:noWrap/>
          </w:tcPr>
          <w:p w14:paraId="511EBC87" w14:textId="77777777" w:rsidR="00085E86" w:rsidRDefault="00085E86" w:rsidP="00780AED">
            <w:pPr>
              <w:spacing w:line="360" w:lineRule="auto"/>
              <w:jc w:val="center"/>
              <w:rPr>
                <w:color w:val="00B0F0"/>
              </w:rPr>
            </w:pPr>
            <w:r>
              <w:t>C4</w:t>
            </w:r>
          </w:p>
        </w:tc>
        <w:tc>
          <w:tcPr>
            <w:tcW w:w="567" w:type="dxa"/>
            <w:tcBorders>
              <w:top w:val="single" w:sz="12" w:space="0" w:color="auto"/>
              <w:left w:val="single" w:sz="12" w:space="0" w:color="auto"/>
              <w:bottom w:val="single" w:sz="8" w:space="0" w:color="auto"/>
              <w:right w:val="single" w:sz="4" w:space="0" w:color="auto"/>
            </w:tcBorders>
            <w:noWrap/>
          </w:tcPr>
          <w:p w14:paraId="23335E90" w14:textId="77777777" w:rsidR="00085E86" w:rsidRDefault="00085E86" w:rsidP="00780AED">
            <w:pPr>
              <w:spacing w:line="360" w:lineRule="auto"/>
              <w:jc w:val="center"/>
              <w:rPr>
                <w:color w:val="00B050"/>
              </w:rPr>
            </w:pPr>
            <w:r>
              <w:t>C1</w:t>
            </w:r>
          </w:p>
        </w:tc>
        <w:tc>
          <w:tcPr>
            <w:tcW w:w="567" w:type="dxa"/>
            <w:tcBorders>
              <w:top w:val="single" w:sz="12" w:space="0" w:color="auto"/>
              <w:left w:val="single" w:sz="4" w:space="0" w:color="auto"/>
              <w:bottom w:val="single" w:sz="8" w:space="0" w:color="auto"/>
              <w:right w:val="single" w:sz="4" w:space="0" w:color="auto"/>
            </w:tcBorders>
            <w:noWrap/>
          </w:tcPr>
          <w:p w14:paraId="04BF73C9" w14:textId="77777777" w:rsidR="00085E86" w:rsidRDefault="00085E86" w:rsidP="00780AED">
            <w:pPr>
              <w:spacing w:line="360" w:lineRule="auto"/>
              <w:jc w:val="center"/>
              <w:rPr>
                <w:color w:val="00B050"/>
              </w:rPr>
            </w:pPr>
            <w:r>
              <w:t>C2</w:t>
            </w:r>
          </w:p>
        </w:tc>
        <w:tc>
          <w:tcPr>
            <w:tcW w:w="567" w:type="dxa"/>
            <w:tcBorders>
              <w:top w:val="single" w:sz="12" w:space="0" w:color="auto"/>
              <w:left w:val="single" w:sz="4" w:space="0" w:color="auto"/>
              <w:bottom w:val="single" w:sz="8" w:space="0" w:color="auto"/>
              <w:right w:val="single" w:sz="4" w:space="0" w:color="auto"/>
            </w:tcBorders>
            <w:noWrap/>
          </w:tcPr>
          <w:p w14:paraId="3FC9A5B5" w14:textId="77777777" w:rsidR="00085E86" w:rsidRDefault="00085E86" w:rsidP="00780AED">
            <w:pPr>
              <w:spacing w:line="360" w:lineRule="auto"/>
              <w:jc w:val="center"/>
              <w:rPr>
                <w:color w:val="00B050"/>
              </w:rPr>
            </w:pPr>
            <w:r>
              <w:t>C3</w:t>
            </w:r>
          </w:p>
        </w:tc>
        <w:tc>
          <w:tcPr>
            <w:tcW w:w="567" w:type="dxa"/>
            <w:tcBorders>
              <w:top w:val="single" w:sz="12" w:space="0" w:color="auto"/>
              <w:left w:val="single" w:sz="4" w:space="0" w:color="auto"/>
              <w:bottom w:val="single" w:sz="8" w:space="0" w:color="auto"/>
              <w:right w:val="single" w:sz="12" w:space="0" w:color="auto"/>
            </w:tcBorders>
            <w:noWrap/>
          </w:tcPr>
          <w:p w14:paraId="35E6F9BB" w14:textId="77777777" w:rsidR="00085E86" w:rsidRDefault="00085E86" w:rsidP="00780AED">
            <w:pPr>
              <w:spacing w:line="360" w:lineRule="auto"/>
              <w:jc w:val="center"/>
              <w:rPr>
                <w:color w:val="00B050"/>
              </w:rPr>
            </w:pPr>
            <w:r>
              <w:t>C4</w:t>
            </w:r>
          </w:p>
        </w:tc>
        <w:tc>
          <w:tcPr>
            <w:tcW w:w="709" w:type="dxa"/>
            <w:tcBorders>
              <w:top w:val="single" w:sz="12" w:space="0" w:color="auto"/>
              <w:left w:val="single" w:sz="12" w:space="0" w:color="auto"/>
              <w:bottom w:val="single" w:sz="4" w:space="0" w:color="auto"/>
              <w:right w:val="single" w:sz="4" w:space="0" w:color="auto"/>
            </w:tcBorders>
            <w:noWrap/>
            <w:hideMark/>
          </w:tcPr>
          <w:p w14:paraId="790740C3" w14:textId="77777777" w:rsidR="00085E86" w:rsidRDefault="00085E86" w:rsidP="00780AED">
            <w:pPr>
              <w:spacing w:line="360" w:lineRule="auto"/>
            </w:pPr>
            <w:r>
              <w:t>BzCl</w:t>
            </w:r>
          </w:p>
        </w:tc>
        <w:tc>
          <w:tcPr>
            <w:tcW w:w="787" w:type="dxa"/>
            <w:tcBorders>
              <w:top w:val="single" w:sz="12" w:space="0" w:color="auto"/>
              <w:left w:val="single" w:sz="4" w:space="0" w:color="auto"/>
              <w:bottom w:val="single" w:sz="4" w:space="0" w:color="auto"/>
              <w:right w:val="single" w:sz="4" w:space="0" w:color="auto"/>
            </w:tcBorders>
            <w:noWrap/>
            <w:hideMark/>
          </w:tcPr>
          <w:p w14:paraId="264C8422" w14:textId="77777777" w:rsidR="00085E86" w:rsidRDefault="00085E86" w:rsidP="00780AED">
            <w:pPr>
              <w:spacing w:line="360" w:lineRule="auto"/>
            </w:pPr>
            <w:r>
              <w:t>DSMO</w:t>
            </w:r>
          </w:p>
        </w:tc>
        <w:tc>
          <w:tcPr>
            <w:tcW w:w="1417" w:type="dxa"/>
            <w:tcBorders>
              <w:top w:val="single" w:sz="12" w:space="0" w:color="auto"/>
              <w:left w:val="single" w:sz="4" w:space="0" w:color="auto"/>
              <w:bottom w:val="single" w:sz="4" w:space="0" w:color="auto"/>
              <w:right w:val="single" w:sz="4" w:space="0" w:color="auto"/>
            </w:tcBorders>
            <w:noWrap/>
            <w:hideMark/>
          </w:tcPr>
          <w:p w14:paraId="6075D99A" w14:textId="77777777" w:rsidR="00085E86" w:rsidRDefault="00085E86" w:rsidP="00780AED">
            <w:pPr>
              <w:spacing w:line="360" w:lineRule="auto"/>
            </w:pPr>
            <w:r>
              <w:t>Media + Cells</w:t>
            </w:r>
          </w:p>
        </w:tc>
      </w:tr>
      <w:tr w:rsidR="00085E86" w14:paraId="4C7AA5E0" w14:textId="77777777" w:rsidTr="00727472">
        <w:trPr>
          <w:trHeight w:val="493"/>
        </w:trPr>
        <w:tc>
          <w:tcPr>
            <w:tcW w:w="421" w:type="dxa"/>
            <w:tcBorders>
              <w:top w:val="single" w:sz="4" w:space="0" w:color="auto"/>
              <w:left w:val="single" w:sz="4" w:space="0" w:color="auto"/>
              <w:bottom w:val="single" w:sz="4" w:space="0" w:color="auto"/>
              <w:right w:val="single" w:sz="12" w:space="0" w:color="auto"/>
            </w:tcBorders>
            <w:noWrap/>
            <w:hideMark/>
          </w:tcPr>
          <w:p w14:paraId="72B1F8B6" w14:textId="77777777" w:rsidR="00085E86" w:rsidRDefault="00085E86" w:rsidP="00780AED">
            <w:pPr>
              <w:spacing w:line="360" w:lineRule="auto"/>
              <w:rPr>
                <w:b/>
                <w:bCs/>
              </w:rPr>
            </w:pPr>
            <w:r>
              <w:rPr>
                <w:b/>
                <w:bCs/>
              </w:rPr>
              <w:t>B</w:t>
            </w:r>
          </w:p>
        </w:tc>
        <w:tc>
          <w:tcPr>
            <w:tcW w:w="1275" w:type="dxa"/>
            <w:tcBorders>
              <w:top w:val="single" w:sz="4" w:space="0" w:color="auto"/>
              <w:left w:val="single" w:sz="12" w:space="0" w:color="auto"/>
              <w:bottom w:val="single" w:sz="4" w:space="0" w:color="auto"/>
              <w:right w:val="single" w:sz="12" w:space="0" w:color="auto"/>
            </w:tcBorders>
            <w:noWrap/>
            <w:hideMark/>
          </w:tcPr>
          <w:p w14:paraId="309F607E" w14:textId="77777777" w:rsidR="00085E86" w:rsidRDefault="00085E86" w:rsidP="00780AED">
            <w:pPr>
              <w:spacing w:line="360" w:lineRule="auto"/>
              <w:rPr>
                <w:b/>
                <w:bCs/>
              </w:rPr>
            </w:pPr>
            <w:r>
              <w:t>Media only</w:t>
            </w:r>
          </w:p>
        </w:tc>
        <w:tc>
          <w:tcPr>
            <w:tcW w:w="567" w:type="dxa"/>
            <w:tcBorders>
              <w:top w:val="single" w:sz="8" w:space="0" w:color="auto"/>
              <w:left w:val="single" w:sz="12" w:space="0" w:color="auto"/>
              <w:bottom w:val="single" w:sz="8" w:space="0" w:color="auto"/>
              <w:right w:val="single" w:sz="4" w:space="0" w:color="auto"/>
            </w:tcBorders>
            <w:noWrap/>
          </w:tcPr>
          <w:p w14:paraId="6D459DB5" w14:textId="77777777" w:rsidR="00085E86" w:rsidRDefault="00085E86" w:rsidP="00780AED">
            <w:pPr>
              <w:spacing w:line="360" w:lineRule="auto"/>
              <w:jc w:val="center"/>
              <w:rPr>
                <w:color w:val="00B0F0"/>
              </w:rPr>
            </w:pPr>
            <w:r>
              <w:t>C1</w:t>
            </w:r>
          </w:p>
        </w:tc>
        <w:tc>
          <w:tcPr>
            <w:tcW w:w="567" w:type="dxa"/>
            <w:tcBorders>
              <w:top w:val="single" w:sz="8" w:space="0" w:color="auto"/>
              <w:left w:val="single" w:sz="4" w:space="0" w:color="auto"/>
              <w:bottom w:val="single" w:sz="8" w:space="0" w:color="auto"/>
              <w:right w:val="single" w:sz="4" w:space="0" w:color="auto"/>
            </w:tcBorders>
            <w:noWrap/>
          </w:tcPr>
          <w:p w14:paraId="22C02417" w14:textId="77777777" w:rsidR="00085E86" w:rsidRDefault="00085E86" w:rsidP="00780AED">
            <w:pPr>
              <w:spacing w:line="360" w:lineRule="auto"/>
              <w:jc w:val="center"/>
              <w:rPr>
                <w:color w:val="00B0F0"/>
              </w:rPr>
            </w:pPr>
            <w:r>
              <w:t>C2</w:t>
            </w:r>
          </w:p>
        </w:tc>
        <w:tc>
          <w:tcPr>
            <w:tcW w:w="567" w:type="dxa"/>
            <w:tcBorders>
              <w:top w:val="single" w:sz="8" w:space="0" w:color="auto"/>
              <w:left w:val="single" w:sz="4" w:space="0" w:color="auto"/>
              <w:bottom w:val="single" w:sz="8" w:space="0" w:color="auto"/>
              <w:right w:val="single" w:sz="4" w:space="0" w:color="auto"/>
            </w:tcBorders>
            <w:noWrap/>
          </w:tcPr>
          <w:p w14:paraId="4035393B" w14:textId="77777777" w:rsidR="00085E86" w:rsidRDefault="00085E86" w:rsidP="00780AED">
            <w:pPr>
              <w:spacing w:line="360" w:lineRule="auto"/>
              <w:jc w:val="center"/>
              <w:rPr>
                <w:color w:val="00B0F0"/>
              </w:rPr>
            </w:pPr>
            <w:r>
              <w:t>C3</w:t>
            </w:r>
          </w:p>
        </w:tc>
        <w:tc>
          <w:tcPr>
            <w:tcW w:w="567" w:type="dxa"/>
            <w:tcBorders>
              <w:top w:val="single" w:sz="8" w:space="0" w:color="auto"/>
              <w:left w:val="single" w:sz="4" w:space="0" w:color="auto"/>
              <w:bottom w:val="single" w:sz="8" w:space="0" w:color="auto"/>
              <w:right w:val="single" w:sz="12" w:space="0" w:color="auto"/>
            </w:tcBorders>
            <w:noWrap/>
          </w:tcPr>
          <w:p w14:paraId="54E17316" w14:textId="77777777" w:rsidR="00085E86" w:rsidRDefault="00085E86" w:rsidP="00780AED">
            <w:pPr>
              <w:spacing w:line="360" w:lineRule="auto"/>
              <w:jc w:val="center"/>
              <w:rPr>
                <w:color w:val="00B0F0"/>
              </w:rPr>
            </w:pPr>
            <w:r>
              <w:t>C4</w:t>
            </w:r>
          </w:p>
        </w:tc>
        <w:tc>
          <w:tcPr>
            <w:tcW w:w="567" w:type="dxa"/>
            <w:tcBorders>
              <w:top w:val="single" w:sz="8" w:space="0" w:color="auto"/>
              <w:left w:val="single" w:sz="12" w:space="0" w:color="auto"/>
              <w:bottom w:val="single" w:sz="8" w:space="0" w:color="auto"/>
              <w:right w:val="single" w:sz="4" w:space="0" w:color="auto"/>
            </w:tcBorders>
            <w:noWrap/>
          </w:tcPr>
          <w:p w14:paraId="6808E6FC" w14:textId="77777777" w:rsidR="00085E86" w:rsidRDefault="00085E86" w:rsidP="00780AED">
            <w:pPr>
              <w:spacing w:line="360" w:lineRule="auto"/>
              <w:jc w:val="center"/>
              <w:rPr>
                <w:color w:val="00B050"/>
              </w:rPr>
            </w:pPr>
            <w:r>
              <w:t>C1</w:t>
            </w:r>
          </w:p>
        </w:tc>
        <w:tc>
          <w:tcPr>
            <w:tcW w:w="567" w:type="dxa"/>
            <w:tcBorders>
              <w:top w:val="single" w:sz="8" w:space="0" w:color="auto"/>
              <w:left w:val="single" w:sz="4" w:space="0" w:color="auto"/>
              <w:bottom w:val="single" w:sz="8" w:space="0" w:color="auto"/>
              <w:right w:val="single" w:sz="4" w:space="0" w:color="auto"/>
            </w:tcBorders>
            <w:noWrap/>
          </w:tcPr>
          <w:p w14:paraId="38924324" w14:textId="77777777" w:rsidR="00085E86" w:rsidRDefault="00085E86" w:rsidP="00780AED">
            <w:pPr>
              <w:spacing w:line="360" w:lineRule="auto"/>
              <w:jc w:val="center"/>
              <w:rPr>
                <w:color w:val="00B050"/>
              </w:rPr>
            </w:pPr>
            <w:r>
              <w:t>C2</w:t>
            </w:r>
          </w:p>
        </w:tc>
        <w:tc>
          <w:tcPr>
            <w:tcW w:w="567" w:type="dxa"/>
            <w:tcBorders>
              <w:top w:val="single" w:sz="8" w:space="0" w:color="auto"/>
              <w:left w:val="single" w:sz="4" w:space="0" w:color="auto"/>
              <w:bottom w:val="single" w:sz="8" w:space="0" w:color="auto"/>
              <w:right w:val="single" w:sz="4" w:space="0" w:color="auto"/>
            </w:tcBorders>
            <w:noWrap/>
          </w:tcPr>
          <w:p w14:paraId="5E267DA4" w14:textId="77777777" w:rsidR="00085E86" w:rsidRDefault="00085E86" w:rsidP="00780AED">
            <w:pPr>
              <w:spacing w:line="360" w:lineRule="auto"/>
              <w:jc w:val="center"/>
              <w:rPr>
                <w:color w:val="00B050"/>
              </w:rPr>
            </w:pPr>
            <w:r>
              <w:t>C3</w:t>
            </w:r>
          </w:p>
        </w:tc>
        <w:tc>
          <w:tcPr>
            <w:tcW w:w="567" w:type="dxa"/>
            <w:tcBorders>
              <w:top w:val="single" w:sz="8" w:space="0" w:color="auto"/>
              <w:left w:val="single" w:sz="4" w:space="0" w:color="auto"/>
              <w:bottom w:val="single" w:sz="8" w:space="0" w:color="auto"/>
              <w:right w:val="single" w:sz="12" w:space="0" w:color="auto"/>
            </w:tcBorders>
            <w:noWrap/>
          </w:tcPr>
          <w:p w14:paraId="05AED3F3" w14:textId="77777777" w:rsidR="00085E86" w:rsidRDefault="00085E86" w:rsidP="00780AED">
            <w:pPr>
              <w:spacing w:line="360" w:lineRule="auto"/>
              <w:jc w:val="center"/>
              <w:rPr>
                <w:color w:val="00B050"/>
              </w:rPr>
            </w:pPr>
            <w:r>
              <w:t>C4</w:t>
            </w:r>
          </w:p>
        </w:tc>
        <w:tc>
          <w:tcPr>
            <w:tcW w:w="709" w:type="dxa"/>
            <w:tcBorders>
              <w:top w:val="single" w:sz="4" w:space="0" w:color="auto"/>
              <w:left w:val="single" w:sz="12" w:space="0" w:color="auto"/>
              <w:bottom w:val="single" w:sz="4" w:space="0" w:color="auto"/>
              <w:right w:val="single" w:sz="4" w:space="0" w:color="auto"/>
            </w:tcBorders>
            <w:noWrap/>
            <w:hideMark/>
          </w:tcPr>
          <w:p w14:paraId="1F05BCD0" w14:textId="77777777" w:rsidR="00085E86" w:rsidRDefault="00085E86" w:rsidP="00780AED">
            <w:pPr>
              <w:spacing w:line="360" w:lineRule="auto"/>
            </w:pPr>
            <w:r>
              <w:t>BzCl</w:t>
            </w:r>
          </w:p>
        </w:tc>
        <w:tc>
          <w:tcPr>
            <w:tcW w:w="787" w:type="dxa"/>
            <w:tcBorders>
              <w:top w:val="single" w:sz="4" w:space="0" w:color="auto"/>
              <w:left w:val="single" w:sz="4" w:space="0" w:color="auto"/>
              <w:bottom w:val="single" w:sz="4" w:space="0" w:color="auto"/>
              <w:right w:val="single" w:sz="4" w:space="0" w:color="auto"/>
            </w:tcBorders>
            <w:noWrap/>
            <w:hideMark/>
          </w:tcPr>
          <w:p w14:paraId="3A293F7F" w14:textId="77777777" w:rsidR="00085E86" w:rsidRDefault="00085E86" w:rsidP="00780AED">
            <w:pPr>
              <w:spacing w:line="360" w:lineRule="auto"/>
            </w:pPr>
            <w:r>
              <w:t>DSMO</w:t>
            </w:r>
          </w:p>
        </w:tc>
        <w:tc>
          <w:tcPr>
            <w:tcW w:w="1417" w:type="dxa"/>
            <w:tcBorders>
              <w:top w:val="single" w:sz="4" w:space="0" w:color="auto"/>
              <w:left w:val="single" w:sz="4" w:space="0" w:color="auto"/>
              <w:bottom w:val="single" w:sz="4" w:space="0" w:color="auto"/>
              <w:right w:val="single" w:sz="4" w:space="0" w:color="auto"/>
            </w:tcBorders>
            <w:noWrap/>
            <w:hideMark/>
          </w:tcPr>
          <w:p w14:paraId="5B75ACFF" w14:textId="77777777" w:rsidR="00085E86" w:rsidRDefault="00085E86" w:rsidP="00780AED">
            <w:pPr>
              <w:spacing w:line="360" w:lineRule="auto"/>
            </w:pPr>
            <w:r>
              <w:t>Media + Cells</w:t>
            </w:r>
          </w:p>
        </w:tc>
      </w:tr>
      <w:tr w:rsidR="00085E86" w14:paraId="6B7B1AD6" w14:textId="77777777" w:rsidTr="00727472">
        <w:trPr>
          <w:trHeight w:val="493"/>
        </w:trPr>
        <w:tc>
          <w:tcPr>
            <w:tcW w:w="421" w:type="dxa"/>
            <w:tcBorders>
              <w:top w:val="single" w:sz="4" w:space="0" w:color="auto"/>
              <w:left w:val="single" w:sz="4" w:space="0" w:color="auto"/>
              <w:bottom w:val="single" w:sz="4" w:space="0" w:color="auto"/>
              <w:right w:val="single" w:sz="12" w:space="0" w:color="auto"/>
            </w:tcBorders>
            <w:noWrap/>
            <w:hideMark/>
          </w:tcPr>
          <w:p w14:paraId="183A6A27" w14:textId="77777777" w:rsidR="00085E86" w:rsidRDefault="00085E86" w:rsidP="00780AED">
            <w:pPr>
              <w:spacing w:line="360" w:lineRule="auto"/>
              <w:rPr>
                <w:b/>
                <w:bCs/>
              </w:rPr>
            </w:pPr>
            <w:r>
              <w:rPr>
                <w:b/>
                <w:bCs/>
              </w:rPr>
              <w:t>C</w:t>
            </w:r>
          </w:p>
        </w:tc>
        <w:tc>
          <w:tcPr>
            <w:tcW w:w="1275" w:type="dxa"/>
            <w:tcBorders>
              <w:top w:val="single" w:sz="4" w:space="0" w:color="auto"/>
              <w:left w:val="single" w:sz="12" w:space="0" w:color="auto"/>
              <w:bottom w:val="single" w:sz="4" w:space="0" w:color="auto"/>
              <w:right w:val="single" w:sz="12" w:space="0" w:color="auto"/>
            </w:tcBorders>
            <w:noWrap/>
            <w:hideMark/>
          </w:tcPr>
          <w:p w14:paraId="1407239A" w14:textId="77777777" w:rsidR="00085E86" w:rsidRDefault="00085E86" w:rsidP="00780AED">
            <w:pPr>
              <w:spacing w:line="360" w:lineRule="auto"/>
              <w:rPr>
                <w:b/>
                <w:bCs/>
              </w:rPr>
            </w:pPr>
            <w:r>
              <w:t>Media only</w:t>
            </w:r>
          </w:p>
        </w:tc>
        <w:tc>
          <w:tcPr>
            <w:tcW w:w="567" w:type="dxa"/>
            <w:tcBorders>
              <w:top w:val="single" w:sz="8" w:space="0" w:color="auto"/>
              <w:left w:val="single" w:sz="12" w:space="0" w:color="auto"/>
              <w:bottom w:val="single" w:sz="8" w:space="0" w:color="auto"/>
              <w:right w:val="single" w:sz="4" w:space="0" w:color="auto"/>
            </w:tcBorders>
            <w:noWrap/>
          </w:tcPr>
          <w:p w14:paraId="70ED7EB8" w14:textId="77777777" w:rsidR="00085E86" w:rsidRDefault="00085E86" w:rsidP="00780AED">
            <w:pPr>
              <w:spacing w:line="360" w:lineRule="auto"/>
              <w:jc w:val="center"/>
              <w:rPr>
                <w:color w:val="00B0F0"/>
              </w:rPr>
            </w:pPr>
            <w:r>
              <w:t>C1</w:t>
            </w:r>
          </w:p>
        </w:tc>
        <w:tc>
          <w:tcPr>
            <w:tcW w:w="567" w:type="dxa"/>
            <w:tcBorders>
              <w:top w:val="single" w:sz="8" w:space="0" w:color="auto"/>
              <w:left w:val="single" w:sz="4" w:space="0" w:color="auto"/>
              <w:bottom w:val="single" w:sz="8" w:space="0" w:color="auto"/>
              <w:right w:val="single" w:sz="4" w:space="0" w:color="auto"/>
            </w:tcBorders>
            <w:noWrap/>
          </w:tcPr>
          <w:p w14:paraId="62234663" w14:textId="77777777" w:rsidR="00085E86" w:rsidRDefault="00085E86" w:rsidP="00780AED">
            <w:pPr>
              <w:spacing w:line="360" w:lineRule="auto"/>
              <w:jc w:val="center"/>
              <w:rPr>
                <w:color w:val="00B0F0"/>
              </w:rPr>
            </w:pPr>
            <w:r>
              <w:t>C2</w:t>
            </w:r>
          </w:p>
        </w:tc>
        <w:tc>
          <w:tcPr>
            <w:tcW w:w="567" w:type="dxa"/>
            <w:tcBorders>
              <w:top w:val="single" w:sz="8" w:space="0" w:color="auto"/>
              <w:left w:val="single" w:sz="4" w:space="0" w:color="auto"/>
              <w:bottom w:val="single" w:sz="8" w:space="0" w:color="auto"/>
              <w:right w:val="single" w:sz="4" w:space="0" w:color="auto"/>
            </w:tcBorders>
            <w:noWrap/>
          </w:tcPr>
          <w:p w14:paraId="7E503361" w14:textId="77777777" w:rsidR="00085E86" w:rsidRDefault="00085E86" w:rsidP="00780AED">
            <w:pPr>
              <w:spacing w:line="360" w:lineRule="auto"/>
              <w:jc w:val="center"/>
              <w:rPr>
                <w:color w:val="00B0F0"/>
              </w:rPr>
            </w:pPr>
            <w:r>
              <w:t>C3</w:t>
            </w:r>
          </w:p>
        </w:tc>
        <w:tc>
          <w:tcPr>
            <w:tcW w:w="567" w:type="dxa"/>
            <w:tcBorders>
              <w:top w:val="single" w:sz="8" w:space="0" w:color="auto"/>
              <w:left w:val="single" w:sz="4" w:space="0" w:color="auto"/>
              <w:bottom w:val="single" w:sz="8" w:space="0" w:color="auto"/>
              <w:right w:val="single" w:sz="12" w:space="0" w:color="auto"/>
            </w:tcBorders>
            <w:noWrap/>
          </w:tcPr>
          <w:p w14:paraId="65D01443" w14:textId="77777777" w:rsidR="00085E86" w:rsidRDefault="00085E86" w:rsidP="00780AED">
            <w:pPr>
              <w:spacing w:line="360" w:lineRule="auto"/>
              <w:jc w:val="center"/>
              <w:rPr>
                <w:color w:val="00B0F0"/>
              </w:rPr>
            </w:pPr>
            <w:r>
              <w:t>C4</w:t>
            </w:r>
          </w:p>
        </w:tc>
        <w:tc>
          <w:tcPr>
            <w:tcW w:w="567" w:type="dxa"/>
            <w:tcBorders>
              <w:top w:val="single" w:sz="8" w:space="0" w:color="auto"/>
              <w:left w:val="single" w:sz="12" w:space="0" w:color="auto"/>
              <w:bottom w:val="single" w:sz="8" w:space="0" w:color="auto"/>
              <w:right w:val="single" w:sz="4" w:space="0" w:color="auto"/>
            </w:tcBorders>
            <w:noWrap/>
          </w:tcPr>
          <w:p w14:paraId="7AA62A46" w14:textId="77777777" w:rsidR="00085E86" w:rsidRDefault="00085E86" w:rsidP="00780AED">
            <w:pPr>
              <w:spacing w:line="360" w:lineRule="auto"/>
              <w:jc w:val="center"/>
              <w:rPr>
                <w:color w:val="00B050"/>
              </w:rPr>
            </w:pPr>
            <w:r>
              <w:t>C1</w:t>
            </w:r>
          </w:p>
        </w:tc>
        <w:tc>
          <w:tcPr>
            <w:tcW w:w="567" w:type="dxa"/>
            <w:tcBorders>
              <w:top w:val="single" w:sz="8" w:space="0" w:color="auto"/>
              <w:left w:val="single" w:sz="4" w:space="0" w:color="auto"/>
              <w:bottom w:val="single" w:sz="8" w:space="0" w:color="auto"/>
              <w:right w:val="single" w:sz="4" w:space="0" w:color="auto"/>
            </w:tcBorders>
            <w:noWrap/>
          </w:tcPr>
          <w:p w14:paraId="53B0BAC3" w14:textId="77777777" w:rsidR="00085E86" w:rsidRDefault="00085E86" w:rsidP="00780AED">
            <w:pPr>
              <w:spacing w:line="360" w:lineRule="auto"/>
              <w:jc w:val="center"/>
              <w:rPr>
                <w:color w:val="00B050"/>
              </w:rPr>
            </w:pPr>
            <w:r>
              <w:t>C2</w:t>
            </w:r>
          </w:p>
        </w:tc>
        <w:tc>
          <w:tcPr>
            <w:tcW w:w="567" w:type="dxa"/>
            <w:tcBorders>
              <w:top w:val="single" w:sz="8" w:space="0" w:color="auto"/>
              <w:left w:val="single" w:sz="4" w:space="0" w:color="auto"/>
              <w:bottom w:val="single" w:sz="8" w:space="0" w:color="auto"/>
              <w:right w:val="single" w:sz="4" w:space="0" w:color="auto"/>
            </w:tcBorders>
            <w:noWrap/>
          </w:tcPr>
          <w:p w14:paraId="3DF9A414" w14:textId="77777777" w:rsidR="00085E86" w:rsidRDefault="00085E86" w:rsidP="00780AED">
            <w:pPr>
              <w:spacing w:line="360" w:lineRule="auto"/>
              <w:jc w:val="center"/>
              <w:rPr>
                <w:color w:val="00B050"/>
              </w:rPr>
            </w:pPr>
            <w:r>
              <w:t>C3</w:t>
            </w:r>
          </w:p>
        </w:tc>
        <w:tc>
          <w:tcPr>
            <w:tcW w:w="567" w:type="dxa"/>
            <w:tcBorders>
              <w:top w:val="single" w:sz="8" w:space="0" w:color="auto"/>
              <w:left w:val="single" w:sz="4" w:space="0" w:color="auto"/>
              <w:bottom w:val="single" w:sz="8" w:space="0" w:color="auto"/>
              <w:right w:val="single" w:sz="12" w:space="0" w:color="auto"/>
            </w:tcBorders>
            <w:noWrap/>
          </w:tcPr>
          <w:p w14:paraId="2D1879EB" w14:textId="77777777" w:rsidR="00085E86" w:rsidRDefault="00085E86" w:rsidP="00780AED">
            <w:pPr>
              <w:spacing w:line="360" w:lineRule="auto"/>
              <w:jc w:val="center"/>
              <w:rPr>
                <w:color w:val="00B050"/>
              </w:rPr>
            </w:pPr>
            <w:r>
              <w:t>C4</w:t>
            </w:r>
          </w:p>
        </w:tc>
        <w:tc>
          <w:tcPr>
            <w:tcW w:w="709" w:type="dxa"/>
            <w:tcBorders>
              <w:top w:val="single" w:sz="4" w:space="0" w:color="auto"/>
              <w:left w:val="single" w:sz="12" w:space="0" w:color="auto"/>
              <w:bottom w:val="single" w:sz="4" w:space="0" w:color="auto"/>
              <w:right w:val="single" w:sz="4" w:space="0" w:color="auto"/>
            </w:tcBorders>
            <w:noWrap/>
            <w:hideMark/>
          </w:tcPr>
          <w:p w14:paraId="1F0A005E" w14:textId="77777777" w:rsidR="00085E86" w:rsidRDefault="00085E86" w:rsidP="00780AED">
            <w:pPr>
              <w:spacing w:line="360" w:lineRule="auto"/>
            </w:pPr>
            <w:r>
              <w:t>BzCl</w:t>
            </w:r>
          </w:p>
        </w:tc>
        <w:tc>
          <w:tcPr>
            <w:tcW w:w="787" w:type="dxa"/>
            <w:tcBorders>
              <w:top w:val="single" w:sz="4" w:space="0" w:color="auto"/>
              <w:left w:val="single" w:sz="4" w:space="0" w:color="auto"/>
              <w:bottom w:val="single" w:sz="4" w:space="0" w:color="auto"/>
              <w:right w:val="single" w:sz="4" w:space="0" w:color="auto"/>
            </w:tcBorders>
            <w:noWrap/>
            <w:hideMark/>
          </w:tcPr>
          <w:p w14:paraId="5DBCE160" w14:textId="77777777" w:rsidR="00085E86" w:rsidRDefault="00085E86" w:rsidP="00780AED">
            <w:pPr>
              <w:spacing w:line="360" w:lineRule="auto"/>
            </w:pPr>
            <w:r>
              <w:t>DSMO</w:t>
            </w:r>
          </w:p>
        </w:tc>
        <w:tc>
          <w:tcPr>
            <w:tcW w:w="1417" w:type="dxa"/>
            <w:tcBorders>
              <w:top w:val="single" w:sz="4" w:space="0" w:color="auto"/>
              <w:left w:val="single" w:sz="4" w:space="0" w:color="auto"/>
              <w:bottom w:val="single" w:sz="4" w:space="0" w:color="auto"/>
              <w:right w:val="single" w:sz="4" w:space="0" w:color="auto"/>
            </w:tcBorders>
            <w:noWrap/>
            <w:hideMark/>
          </w:tcPr>
          <w:p w14:paraId="321F07CD" w14:textId="77777777" w:rsidR="00085E86" w:rsidRDefault="00085E86" w:rsidP="00780AED">
            <w:pPr>
              <w:spacing w:line="360" w:lineRule="auto"/>
            </w:pPr>
            <w:r>
              <w:t>Media + Cells</w:t>
            </w:r>
          </w:p>
        </w:tc>
      </w:tr>
      <w:tr w:rsidR="00085E86" w14:paraId="14C08CE1" w14:textId="77777777" w:rsidTr="00727472">
        <w:trPr>
          <w:trHeight w:val="493"/>
        </w:trPr>
        <w:tc>
          <w:tcPr>
            <w:tcW w:w="421" w:type="dxa"/>
            <w:tcBorders>
              <w:top w:val="single" w:sz="4" w:space="0" w:color="auto"/>
              <w:left w:val="single" w:sz="4" w:space="0" w:color="auto"/>
              <w:bottom w:val="single" w:sz="4" w:space="0" w:color="auto"/>
              <w:right w:val="single" w:sz="12" w:space="0" w:color="auto"/>
            </w:tcBorders>
            <w:noWrap/>
            <w:hideMark/>
          </w:tcPr>
          <w:p w14:paraId="6CC17C00" w14:textId="77777777" w:rsidR="00085E86" w:rsidRDefault="00085E86" w:rsidP="00780AED">
            <w:pPr>
              <w:spacing w:line="360" w:lineRule="auto"/>
              <w:rPr>
                <w:b/>
                <w:bCs/>
              </w:rPr>
            </w:pPr>
            <w:r>
              <w:rPr>
                <w:b/>
                <w:bCs/>
              </w:rPr>
              <w:t>D</w:t>
            </w:r>
          </w:p>
        </w:tc>
        <w:tc>
          <w:tcPr>
            <w:tcW w:w="1275" w:type="dxa"/>
            <w:tcBorders>
              <w:top w:val="single" w:sz="4" w:space="0" w:color="auto"/>
              <w:left w:val="single" w:sz="12" w:space="0" w:color="auto"/>
              <w:bottom w:val="single" w:sz="4" w:space="0" w:color="auto"/>
              <w:right w:val="single" w:sz="12" w:space="0" w:color="auto"/>
            </w:tcBorders>
            <w:noWrap/>
            <w:hideMark/>
          </w:tcPr>
          <w:p w14:paraId="55BEFA5E" w14:textId="77777777" w:rsidR="00085E86" w:rsidRDefault="00085E86" w:rsidP="00780AED">
            <w:pPr>
              <w:spacing w:line="360" w:lineRule="auto"/>
              <w:rPr>
                <w:b/>
                <w:bCs/>
              </w:rPr>
            </w:pPr>
            <w:r>
              <w:t>Media only</w:t>
            </w:r>
          </w:p>
        </w:tc>
        <w:tc>
          <w:tcPr>
            <w:tcW w:w="567" w:type="dxa"/>
            <w:tcBorders>
              <w:top w:val="single" w:sz="8" w:space="0" w:color="auto"/>
              <w:left w:val="single" w:sz="12" w:space="0" w:color="auto"/>
              <w:bottom w:val="single" w:sz="8" w:space="0" w:color="auto"/>
              <w:right w:val="single" w:sz="4" w:space="0" w:color="auto"/>
            </w:tcBorders>
            <w:noWrap/>
          </w:tcPr>
          <w:p w14:paraId="1A97D76B" w14:textId="77777777" w:rsidR="00085E86" w:rsidRDefault="00085E86" w:rsidP="00780AED">
            <w:pPr>
              <w:spacing w:line="360" w:lineRule="auto"/>
              <w:jc w:val="center"/>
              <w:rPr>
                <w:color w:val="00B0F0"/>
              </w:rPr>
            </w:pPr>
            <w:r>
              <w:t>C1</w:t>
            </w:r>
          </w:p>
        </w:tc>
        <w:tc>
          <w:tcPr>
            <w:tcW w:w="567" w:type="dxa"/>
            <w:tcBorders>
              <w:top w:val="single" w:sz="8" w:space="0" w:color="auto"/>
              <w:left w:val="single" w:sz="4" w:space="0" w:color="auto"/>
              <w:bottom w:val="single" w:sz="8" w:space="0" w:color="auto"/>
              <w:right w:val="single" w:sz="4" w:space="0" w:color="auto"/>
            </w:tcBorders>
            <w:noWrap/>
          </w:tcPr>
          <w:p w14:paraId="4E2FF398" w14:textId="77777777" w:rsidR="00085E86" w:rsidRDefault="00085E86" w:rsidP="00780AED">
            <w:pPr>
              <w:spacing w:line="360" w:lineRule="auto"/>
              <w:jc w:val="center"/>
              <w:rPr>
                <w:color w:val="00B0F0"/>
              </w:rPr>
            </w:pPr>
            <w:r>
              <w:t>C2</w:t>
            </w:r>
          </w:p>
        </w:tc>
        <w:tc>
          <w:tcPr>
            <w:tcW w:w="567" w:type="dxa"/>
            <w:tcBorders>
              <w:top w:val="single" w:sz="8" w:space="0" w:color="auto"/>
              <w:left w:val="single" w:sz="4" w:space="0" w:color="auto"/>
              <w:bottom w:val="single" w:sz="8" w:space="0" w:color="auto"/>
              <w:right w:val="single" w:sz="4" w:space="0" w:color="auto"/>
            </w:tcBorders>
            <w:noWrap/>
          </w:tcPr>
          <w:p w14:paraId="20A0F240" w14:textId="77777777" w:rsidR="00085E86" w:rsidRDefault="00085E86" w:rsidP="00780AED">
            <w:pPr>
              <w:spacing w:line="360" w:lineRule="auto"/>
              <w:jc w:val="center"/>
              <w:rPr>
                <w:color w:val="00B0F0"/>
              </w:rPr>
            </w:pPr>
            <w:r>
              <w:t>C3</w:t>
            </w:r>
          </w:p>
        </w:tc>
        <w:tc>
          <w:tcPr>
            <w:tcW w:w="567" w:type="dxa"/>
            <w:tcBorders>
              <w:top w:val="single" w:sz="8" w:space="0" w:color="auto"/>
              <w:left w:val="single" w:sz="4" w:space="0" w:color="auto"/>
              <w:bottom w:val="single" w:sz="8" w:space="0" w:color="auto"/>
              <w:right w:val="single" w:sz="12" w:space="0" w:color="auto"/>
            </w:tcBorders>
            <w:noWrap/>
          </w:tcPr>
          <w:p w14:paraId="597A4788" w14:textId="77777777" w:rsidR="00085E86" w:rsidRDefault="00085E86" w:rsidP="00780AED">
            <w:pPr>
              <w:spacing w:line="360" w:lineRule="auto"/>
              <w:jc w:val="center"/>
              <w:rPr>
                <w:color w:val="00B0F0"/>
              </w:rPr>
            </w:pPr>
            <w:r>
              <w:t>C4</w:t>
            </w:r>
          </w:p>
        </w:tc>
        <w:tc>
          <w:tcPr>
            <w:tcW w:w="567" w:type="dxa"/>
            <w:tcBorders>
              <w:top w:val="single" w:sz="8" w:space="0" w:color="auto"/>
              <w:left w:val="single" w:sz="12" w:space="0" w:color="auto"/>
              <w:bottom w:val="single" w:sz="8" w:space="0" w:color="auto"/>
              <w:right w:val="single" w:sz="4" w:space="0" w:color="auto"/>
            </w:tcBorders>
            <w:noWrap/>
          </w:tcPr>
          <w:p w14:paraId="431714C8" w14:textId="77777777" w:rsidR="00085E86" w:rsidRDefault="00085E86" w:rsidP="00780AED">
            <w:pPr>
              <w:spacing w:line="360" w:lineRule="auto"/>
              <w:jc w:val="center"/>
              <w:rPr>
                <w:color w:val="00B050"/>
              </w:rPr>
            </w:pPr>
            <w:r>
              <w:t>C1</w:t>
            </w:r>
          </w:p>
        </w:tc>
        <w:tc>
          <w:tcPr>
            <w:tcW w:w="567" w:type="dxa"/>
            <w:tcBorders>
              <w:top w:val="single" w:sz="8" w:space="0" w:color="auto"/>
              <w:left w:val="single" w:sz="4" w:space="0" w:color="auto"/>
              <w:bottom w:val="single" w:sz="8" w:space="0" w:color="auto"/>
              <w:right w:val="single" w:sz="4" w:space="0" w:color="auto"/>
            </w:tcBorders>
            <w:noWrap/>
          </w:tcPr>
          <w:p w14:paraId="67851778" w14:textId="77777777" w:rsidR="00085E86" w:rsidRDefault="00085E86" w:rsidP="00780AED">
            <w:pPr>
              <w:spacing w:line="360" w:lineRule="auto"/>
              <w:jc w:val="center"/>
              <w:rPr>
                <w:color w:val="00B050"/>
              </w:rPr>
            </w:pPr>
            <w:r>
              <w:t>C2</w:t>
            </w:r>
          </w:p>
        </w:tc>
        <w:tc>
          <w:tcPr>
            <w:tcW w:w="567" w:type="dxa"/>
            <w:tcBorders>
              <w:top w:val="single" w:sz="8" w:space="0" w:color="auto"/>
              <w:left w:val="single" w:sz="4" w:space="0" w:color="auto"/>
              <w:bottom w:val="single" w:sz="8" w:space="0" w:color="auto"/>
              <w:right w:val="single" w:sz="4" w:space="0" w:color="auto"/>
            </w:tcBorders>
            <w:noWrap/>
          </w:tcPr>
          <w:p w14:paraId="77E23620" w14:textId="77777777" w:rsidR="00085E86" w:rsidRDefault="00085E86" w:rsidP="00780AED">
            <w:pPr>
              <w:spacing w:line="360" w:lineRule="auto"/>
              <w:jc w:val="center"/>
              <w:rPr>
                <w:color w:val="00B050"/>
              </w:rPr>
            </w:pPr>
            <w:r>
              <w:t>C3</w:t>
            </w:r>
          </w:p>
        </w:tc>
        <w:tc>
          <w:tcPr>
            <w:tcW w:w="567" w:type="dxa"/>
            <w:tcBorders>
              <w:top w:val="single" w:sz="8" w:space="0" w:color="auto"/>
              <w:left w:val="single" w:sz="4" w:space="0" w:color="auto"/>
              <w:bottom w:val="single" w:sz="8" w:space="0" w:color="auto"/>
              <w:right w:val="single" w:sz="12" w:space="0" w:color="auto"/>
            </w:tcBorders>
            <w:noWrap/>
          </w:tcPr>
          <w:p w14:paraId="3C435A2B" w14:textId="77777777" w:rsidR="00085E86" w:rsidRDefault="00085E86" w:rsidP="00780AED">
            <w:pPr>
              <w:spacing w:line="360" w:lineRule="auto"/>
              <w:jc w:val="center"/>
              <w:rPr>
                <w:color w:val="00B050"/>
              </w:rPr>
            </w:pPr>
            <w:r>
              <w:t>C4</w:t>
            </w:r>
          </w:p>
        </w:tc>
        <w:tc>
          <w:tcPr>
            <w:tcW w:w="709" w:type="dxa"/>
            <w:tcBorders>
              <w:top w:val="single" w:sz="4" w:space="0" w:color="auto"/>
              <w:left w:val="single" w:sz="12" w:space="0" w:color="auto"/>
              <w:bottom w:val="single" w:sz="4" w:space="0" w:color="auto"/>
              <w:right w:val="single" w:sz="4" w:space="0" w:color="auto"/>
            </w:tcBorders>
            <w:noWrap/>
            <w:hideMark/>
          </w:tcPr>
          <w:p w14:paraId="7EE6F6DD" w14:textId="77777777" w:rsidR="00085E86" w:rsidRDefault="00085E86" w:rsidP="00780AED">
            <w:pPr>
              <w:spacing w:line="360" w:lineRule="auto"/>
            </w:pPr>
            <w:r>
              <w:t>BzCl</w:t>
            </w:r>
          </w:p>
        </w:tc>
        <w:tc>
          <w:tcPr>
            <w:tcW w:w="787" w:type="dxa"/>
            <w:tcBorders>
              <w:top w:val="single" w:sz="4" w:space="0" w:color="auto"/>
              <w:left w:val="single" w:sz="4" w:space="0" w:color="auto"/>
              <w:bottom w:val="single" w:sz="4" w:space="0" w:color="auto"/>
              <w:right w:val="single" w:sz="4" w:space="0" w:color="auto"/>
            </w:tcBorders>
            <w:noWrap/>
            <w:hideMark/>
          </w:tcPr>
          <w:p w14:paraId="7D9974EB" w14:textId="77777777" w:rsidR="00085E86" w:rsidRDefault="00085E86" w:rsidP="00780AED">
            <w:pPr>
              <w:spacing w:line="360" w:lineRule="auto"/>
            </w:pPr>
            <w:r>
              <w:t>DSMO</w:t>
            </w:r>
          </w:p>
        </w:tc>
        <w:tc>
          <w:tcPr>
            <w:tcW w:w="1417" w:type="dxa"/>
            <w:tcBorders>
              <w:top w:val="single" w:sz="4" w:space="0" w:color="auto"/>
              <w:left w:val="single" w:sz="4" w:space="0" w:color="auto"/>
              <w:bottom w:val="single" w:sz="4" w:space="0" w:color="auto"/>
              <w:right w:val="single" w:sz="4" w:space="0" w:color="auto"/>
            </w:tcBorders>
            <w:noWrap/>
            <w:hideMark/>
          </w:tcPr>
          <w:p w14:paraId="0327464C" w14:textId="77777777" w:rsidR="00085E86" w:rsidRDefault="00085E86" w:rsidP="00780AED">
            <w:pPr>
              <w:spacing w:line="360" w:lineRule="auto"/>
            </w:pPr>
            <w:r>
              <w:t>Media + Cells</w:t>
            </w:r>
          </w:p>
        </w:tc>
      </w:tr>
      <w:tr w:rsidR="00085E86" w14:paraId="713B8C0A" w14:textId="77777777" w:rsidTr="00727472">
        <w:trPr>
          <w:trHeight w:val="493"/>
        </w:trPr>
        <w:tc>
          <w:tcPr>
            <w:tcW w:w="421" w:type="dxa"/>
            <w:tcBorders>
              <w:top w:val="single" w:sz="4" w:space="0" w:color="auto"/>
              <w:left w:val="single" w:sz="4" w:space="0" w:color="auto"/>
              <w:bottom w:val="single" w:sz="4" w:space="0" w:color="auto"/>
              <w:right w:val="single" w:sz="12" w:space="0" w:color="auto"/>
            </w:tcBorders>
            <w:noWrap/>
            <w:hideMark/>
          </w:tcPr>
          <w:p w14:paraId="39E96138" w14:textId="77777777" w:rsidR="00085E86" w:rsidRDefault="00085E86" w:rsidP="00780AED">
            <w:pPr>
              <w:spacing w:line="360" w:lineRule="auto"/>
              <w:rPr>
                <w:b/>
                <w:bCs/>
              </w:rPr>
            </w:pPr>
            <w:r>
              <w:rPr>
                <w:b/>
                <w:bCs/>
              </w:rPr>
              <w:t>E</w:t>
            </w:r>
          </w:p>
        </w:tc>
        <w:tc>
          <w:tcPr>
            <w:tcW w:w="1275" w:type="dxa"/>
            <w:tcBorders>
              <w:top w:val="single" w:sz="4" w:space="0" w:color="auto"/>
              <w:left w:val="single" w:sz="12" w:space="0" w:color="auto"/>
              <w:bottom w:val="single" w:sz="4" w:space="0" w:color="auto"/>
              <w:right w:val="single" w:sz="12" w:space="0" w:color="auto"/>
            </w:tcBorders>
            <w:noWrap/>
            <w:hideMark/>
          </w:tcPr>
          <w:p w14:paraId="494364C7" w14:textId="77777777" w:rsidR="00085E86" w:rsidRDefault="00085E86" w:rsidP="00780AED">
            <w:pPr>
              <w:spacing w:line="360" w:lineRule="auto"/>
              <w:rPr>
                <w:b/>
                <w:bCs/>
              </w:rPr>
            </w:pPr>
            <w:r>
              <w:t>Media only</w:t>
            </w:r>
          </w:p>
        </w:tc>
        <w:tc>
          <w:tcPr>
            <w:tcW w:w="567" w:type="dxa"/>
            <w:tcBorders>
              <w:top w:val="single" w:sz="8" w:space="0" w:color="auto"/>
              <w:left w:val="single" w:sz="12" w:space="0" w:color="auto"/>
              <w:bottom w:val="single" w:sz="8" w:space="0" w:color="auto"/>
              <w:right w:val="single" w:sz="4" w:space="0" w:color="auto"/>
            </w:tcBorders>
            <w:noWrap/>
          </w:tcPr>
          <w:p w14:paraId="397E126A" w14:textId="77777777" w:rsidR="00085E86" w:rsidRDefault="00085E86" w:rsidP="00780AED">
            <w:pPr>
              <w:spacing w:line="360" w:lineRule="auto"/>
              <w:jc w:val="center"/>
              <w:rPr>
                <w:color w:val="00B0F0"/>
              </w:rPr>
            </w:pPr>
            <w:r>
              <w:t>C1</w:t>
            </w:r>
          </w:p>
        </w:tc>
        <w:tc>
          <w:tcPr>
            <w:tcW w:w="567" w:type="dxa"/>
            <w:tcBorders>
              <w:top w:val="single" w:sz="8" w:space="0" w:color="auto"/>
              <w:left w:val="single" w:sz="4" w:space="0" w:color="auto"/>
              <w:bottom w:val="single" w:sz="8" w:space="0" w:color="auto"/>
              <w:right w:val="single" w:sz="4" w:space="0" w:color="auto"/>
            </w:tcBorders>
            <w:noWrap/>
          </w:tcPr>
          <w:p w14:paraId="34954A78" w14:textId="77777777" w:rsidR="00085E86" w:rsidRDefault="00085E86" w:rsidP="00780AED">
            <w:pPr>
              <w:spacing w:line="360" w:lineRule="auto"/>
              <w:jc w:val="center"/>
              <w:rPr>
                <w:color w:val="00B0F0"/>
              </w:rPr>
            </w:pPr>
            <w:r>
              <w:t>C2</w:t>
            </w:r>
          </w:p>
        </w:tc>
        <w:tc>
          <w:tcPr>
            <w:tcW w:w="567" w:type="dxa"/>
            <w:tcBorders>
              <w:top w:val="single" w:sz="8" w:space="0" w:color="auto"/>
              <w:left w:val="single" w:sz="4" w:space="0" w:color="auto"/>
              <w:bottom w:val="single" w:sz="8" w:space="0" w:color="auto"/>
              <w:right w:val="single" w:sz="4" w:space="0" w:color="auto"/>
            </w:tcBorders>
            <w:noWrap/>
          </w:tcPr>
          <w:p w14:paraId="5E56AEE4" w14:textId="77777777" w:rsidR="00085E86" w:rsidRDefault="00085E86" w:rsidP="00780AED">
            <w:pPr>
              <w:spacing w:line="360" w:lineRule="auto"/>
              <w:jc w:val="center"/>
              <w:rPr>
                <w:color w:val="00B0F0"/>
              </w:rPr>
            </w:pPr>
            <w:r>
              <w:t>C3</w:t>
            </w:r>
          </w:p>
        </w:tc>
        <w:tc>
          <w:tcPr>
            <w:tcW w:w="567" w:type="dxa"/>
            <w:tcBorders>
              <w:top w:val="single" w:sz="8" w:space="0" w:color="auto"/>
              <w:left w:val="single" w:sz="4" w:space="0" w:color="auto"/>
              <w:bottom w:val="single" w:sz="8" w:space="0" w:color="auto"/>
              <w:right w:val="single" w:sz="12" w:space="0" w:color="auto"/>
            </w:tcBorders>
            <w:noWrap/>
          </w:tcPr>
          <w:p w14:paraId="3E803DBD" w14:textId="77777777" w:rsidR="00085E86" w:rsidRDefault="00085E86" w:rsidP="00780AED">
            <w:pPr>
              <w:spacing w:line="360" w:lineRule="auto"/>
              <w:jc w:val="center"/>
              <w:rPr>
                <w:color w:val="00B0F0"/>
              </w:rPr>
            </w:pPr>
            <w:r>
              <w:t>C4</w:t>
            </w:r>
          </w:p>
        </w:tc>
        <w:tc>
          <w:tcPr>
            <w:tcW w:w="567" w:type="dxa"/>
            <w:tcBorders>
              <w:top w:val="single" w:sz="8" w:space="0" w:color="auto"/>
              <w:left w:val="single" w:sz="12" w:space="0" w:color="auto"/>
              <w:bottom w:val="single" w:sz="8" w:space="0" w:color="auto"/>
              <w:right w:val="single" w:sz="4" w:space="0" w:color="auto"/>
            </w:tcBorders>
            <w:noWrap/>
          </w:tcPr>
          <w:p w14:paraId="58CD5E7D" w14:textId="77777777" w:rsidR="00085E86" w:rsidRDefault="00085E86" w:rsidP="00780AED">
            <w:pPr>
              <w:spacing w:line="360" w:lineRule="auto"/>
              <w:jc w:val="center"/>
              <w:rPr>
                <w:color w:val="00B050"/>
              </w:rPr>
            </w:pPr>
            <w:r>
              <w:t>C1</w:t>
            </w:r>
          </w:p>
        </w:tc>
        <w:tc>
          <w:tcPr>
            <w:tcW w:w="567" w:type="dxa"/>
            <w:tcBorders>
              <w:top w:val="single" w:sz="8" w:space="0" w:color="auto"/>
              <w:left w:val="single" w:sz="4" w:space="0" w:color="auto"/>
              <w:bottom w:val="single" w:sz="8" w:space="0" w:color="auto"/>
              <w:right w:val="single" w:sz="4" w:space="0" w:color="auto"/>
            </w:tcBorders>
            <w:noWrap/>
          </w:tcPr>
          <w:p w14:paraId="59AED1A7" w14:textId="77777777" w:rsidR="00085E86" w:rsidRDefault="00085E86" w:rsidP="00780AED">
            <w:pPr>
              <w:spacing w:line="360" w:lineRule="auto"/>
              <w:jc w:val="center"/>
              <w:rPr>
                <w:color w:val="00B050"/>
              </w:rPr>
            </w:pPr>
            <w:r>
              <w:t>C2</w:t>
            </w:r>
          </w:p>
        </w:tc>
        <w:tc>
          <w:tcPr>
            <w:tcW w:w="567" w:type="dxa"/>
            <w:tcBorders>
              <w:top w:val="single" w:sz="8" w:space="0" w:color="auto"/>
              <w:left w:val="single" w:sz="4" w:space="0" w:color="auto"/>
              <w:bottom w:val="single" w:sz="8" w:space="0" w:color="auto"/>
              <w:right w:val="single" w:sz="4" w:space="0" w:color="auto"/>
            </w:tcBorders>
            <w:noWrap/>
          </w:tcPr>
          <w:p w14:paraId="22ADD141" w14:textId="77777777" w:rsidR="00085E86" w:rsidRDefault="00085E86" w:rsidP="00780AED">
            <w:pPr>
              <w:spacing w:line="360" w:lineRule="auto"/>
              <w:jc w:val="center"/>
              <w:rPr>
                <w:color w:val="00B050"/>
              </w:rPr>
            </w:pPr>
            <w:r>
              <w:t>C3</w:t>
            </w:r>
          </w:p>
        </w:tc>
        <w:tc>
          <w:tcPr>
            <w:tcW w:w="567" w:type="dxa"/>
            <w:tcBorders>
              <w:top w:val="single" w:sz="8" w:space="0" w:color="auto"/>
              <w:left w:val="single" w:sz="4" w:space="0" w:color="auto"/>
              <w:bottom w:val="single" w:sz="8" w:space="0" w:color="auto"/>
              <w:right w:val="single" w:sz="12" w:space="0" w:color="auto"/>
            </w:tcBorders>
            <w:noWrap/>
          </w:tcPr>
          <w:p w14:paraId="01417F70" w14:textId="77777777" w:rsidR="00085E86" w:rsidRDefault="00085E86" w:rsidP="00780AED">
            <w:pPr>
              <w:spacing w:line="360" w:lineRule="auto"/>
              <w:jc w:val="center"/>
              <w:rPr>
                <w:color w:val="00B050"/>
              </w:rPr>
            </w:pPr>
            <w:r>
              <w:t>C4</w:t>
            </w:r>
          </w:p>
        </w:tc>
        <w:tc>
          <w:tcPr>
            <w:tcW w:w="709" w:type="dxa"/>
            <w:tcBorders>
              <w:top w:val="single" w:sz="4" w:space="0" w:color="auto"/>
              <w:left w:val="single" w:sz="12" w:space="0" w:color="auto"/>
              <w:bottom w:val="single" w:sz="4" w:space="0" w:color="auto"/>
              <w:right w:val="single" w:sz="4" w:space="0" w:color="auto"/>
            </w:tcBorders>
            <w:noWrap/>
            <w:hideMark/>
          </w:tcPr>
          <w:p w14:paraId="48C2907A" w14:textId="77777777" w:rsidR="00085E86" w:rsidRDefault="00085E86" w:rsidP="00780AED">
            <w:pPr>
              <w:spacing w:line="360" w:lineRule="auto"/>
            </w:pPr>
            <w:r>
              <w:t>BzCl</w:t>
            </w:r>
          </w:p>
        </w:tc>
        <w:tc>
          <w:tcPr>
            <w:tcW w:w="787" w:type="dxa"/>
            <w:tcBorders>
              <w:top w:val="single" w:sz="4" w:space="0" w:color="auto"/>
              <w:left w:val="single" w:sz="4" w:space="0" w:color="auto"/>
              <w:bottom w:val="single" w:sz="4" w:space="0" w:color="auto"/>
              <w:right w:val="single" w:sz="4" w:space="0" w:color="auto"/>
            </w:tcBorders>
            <w:noWrap/>
            <w:hideMark/>
          </w:tcPr>
          <w:p w14:paraId="6B2D7947" w14:textId="77777777" w:rsidR="00085E86" w:rsidRDefault="00085E86" w:rsidP="00780AED">
            <w:pPr>
              <w:spacing w:line="360" w:lineRule="auto"/>
            </w:pPr>
            <w:r>
              <w:t>DSMO</w:t>
            </w:r>
          </w:p>
        </w:tc>
        <w:tc>
          <w:tcPr>
            <w:tcW w:w="1417" w:type="dxa"/>
            <w:tcBorders>
              <w:top w:val="single" w:sz="4" w:space="0" w:color="auto"/>
              <w:left w:val="single" w:sz="4" w:space="0" w:color="auto"/>
              <w:bottom w:val="single" w:sz="4" w:space="0" w:color="auto"/>
              <w:right w:val="single" w:sz="4" w:space="0" w:color="auto"/>
            </w:tcBorders>
            <w:noWrap/>
            <w:hideMark/>
          </w:tcPr>
          <w:p w14:paraId="4A927FBE" w14:textId="77777777" w:rsidR="00085E86" w:rsidRDefault="00085E86" w:rsidP="00780AED">
            <w:pPr>
              <w:spacing w:line="360" w:lineRule="auto"/>
            </w:pPr>
            <w:r>
              <w:t>Media + Cells</w:t>
            </w:r>
          </w:p>
        </w:tc>
      </w:tr>
      <w:tr w:rsidR="00085E86" w14:paraId="4EF6D400" w14:textId="77777777" w:rsidTr="00727472">
        <w:trPr>
          <w:trHeight w:val="493"/>
        </w:trPr>
        <w:tc>
          <w:tcPr>
            <w:tcW w:w="421" w:type="dxa"/>
            <w:tcBorders>
              <w:top w:val="single" w:sz="4" w:space="0" w:color="auto"/>
              <w:left w:val="single" w:sz="4" w:space="0" w:color="auto"/>
              <w:bottom w:val="single" w:sz="4" w:space="0" w:color="auto"/>
              <w:right w:val="single" w:sz="12" w:space="0" w:color="auto"/>
            </w:tcBorders>
            <w:noWrap/>
            <w:hideMark/>
          </w:tcPr>
          <w:p w14:paraId="14784AAE" w14:textId="77777777" w:rsidR="00085E86" w:rsidRDefault="00085E86" w:rsidP="00780AED">
            <w:pPr>
              <w:spacing w:line="360" w:lineRule="auto"/>
              <w:rPr>
                <w:b/>
                <w:bCs/>
              </w:rPr>
            </w:pPr>
            <w:r>
              <w:rPr>
                <w:b/>
                <w:bCs/>
              </w:rPr>
              <w:t>F</w:t>
            </w:r>
          </w:p>
        </w:tc>
        <w:tc>
          <w:tcPr>
            <w:tcW w:w="1275" w:type="dxa"/>
            <w:tcBorders>
              <w:top w:val="single" w:sz="4" w:space="0" w:color="auto"/>
              <w:left w:val="single" w:sz="12" w:space="0" w:color="auto"/>
              <w:bottom w:val="single" w:sz="4" w:space="0" w:color="auto"/>
              <w:right w:val="single" w:sz="12" w:space="0" w:color="auto"/>
            </w:tcBorders>
            <w:noWrap/>
            <w:hideMark/>
          </w:tcPr>
          <w:p w14:paraId="65D5B02D" w14:textId="77777777" w:rsidR="00085E86" w:rsidRDefault="00085E86" w:rsidP="00780AED">
            <w:pPr>
              <w:spacing w:line="360" w:lineRule="auto"/>
              <w:rPr>
                <w:b/>
                <w:bCs/>
              </w:rPr>
            </w:pPr>
            <w:r>
              <w:t>Media only</w:t>
            </w:r>
          </w:p>
        </w:tc>
        <w:tc>
          <w:tcPr>
            <w:tcW w:w="567" w:type="dxa"/>
            <w:tcBorders>
              <w:top w:val="single" w:sz="8" w:space="0" w:color="auto"/>
              <w:left w:val="single" w:sz="12" w:space="0" w:color="auto"/>
              <w:bottom w:val="single" w:sz="8" w:space="0" w:color="auto"/>
              <w:right w:val="single" w:sz="4" w:space="0" w:color="auto"/>
            </w:tcBorders>
            <w:noWrap/>
          </w:tcPr>
          <w:p w14:paraId="51D4ACAD" w14:textId="77777777" w:rsidR="00085E86" w:rsidRDefault="00085E86" w:rsidP="00780AED">
            <w:pPr>
              <w:spacing w:line="360" w:lineRule="auto"/>
              <w:jc w:val="center"/>
              <w:rPr>
                <w:color w:val="00B0F0"/>
              </w:rPr>
            </w:pPr>
            <w:r>
              <w:t>C1</w:t>
            </w:r>
          </w:p>
        </w:tc>
        <w:tc>
          <w:tcPr>
            <w:tcW w:w="567" w:type="dxa"/>
            <w:tcBorders>
              <w:top w:val="single" w:sz="8" w:space="0" w:color="auto"/>
              <w:left w:val="single" w:sz="4" w:space="0" w:color="auto"/>
              <w:bottom w:val="single" w:sz="8" w:space="0" w:color="auto"/>
              <w:right w:val="single" w:sz="4" w:space="0" w:color="auto"/>
            </w:tcBorders>
            <w:noWrap/>
          </w:tcPr>
          <w:p w14:paraId="66F14C20" w14:textId="77777777" w:rsidR="00085E86" w:rsidRDefault="00085E86" w:rsidP="00780AED">
            <w:pPr>
              <w:spacing w:line="360" w:lineRule="auto"/>
              <w:jc w:val="center"/>
              <w:rPr>
                <w:color w:val="00B0F0"/>
              </w:rPr>
            </w:pPr>
            <w:r>
              <w:t>C2</w:t>
            </w:r>
          </w:p>
        </w:tc>
        <w:tc>
          <w:tcPr>
            <w:tcW w:w="567" w:type="dxa"/>
            <w:tcBorders>
              <w:top w:val="single" w:sz="8" w:space="0" w:color="auto"/>
              <w:left w:val="single" w:sz="4" w:space="0" w:color="auto"/>
              <w:bottom w:val="single" w:sz="8" w:space="0" w:color="auto"/>
              <w:right w:val="single" w:sz="4" w:space="0" w:color="auto"/>
            </w:tcBorders>
            <w:noWrap/>
          </w:tcPr>
          <w:p w14:paraId="52025B50" w14:textId="77777777" w:rsidR="00085E86" w:rsidRDefault="00085E86" w:rsidP="00780AED">
            <w:pPr>
              <w:spacing w:line="360" w:lineRule="auto"/>
              <w:jc w:val="center"/>
              <w:rPr>
                <w:color w:val="00B0F0"/>
              </w:rPr>
            </w:pPr>
            <w:r>
              <w:t>C3</w:t>
            </w:r>
          </w:p>
        </w:tc>
        <w:tc>
          <w:tcPr>
            <w:tcW w:w="567" w:type="dxa"/>
            <w:tcBorders>
              <w:top w:val="single" w:sz="8" w:space="0" w:color="auto"/>
              <w:left w:val="single" w:sz="4" w:space="0" w:color="auto"/>
              <w:bottom w:val="single" w:sz="8" w:space="0" w:color="auto"/>
              <w:right w:val="single" w:sz="12" w:space="0" w:color="auto"/>
            </w:tcBorders>
            <w:noWrap/>
          </w:tcPr>
          <w:p w14:paraId="3F75F749" w14:textId="77777777" w:rsidR="00085E86" w:rsidRDefault="00085E86" w:rsidP="00780AED">
            <w:pPr>
              <w:spacing w:line="360" w:lineRule="auto"/>
              <w:jc w:val="center"/>
              <w:rPr>
                <w:color w:val="00B0F0"/>
              </w:rPr>
            </w:pPr>
            <w:r>
              <w:t>C4</w:t>
            </w:r>
          </w:p>
        </w:tc>
        <w:tc>
          <w:tcPr>
            <w:tcW w:w="567" w:type="dxa"/>
            <w:tcBorders>
              <w:top w:val="single" w:sz="8" w:space="0" w:color="auto"/>
              <w:left w:val="single" w:sz="12" w:space="0" w:color="auto"/>
              <w:bottom w:val="single" w:sz="8" w:space="0" w:color="auto"/>
              <w:right w:val="single" w:sz="4" w:space="0" w:color="auto"/>
            </w:tcBorders>
            <w:noWrap/>
          </w:tcPr>
          <w:p w14:paraId="2B9C8296" w14:textId="77777777" w:rsidR="00085E86" w:rsidRDefault="00085E86" w:rsidP="00780AED">
            <w:pPr>
              <w:spacing w:line="360" w:lineRule="auto"/>
              <w:jc w:val="center"/>
              <w:rPr>
                <w:color w:val="00B050"/>
              </w:rPr>
            </w:pPr>
            <w:r>
              <w:t>C1</w:t>
            </w:r>
          </w:p>
        </w:tc>
        <w:tc>
          <w:tcPr>
            <w:tcW w:w="567" w:type="dxa"/>
            <w:tcBorders>
              <w:top w:val="single" w:sz="8" w:space="0" w:color="auto"/>
              <w:left w:val="single" w:sz="4" w:space="0" w:color="auto"/>
              <w:bottom w:val="single" w:sz="8" w:space="0" w:color="auto"/>
              <w:right w:val="single" w:sz="4" w:space="0" w:color="auto"/>
            </w:tcBorders>
            <w:noWrap/>
          </w:tcPr>
          <w:p w14:paraId="2E4A90E1" w14:textId="77777777" w:rsidR="00085E86" w:rsidRDefault="00085E86" w:rsidP="00780AED">
            <w:pPr>
              <w:spacing w:line="360" w:lineRule="auto"/>
              <w:jc w:val="center"/>
              <w:rPr>
                <w:color w:val="00B050"/>
              </w:rPr>
            </w:pPr>
            <w:r>
              <w:t>C2</w:t>
            </w:r>
          </w:p>
        </w:tc>
        <w:tc>
          <w:tcPr>
            <w:tcW w:w="567" w:type="dxa"/>
            <w:tcBorders>
              <w:top w:val="single" w:sz="8" w:space="0" w:color="auto"/>
              <w:left w:val="single" w:sz="4" w:space="0" w:color="auto"/>
              <w:bottom w:val="single" w:sz="8" w:space="0" w:color="auto"/>
              <w:right w:val="single" w:sz="4" w:space="0" w:color="auto"/>
            </w:tcBorders>
            <w:noWrap/>
          </w:tcPr>
          <w:p w14:paraId="7DA4E026" w14:textId="77777777" w:rsidR="00085E86" w:rsidRDefault="00085E86" w:rsidP="00780AED">
            <w:pPr>
              <w:spacing w:line="360" w:lineRule="auto"/>
              <w:jc w:val="center"/>
              <w:rPr>
                <w:color w:val="00B050"/>
              </w:rPr>
            </w:pPr>
            <w:r>
              <w:t>C3</w:t>
            </w:r>
          </w:p>
        </w:tc>
        <w:tc>
          <w:tcPr>
            <w:tcW w:w="567" w:type="dxa"/>
            <w:tcBorders>
              <w:top w:val="single" w:sz="8" w:space="0" w:color="auto"/>
              <w:left w:val="single" w:sz="4" w:space="0" w:color="auto"/>
              <w:bottom w:val="single" w:sz="8" w:space="0" w:color="auto"/>
              <w:right w:val="single" w:sz="12" w:space="0" w:color="auto"/>
            </w:tcBorders>
            <w:noWrap/>
          </w:tcPr>
          <w:p w14:paraId="39381EE5" w14:textId="77777777" w:rsidR="00085E86" w:rsidRDefault="00085E86" w:rsidP="00780AED">
            <w:pPr>
              <w:spacing w:line="360" w:lineRule="auto"/>
              <w:jc w:val="center"/>
              <w:rPr>
                <w:color w:val="00B050"/>
              </w:rPr>
            </w:pPr>
            <w:r>
              <w:t>C4</w:t>
            </w:r>
          </w:p>
        </w:tc>
        <w:tc>
          <w:tcPr>
            <w:tcW w:w="709" w:type="dxa"/>
            <w:tcBorders>
              <w:top w:val="single" w:sz="4" w:space="0" w:color="auto"/>
              <w:left w:val="single" w:sz="12" w:space="0" w:color="auto"/>
              <w:bottom w:val="single" w:sz="4" w:space="0" w:color="auto"/>
              <w:right w:val="single" w:sz="4" w:space="0" w:color="auto"/>
            </w:tcBorders>
            <w:noWrap/>
            <w:hideMark/>
          </w:tcPr>
          <w:p w14:paraId="3906123B" w14:textId="77777777" w:rsidR="00085E86" w:rsidRDefault="00085E86" w:rsidP="00780AED">
            <w:pPr>
              <w:spacing w:line="360" w:lineRule="auto"/>
            </w:pPr>
            <w:r>
              <w:t>BzCl</w:t>
            </w:r>
          </w:p>
        </w:tc>
        <w:tc>
          <w:tcPr>
            <w:tcW w:w="787" w:type="dxa"/>
            <w:tcBorders>
              <w:top w:val="single" w:sz="4" w:space="0" w:color="auto"/>
              <w:left w:val="single" w:sz="4" w:space="0" w:color="auto"/>
              <w:bottom w:val="single" w:sz="4" w:space="0" w:color="auto"/>
              <w:right w:val="single" w:sz="4" w:space="0" w:color="auto"/>
            </w:tcBorders>
            <w:noWrap/>
            <w:hideMark/>
          </w:tcPr>
          <w:p w14:paraId="38F62F82" w14:textId="77777777" w:rsidR="00085E86" w:rsidRDefault="00085E86" w:rsidP="00780AED">
            <w:pPr>
              <w:spacing w:line="360" w:lineRule="auto"/>
            </w:pPr>
            <w:r>
              <w:t>DSMO</w:t>
            </w:r>
          </w:p>
        </w:tc>
        <w:tc>
          <w:tcPr>
            <w:tcW w:w="1417" w:type="dxa"/>
            <w:tcBorders>
              <w:top w:val="single" w:sz="4" w:space="0" w:color="auto"/>
              <w:left w:val="single" w:sz="4" w:space="0" w:color="auto"/>
              <w:bottom w:val="single" w:sz="4" w:space="0" w:color="auto"/>
              <w:right w:val="single" w:sz="4" w:space="0" w:color="auto"/>
            </w:tcBorders>
            <w:noWrap/>
            <w:hideMark/>
          </w:tcPr>
          <w:p w14:paraId="57897268" w14:textId="77777777" w:rsidR="00085E86" w:rsidRDefault="00085E86" w:rsidP="00780AED">
            <w:pPr>
              <w:spacing w:line="360" w:lineRule="auto"/>
            </w:pPr>
            <w:r>
              <w:t>Media + Cells</w:t>
            </w:r>
          </w:p>
        </w:tc>
      </w:tr>
      <w:tr w:rsidR="00085E86" w14:paraId="5B5BD161" w14:textId="77777777" w:rsidTr="00727472">
        <w:trPr>
          <w:trHeight w:val="493"/>
        </w:trPr>
        <w:tc>
          <w:tcPr>
            <w:tcW w:w="421" w:type="dxa"/>
            <w:tcBorders>
              <w:top w:val="single" w:sz="4" w:space="0" w:color="auto"/>
              <w:left w:val="single" w:sz="4" w:space="0" w:color="auto"/>
              <w:bottom w:val="single" w:sz="4" w:space="0" w:color="auto"/>
              <w:right w:val="single" w:sz="12" w:space="0" w:color="auto"/>
            </w:tcBorders>
            <w:noWrap/>
            <w:hideMark/>
          </w:tcPr>
          <w:p w14:paraId="6E2FE421" w14:textId="77777777" w:rsidR="00085E86" w:rsidRDefault="00085E86" w:rsidP="00780AED">
            <w:pPr>
              <w:spacing w:line="360" w:lineRule="auto"/>
              <w:rPr>
                <w:b/>
                <w:bCs/>
              </w:rPr>
            </w:pPr>
            <w:r>
              <w:rPr>
                <w:b/>
                <w:bCs/>
              </w:rPr>
              <w:t>G</w:t>
            </w:r>
          </w:p>
        </w:tc>
        <w:tc>
          <w:tcPr>
            <w:tcW w:w="1275" w:type="dxa"/>
            <w:tcBorders>
              <w:top w:val="single" w:sz="4" w:space="0" w:color="auto"/>
              <w:left w:val="single" w:sz="12" w:space="0" w:color="auto"/>
              <w:bottom w:val="single" w:sz="4" w:space="0" w:color="auto"/>
              <w:right w:val="single" w:sz="12" w:space="0" w:color="auto"/>
            </w:tcBorders>
            <w:noWrap/>
            <w:hideMark/>
          </w:tcPr>
          <w:p w14:paraId="3E4FC7EA" w14:textId="77777777" w:rsidR="00085E86" w:rsidRDefault="00085E86" w:rsidP="00780AED">
            <w:pPr>
              <w:spacing w:line="360" w:lineRule="auto"/>
              <w:rPr>
                <w:b/>
                <w:bCs/>
              </w:rPr>
            </w:pPr>
            <w:r>
              <w:t>Media only</w:t>
            </w:r>
          </w:p>
        </w:tc>
        <w:tc>
          <w:tcPr>
            <w:tcW w:w="567" w:type="dxa"/>
            <w:tcBorders>
              <w:top w:val="single" w:sz="8" w:space="0" w:color="auto"/>
              <w:left w:val="single" w:sz="12" w:space="0" w:color="auto"/>
              <w:bottom w:val="single" w:sz="8" w:space="0" w:color="auto"/>
              <w:right w:val="single" w:sz="4" w:space="0" w:color="auto"/>
            </w:tcBorders>
            <w:noWrap/>
          </w:tcPr>
          <w:p w14:paraId="15B534A7" w14:textId="77777777" w:rsidR="00085E86" w:rsidRDefault="00085E86" w:rsidP="00780AED">
            <w:pPr>
              <w:spacing w:line="360" w:lineRule="auto"/>
              <w:jc w:val="center"/>
              <w:rPr>
                <w:color w:val="00B0F0"/>
              </w:rPr>
            </w:pPr>
            <w:r>
              <w:t>C1</w:t>
            </w:r>
          </w:p>
        </w:tc>
        <w:tc>
          <w:tcPr>
            <w:tcW w:w="567" w:type="dxa"/>
            <w:tcBorders>
              <w:top w:val="single" w:sz="8" w:space="0" w:color="auto"/>
              <w:left w:val="single" w:sz="4" w:space="0" w:color="auto"/>
              <w:bottom w:val="single" w:sz="8" w:space="0" w:color="auto"/>
              <w:right w:val="single" w:sz="4" w:space="0" w:color="auto"/>
            </w:tcBorders>
            <w:noWrap/>
          </w:tcPr>
          <w:p w14:paraId="63B19992" w14:textId="77777777" w:rsidR="00085E86" w:rsidRDefault="00085E86" w:rsidP="00780AED">
            <w:pPr>
              <w:spacing w:line="360" w:lineRule="auto"/>
              <w:jc w:val="center"/>
              <w:rPr>
                <w:color w:val="00B0F0"/>
              </w:rPr>
            </w:pPr>
            <w:r>
              <w:t>C2</w:t>
            </w:r>
          </w:p>
        </w:tc>
        <w:tc>
          <w:tcPr>
            <w:tcW w:w="567" w:type="dxa"/>
            <w:tcBorders>
              <w:top w:val="single" w:sz="8" w:space="0" w:color="auto"/>
              <w:left w:val="single" w:sz="4" w:space="0" w:color="auto"/>
              <w:bottom w:val="single" w:sz="8" w:space="0" w:color="auto"/>
              <w:right w:val="single" w:sz="4" w:space="0" w:color="auto"/>
            </w:tcBorders>
            <w:noWrap/>
          </w:tcPr>
          <w:p w14:paraId="2F5D6B01" w14:textId="77777777" w:rsidR="00085E86" w:rsidRDefault="00085E86" w:rsidP="00780AED">
            <w:pPr>
              <w:spacing w:line="360" w:lineRule="auto"/>
              <w:jc w:val="center"/>
              <w:rPr>
                <w:color w:val="00B0F0"/>
              </w:rPr>
            </w:pPr>
            <w:r>
              <w:t>C3</w:t>
            </w:r>
          </w:p>
        </w:tc>
        <w:tc>
          <w:tcPr>
            <w:tcW w:w="567" w:type="dxa"/>
            <w:tcBorders>
              <w:top w:val="single" w:sz="8" w:space="0" w:color="auto"/>
              <w:left w:val="single" w:sz="4" w:space="0" w:color="auto"/>
              <w:bottom w:val="single" w:sz="8" w:space="0" w:color="auto"/>
              <w:right w:val="single" w:sz="12" w:space="0" w:color="auto"/>
            </w:tcBorders>
            <w:noWrap/>
          </w:tcPr>
          <w:p w14:paraId="2DDECD98" w14:textId="77777777" w:rsidR="00085E86" w:rsidRDefault="00085E86" w:rsidP="00780AED">
            <w:pPr>
              <w:spacing w:line="360" w:lineRule="auto"/>
              <w:jc w:val="center"/>
              <w:rPr>
                <w:color w:val="00B0F0"/>
              </w:rPr>
            </w:pPr>
            <w:r>
              <w:t>C4</w:t>
            </w:r>
          </w:p>
        </w:tc>
        <w:tc>
          <w:tcPr>
            <w:tcW w:w="567" w:type="dxa"/>
            <w:tcBorders>
              <w:top w:val="single" w:sz="8" w:space="0" w:color="auto"/>
              <w:left w:val="single" w:sz="12" w:space="0" w:color="auto"/>
              <w:bottom w:val="single" w:sz="8" w:space="0" w:color="auto"/>
              <w:right w:val="single" w:sz="4" w:space="0" w:color="auto"/>
            </w:tcBorders>
            <w:noWrap/>
          </w:tcPr>
          <w:p w14:paraId="57821DF4" w14:textId="77777777" w:rsidR="00085E86" w:rsidRDefault="00085E86" w:rsidP="00780AED">
            <w:pPr>
              <w:spacing w:line="360" w:lineRule="auto"/>
              <w:jc w:val="center"/>
              <w:rPr>
                <w:color w:val="00B050"/>
              </w:rPr>
            </w:pPr>
            <w:r>
              <w:t>C1</w:t>
            </w:r>
          </w:p>
        </w:tc>
        <w:tc>
          <w:tcPr>
            <w:tcW w:w="567" w:type="dxa"/>
            <w:tcBorders>
              <w:top w:val="single" w:sz="8" w:space="0" w:color="auto"/>
              <w:left w:val="single" w:sz="4" w:space="0" w:color="auto"/>
              <w:bottom w:val="single" w:sz="8" w:space="0" w:color="auto"/>
              <w:right w:val="single" w:sz="4" w:space="0" w:color="auto"/>
            </w:tcBorders>
            <w:noWrap/>
          </w:tcPr>
          <w:p w14:paraId="35C3FC66" w14:textId="77777777" w:rsidR="00085E86" w:rsidRDefault="00085E86" w:rsidP="00780AED">
            <w:pPr>
              <w:spacing w:line="360" w:lineRule="auto"/>
              <w:jc w:val="center"/>
              <w:rPr>
                <w:color w:val="00B050"/>
              </w:rPr>
            </w:pPr>
            <w:r>
              <w:t>C2</w:t>
            </w:r>
          </w:p>
        </w:tc>
        <w:tc>
          <w:tcPr>
            <w:tcW w:w="567" w:type="dxa"/>
            <w:tcBorders>
              <w:top w:val="single" w:sz="8" w:space="0" w:color="auto"/>
              <w:left w:val="single" w:sz="4" w:space="0" w:color="auto"/>
              <w:bottom w:val="single" w:sz="8" w:space="0" w:color="auto"/>
              <w:right w:val="single" w:sz="4" w:space="0" w:color="auto"/>
            </w:tcBorders>
            <w:noWrap/>
          </w:tcPr>
          <w:p w14:paraId="3AB697F7" w14:textId="77777777" w:rsidR="00085E86" w:rsidRDefault="00085E86" w:rsidP="00780AED">
            <w:pPr>
              <w:spacing w:line="360" w:lineRule="auto"/>
              <w:jc w:val="center"/>
              <w:rPr>
                <w:color w:val="00B050"/>
              </w:rPr>
            </w:pPr>
            <w:r>
              <w:t>C3</w:t>
            </w:r>
          </w:p>
        </w:tc>
        <w:tc>
          <w:tcPr>
            <w:tcW w:w="567" w:type="dxa"/>
            <w:tcBorders>
              <w:top w:val="single" w:sz="8" w:space="0" w:color="auto"/>
              <w:left w:val="single" w:sz="4" w:space="0" w:color="auto"/>
              <w:bottom w:val="single" w:sz="8" w:space="0" w:color="auto"/>
              <w:right w:val="single" w:sz="12" w:space="0" w:color="auto"/>
            </w:tcBorders>
            <w:noWrap/>
          </w:tcPr>
          <w:p w14:paraId="09F0C071" w14:textId="77777777" w:rsidR="00085E86" w:rsidRDefault="00085E86" w:rsidP="00780AED">
            <w:pPr>
              <w:spacing w:line="360" w:lineRule="auto"/>
              <w:jc w:val="center"/>
              <w:rPr>
                <w:color w:val="00B050"/>
              </w:rPr>
            </w:pPr>
            <w:r>
              <w:t>C4</w:t>
            </w:r>
          </w:p>
        </w:tc>
        <w:tc>
          <w:tcPr>
            <w:tcW w:w="709" w:type="dxa"/>
            <w:tcBorders>
              <w:top w:val="single" w:sz="4" w:space="0" w:color="auto"/>
              <w:left w:val="single" w:sz="12" w:space="0" w:color="auto"/>
              <w:bottom w:val="single" w:sz="4" w:space="0" w:color="auto"/>
              <w:right w:val="single" w:sz="4" w:space="0" w:color="auto"/>
            </w:tcBorders>
            <w:noWrap/>
            <w:hideMark/>
          </w:tcPr>
          <w:p w14:paraId="74135D21" w14:textId="77777777" w:rsidR="00085E86" w:rsidRDefault="00085E86" w:rsidP="00780AED">
            <w:pPr>
              <w:spacing w:line="360" w:lineRule="auto"/>
            </w:pPr>
            <w:r>
              <w:t>BzCl</w:t>
            </w:r>
          </w:p>
        </w:tc>
        <w:tc>
          <w:tcPr>
            <w:tcW w:w="787" w:type="dxa"/>
            <w:tcBorders>
              <w:top w:val="single" w:sz="4" w:space="0" w:color="auto"/>
              <w:left w:val="single" w:sz="4" w:space="0" w:color="auto"/>
              <w:bottom w:val="single" w:sz="4" w:space="0" w:color="auto"/>
              <w:right w:val="single" w:sz="4" w:space="0" w:color="auto"/>
            </w:tcBorders>
            <w:noWrap/>
            <w:hideMark/>
          </w:tcPr>
          <w:p w14:paraId="25E8B007" w14:textId="77777777" w:rsidR="00085E86" w:rsidRDefault="00085E86" w:rsidP="00780AED">
            <w:pPr>
              <w:spacing w:line="360" w:lineRule="auto"/>
            </w:pPr>
            <w:r>
              <w:t>DSMO</w:t>
            </w:r>
          </w:p>
        </w:tc>
        <w:tc>
          <w:tcPr>
            <w:tcW w:w="1417" w:type="dxa"/>
            <w:tcBorders>
              <w:top w:val="single" w:sz="4" w:space="0" w:color="auto"/>
              <w:left w:val="single" w:sz="4" w:space="0" w:color="auto"/>
              <w:bottom w:val="single" w:sz="4" w:space="0" w:color="auto"/>
              <w:right w:val="single" w:sz="4" w:space="0" w:color="auto"/>
            </w:tcBorders>
            <w:noWrap/>
            <w:hideMark/>
          </w:tcPr>
          <w:p w14:paraId="6AB5CBE4" w14:textId="77777777" w:rsidR="00085E86" w:rsidRDefault="00085E86" w:rsidP="00780AED">
            <w:pPr>
              <w:spacing w:line="360" w:lineRule="auto"/>
            </w:pPr>
            <w:r>
              <w:t>Media + Cells</w:t>
            </w:r>
          </w:p>
        </w:tc>
      </w:tr>
      <w:tr w:rsidR="00085E86" w14:paraId="1F01F1FE" w14:textId="77777777" w:rsidTr="00727472">
        <w:trPr>
          <w:trHeight w:val="493"/>
        </w:trPr>
        <w:tc>
          <w:tcPr>
            <w:tcW w:w="421" w:type="dxa"/>
            <w:tcBorders>
              <w:top w:val="single" w:sz="4" w:space="0" w:color="auto"/>
              <w:left w:val="single" w:sz="4" w:space="0" w:color="auto"/>
              <w:bottom w:val="single" w:sz="8" w:space="0" w:color="auto"/>
              <w:right w:val="single" w:sz="12" w:space="0" w:color="auto"/>
            </w:tcBorders>
            <w:noWrap/>
            <w:hideMark/>
          </w:tcPr>
          <w:p w14:paraId="6C7C5120" w14:textId="77777777" w:rsidR="00085E86" w:rsidRDefault="00085E86" w:rsidP="00780AED">
            <w:pPr>
              <w:spacing w:line="360" w:lineRule="auto"/>
              <w:rPr>
                <w:b/>
                <w:bCs/>
              </w:rPr>
            </w:pPr>
            <w:r>
              <w:rPr>
                <w:b/>
                <w:bCs/>
              </w:rPr>
              <w:t>H</w:t>
            </w:r>
          </w:p>
        </w:tc>
        <w:tc>
          <w:tcPr>
            <w:tcW w:w="1275" w:type="dxa"/>
            <w:tcBorders>
              <w:top w:val="single" w:sz="4" w:space="0" w:color="auto"/>
              <w:left w:val="single" w:sz="12" w:space="0" w:color="auto"/>
              <w:bottom w:val="single" w:sz="8" w:space="0" w:color="auto"/>
              <w:right w:val="single" w:sz="12" w:space="0" w:color="auto"/>
            </w:tcBorders>
            <w:noWrap/>
            <w:hideMark/>
          </w:tcPr>
          <w:p w14:paraId="78411F20" w14:textId="77777777" w:rsidR="00085E86" w:rsidRDefault="00085E86" w:rsidP="00780AED">
            <w:pPr>
              <w:spacing w:line="360" w:lineRule="auto"/>
            </w:pPr>
            <w:r>
              <w:t>Media only</w:t>
            </w:r>
          </w:p>
        </w:tc>
        <w:tc>
          <w:tcPr>
            <w:tcW w:w="567" w:type="dxa"/>
            <w:tcBorders>
              <w:top w:val="single" w:sz="8" w:space="0" w:color="auto"/>
              <w:left w:val="single" w:sz="12" w:space="0" w:color="auto"/>
              <w:bottom w:val="single" w:sz="8" w:space="0" w:color="auto"/>
              <w:right w:val="single" w:sz="4" w:space="0" w:color="auto"/>
            </w:tcBorders>
            <w:noWrap/>
          </w:tcPr>
          <w:p w14:paraId="7553FB0B" w14:textId="77777777" w:rsidR="00085E86" w:rsidRDefault="00085E86" w:rsidP="00780AED">
            <w:pPr>
              <w:spacing w:line="360" w:lineRule="auto"/>
              <w:jc w:val="center"/>
              <w:rPr>
                <w:color w:val="00B0F0"/>
              </w:rPr>
            </w:pPr>
            <w:r>
              <w:t>C1</w:t>
            </w:r>
          </w:p>
        </w:tc>
        <w:tc>
          <w:tcPr>
            <w:tcW w:w="567" w:type="dxa"/>
            <w:tcBorders>
              <w:top w:val="single" w:sz="8" w:space="0" w:color="auto"/>
              <w:left w:val="single" w:sz="4" w:space="0" w:color="auto"/>
              <w:bottom w:val="single" w:sz="8" w:space="0" w:color="auto"/>
              <w:right w:val="single" w:sz="4" w:space="0" w:color="auto"/>
            </w:tcBorders>
            <w:noWrap/>
          </w:tcPr>
          <w:p w14:paraId="31D2CEE8" w14:textId="77777777" w:rsidR="00085E86" w:rsidRDefault="00085E86" w:rsidP="00780AED">
            <w:pPr>
              <w:spacing w:line="360" w:lineRule="auto"/>
              <w:jc w:val="center"/>
              <w:rPr>
                <w:color w:val="00B0F0"/>
              </w:rPr>
            </w:pPr>
            <w:r>
              <w:t>C2</w:t>
            </w:r>
          </w:p>
        </w:tc>
        <w:tc>
          <w:tcPr>
            <w:tcW w:w="567" w:type="dxa"/>
            <w:tcBorders>
              <w:top w:val="single" w:sz="8" w:space="0" w:color="auto"/>
              <w:left w:val="single" w:sz="4" w:space="0" w:color="auto"/>
              <w:bottom w:val="single" w:sz="8" w:space="0" w:color="auto"/>
              <w:right w:val="single" w:sz="4" w:space="0" w:color="auto"/>
            </w:tcBorders>
            <w:noWrap/>
          </w:tcPr>
          <w:p w14:paraId="7F586222" w14:textId="77777777" w:rsidR="00085E86" w:rsidRDefault="00085E86" w:rsidP="00780AED">
            <w:pPr>
              <w:spacing w:line="360" w:lineRule="auto"/>
              <w:jc w:val="center"/>
              <w:rPr>
                <w:color w:val="00B0F0"/>
              </w:rPr>
            </w:pPr>
            <w:r>
              <w:t>C3</w:t>
            </w:r>
          </w:p>
        </w:tc>
        <w:tc>
          <w:tcPr>
            <w:tcW w:w="567" w:type="dxa"/>
            <w:tcBorders>
              <w:top w:val="single" w:sz="8" w:space="0" w:color="auto"/>
              <w:left w:val="single" w:sz="4" w:space="0" w:color="auto"/>
              <w:bottom w:val="single" w:sz="8" w:space="0" w:color="auto"/>
              <w:right w:val="single" w:sz="12" w:space="0" w:color="auto"/>
            </w:tcBorders>
            <w:noWrap/>
          </w:tcPr>
          <w:p w14:paraId="7CB9B9F8" w14:textId="77777777" w:rsidR="00085E86" w:rsidRDefault="00085E86" w:rsidP="00780AED">
            <w:pPr>
              <w:spacing w:line="360" w:lineRule="auto"/>
              <w:jc w:val="center"/>
              <w:rPr>
                <w:color w:val="00B0F0"/>
              </w:rPr>
            </w:pPr>
            <w:r>
              <w:t>C4</w:t>
            </w:r>
          </w:p>
        </w:tc>
        <w:tc>
          <w:tcPr>
            <w:tcW w:w="567" w:type="dxa"/>
            <w:tcBorders>
              <w:top w:val="single" w:sz="8" w:space="0" w:color="auto"/>
              <w:left w:val="single" w:sz="12" w:space="0" w:color="auto"/>
              <w:bottom w:val="single" w:sz="8" w:space="0" w:color="auto"/>
              <w:right w:val="single" w:sz="4" w:space="0" w:color="auto"/>
            </w:tcBorders>
            <w:noWrap/>
          </w:tcPr>
          <w:p w14:paraId="7C20569A" w14:textId="77777777" w:rsidR="00085E86" w:rsidRDefault="00085E86" w:rsidP="00780AED">
            <w:pPr>
              <w:spacing w:line="360" w:lineRule="auto"/>
              <w:jc w:val="center"/>
              <w:rPr>
                <w:color w:val="00B050"/>
              </w:rPr>
            </w:pPr>
            <w:r>
              <w:t>C1</w:t>
            </w:r>
          </w:p>
        </w:tc>
        <w:tc>
          <w:tcPr>
            <w:tcW w:w="567" w:type="dxa"/>
            <w:tcBorders>
              <w:top w:val="single" w:sz="8" w:space="0" w:color="auto"/>
              <w:left w:val="single" w:sz="4" w:space="0" w:color="auto"/>
              <w:bottom w:val="single" w:sz="8" w:space="0" w:color="auto"/>
              <w:right w:val="single" w:sz="4" w:space="0" w:color="auto"/>
            </w:tcBorders>
            <w:noWrap/>
          </w:tcPr>
          <w:p w14:paraId="7FA7475B" w14:textId="77777777" w:rsidR="00085E86" w:rsidRDefault="00085E86" w:rsidP="00780AED">
            <w:pPr>
              <w:spacing w:line="360" w:lineRule="auto"/>
              <w:jc w:val="center"/>
              <w:rPr>
                <w:color w:val="00B050"/>
              </w:rPr>
            </w:pPr>
            <w:r>
              <w:t>C2</w:t>
            </w:r>
          </w:p>
        </w:tc>
        <w:tc>
          <w:tcPr>
            <w:tcW w:w="567" w:type="dxa"/>
            <w:tcBorders>
              <w:top w:val="single" w:sz="8" w:space="0" w:color="auto"/>
              <w:left w:val="single" w:sz="4" w:space="0" w:color="auto"/>
              <w:bottom w:val="single" w:sz="8" w:space="0" w:color="auto"/>
              <w:right w:val="single" w:sz="4" w:space="0" w:color="auto"/>
            </w:tcBorders>
            <w:noWrap/>
          </w:tcPr>
          <w:p w14:paraId="4F69602C" w14:textId="77777777" w:rsidR="00085E86" w:rsidRDefault="00085E86" w:rsidP="00780AED">
            <w:pPr>
              <w:spacing w:line="360" w:lineRule="auto"/>
              <w:jc w:val="center"/>
              <w:rPr>
                <w:color w:val="00B050"/>
              </w:rPr>
            </w:pPr>
            <w:r>
              <w:t>C3</w:t>
            </w:r>
          </w:p>
        </w:tc>
        <w:tc>
          <w:tcPr>
            <w:tcW w:w="567" w:type="dxa"/>
            <w:tcBorders>
              <w:top w:val="single" w:sz="8" w:space="0" w:color="auto"/>
              <w:left w:val="single" w:sz="4" w:space="0" w:color="auto"/>
              <w:bottom w:val="single" w:sz="8" w:space="0" w:color="auto"/>
              <w:right w:val="single" w:sz="12" w:space="0" w:color="auto"/>
            </w:tcBorders>
            <w:noWrap/>
          </w:tcPr>
          <w:p w14:paraId="189B6A67" w14:textId="77777777" w:rsidR="00085E86" w:rsidRDefault="00085E86" w:rsidP="00780AED">
            <w:pPr>
              <w:spacing w:line="360" w:lineRule="auto"/>
              <w:jc w:val="center"/>
              <w:rPr>
                <w:color w:val="00B050"/>
              </w:rPr>
            </w:pPr>
            <w:r>
              <w:t>C4</w:t>
            </w:r>
          </w:p>
        </w:tc>
        <w:tc>
          <w:tcPr>
            <w:tcW w:w="709" w:type="dxa"/>
            <w:tcBorders>
              <w:top w:val="single" w:sz="4" w:space="0" w:color="auto"/>
              <w:left w:val="single" w:sz="12" w:space="0" w:color="auto"/>
              <w:bottom w:val="single" w:sz="8" w:space="0" w:color="auto"/>
              <w:right w:val="single" w:sz="4" w:space="0" w:color="auto"/>
            </w:tcBorders>
            <w:noWrap/>
            <w:hideMark/>
          </w:tcPr>
          <w:p w14:paraId="1D4DB2E8" w14:textId="77777777" w:rsidR="00085E86" w:rsidRDefault="00085E86" w:rsidP="00780AED">
            <w:pPr>
              <w:spacing w:line="360" w:lineRule="auto"/>
            </w:pPr>
            <w:r>
              <w:t>BzCl</w:t>
            </w:r>
          </w:p>
        </w:tc>
        <w:tc>
          <w:tcPr>
            <w:tcW w:w="787" w:type="dxa"/>
            <w:tcBorders>
              <w:top w:val="single" w:sz="4" w:space="0" w:color="auto"/>
              <w:left w:val="single" w:sz="4" w:space="0" w:color="auto"/>
              <w:bottom w:val="single" w:sz="8" w:space="0" w:color="auto"/>
              <w:right w:val="single" w:sz="4" w:space="0" w:color="auto"/>
            </w:tcBorders>
            <w:noWrap/>
            <w:hideMark/>
          </w:tcPr>
          <w:p w14:paraId="48D53EAE" w14:textId="77777777" w:rsidR="00085E86" w:rsidRDefault="00085E86" w:rsidP="00780AED">
            <w:pPr>
              <w:spacing w:line="360" w:lineRule="auto"/>
            </w:pPr>
            <w:r>
              <w:t>DSMO</w:t>
            </w:r>
          </w:p>
        </w:tc>
        <w:tc>
          <w:tcPr>
            <w:tcW w:w="1417" w:type="dxa"/>
            <w:tcBorders>
              <w:top w:val="single" w:sz="4" w:space="0" w:color="auto"/>
              <w:left w:val="single" w:sz="4" w:space="0" w:color="auto"/>
              <w:bottom w:val="single" w:sz="8" w:space="0" w:color="auto"/>
              <w:right w:val="single" w:sz="4" w:space="0" w:color="auto"/>
            </w:tcBorders>
            <w:noWrap/>
            <w:hideMark/>
          </w:tcPr>
          <w:p w14:paraId="37D26F3B" w14:textId="77777777" w:rsidR="00085E86" w:rsidRDefault="00085E86" w:rsidP="00780AED">
            <w:pPr>
              <w:spacing w:line="360" w:lineRule="auto"/>
            </w:pPr>
            <w:r>
              <w:t>Media + Cells</w:t>
            </w:r>
          </w:p>
        </w:tc>
      </w:tr>
    </w:tbl>
    <w:p w14:paraId="1EAEA884" w14:textId="77777777" w:rsidR="00085E86" w:rsidRDefault="00085E86" w:rsidP="00085E86">
      <w:pPr>
        <w:spacing w:line="480" w:lineRule="auto"/>
        <w:rPr>
          <w:rFonts w:ascii="Times New Roman" w:eastAsia="Calibri" w:hAnsi="Times New Roman" w:cs="Times New Roman"/>
          <w:sz w:val="24"/>
          <w:szCs w:val="24"/>
        </w:rPr>
      </w:pPr>
      <w:r w:rsidRPr="002C6B7E">
        <w:rPr>
          <w:rFonts w:ascii="Times New Roman" w:hAnsi="Times New Roman" w:cs="Times New Roman"/>
          <w:b/>
          <w:bCs/>
          <w:sz w:val="24"/>
          <w:szCs w:val="24"/>
        </w:rPr>
        <w:t>Supplementary Figure 1:</w:t>
      </w:r>
      <w:r w:rsidRPr="00E814C4">
        <w:rPr>
          <w:sz w:val="24"/>
          <w:szCs w:val="24"/>
        </w:rPr>
        <w:t xml:space="preserve"> </w:t>
      </w:r>
      <w:r w:rsidRPr="00E814C4">
        <w:rPr>
          <w:rFonts w:ascii="Times New Roman" w:eastAsia="Calibri" w:hAnsi="Times New Roman" w:cs="Times New Roman"/>
          <w:sz w:val="24"/>
          <w:szCs w:val="24"/>
        </w:rPr>
        <w:t xml:space="preserve">a) Drug dilution and </w:t>
      </w:r>
      <w:r>
        <w:rPr>
          <w:rFonts w:ascii="Times New Roman" w:eastAsia="Calibri" w:hAnsi="Times New Roman" w:cs="Times New Roman"/>
          <w:sz w:val="24"/>
          <w:szCs w:val="24"/>
        </w:rPr>
        <w:t>b)</w:t>
      </w:r>
      <w:r w:rsidRPr="00E814C4">
        <w:rPr>
          <w:rFonts w:ascii="Times New Roman" w:eastAsia="Calibri" w:hAnsi="Times New Roman" w:cs="Times New Roman"/>
          <w:sz w:val="24"/>
          <w:szCs w:val="24"/>
        </w:rPr>
        <w:t xml:space="preserve"> drug plate map</w:t>
      </w:r>
    </w:p>
    <w:p w14:paraId="2B24AFD0" w14:textId="77777777" w:rsidR="00085E86" w:rsidRDefault="00085E86" w:rsidP="00F8066F">
      <w:pPr>
        <w:spacing w:after="60" w:line="480" w:lineRule="auto"/>
        <w:rPr>
          <w:rFonts w:ascii="Times New Roman" w:eastAsia="Calibri" w:hAnsi="Times New Roman" w:cs="Times New Roman"/>
          <w:sz w:val="24"/>
          <w:szCs w:val="24"/>
        </w:rPr>
      </w:pPr>
      <w:r w:rsidRPr="00A50245">
        <w:rPr>
          <w:noProof/>
          <w:lang w:val="en-IN" w:eastAsia="en-IN"/>
        </w:rPr>
        <w:drawing>
          <wp:inline distT="0" distB="0" distL="0" distR="0" wp14:anchorId="7A4142D8" wp14:editId="34AE456A">
            <wp:extent cx="5731510" cy="4157345"/>
            <wp:effectExtent l="0" t="0" r="0" b="0"/>
            <wp:docPr id="1046838528" name="Picture 1" descr="A graph with a line and a poin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384466" name="Picture 1" descr="A graph with a line and a point&#10;&#10;Description automatically generated with medium confidence"/>
                    <pic:cNvPicPr/>
                  </pic:nvPicPr>
                  <pic:blipFill>
                    <a:blip r:embed="rId6"/>
                    <a:stretch>
                      <a:fillRect/>
                    </a:stretch>
                  </pic:blipFill>
                  <pic:spPr>
                    <a:xfrm>
                      <a:off x="0" y="0"/>
                      <a:ext cx="5731510" cy="4157345"/>
                    </a:xfrm>
                    <a:prstGeom prst="rect">
                      <a:avLst/>
                    </a:prstGeom>
                  </pic:spPr>
                </pic:pic>
              </a:graphicData>
            </a:graphic>
          </wp:inline>
        </w:drawing>
      </w:r>
    </w:p>
    <w:p w14:paraId="39798CA3" w14:textId="2ED66EC5" w:rsidR="00085E86" w:rsidRDefault="00085E86" w:rsidP="00F8066F">
      <w:pPr>
        <w:spacing w:after="120" w:line="480" w:lineRule="auto"/>
        <w:rPr>
          <w:rFonts w:ascii="Times New Roman" w:eastAsia="Calibri" w:hAnsi="Times New Roman" w:cs="Times New Roman"/>
          <w:sz w:val="24"/>
          <w:szCs w:val="24"/>
        </w:rPr>
      </w:pPr>
      <w:r w:rsidRPr="002C6B7E">
        <w:rPr>
          <w:rFonts w:ascii="Times New Roman" w:eastAsia="Calibri" w:hAnsi="Times New Roman" w:cs="Times New Roman"/>
          <w:b/>
          <w:bCs/>
          <w:sz w:val="24"/>
          <w:szCs w:val="24"/>
        </w:rPr>
        <w:t xml:space="preserve">Supplementary Figure </w:t>
      </w:r>
      <w:r w:rsidR="009A038C">
        <w:rPr>
          <w:rFonts w:ascii="Times New Roman" w:eastAsia="Calibri" w:hAnsi="Times New Roman" w:cs="Times New Roman"/>
          <w:b/>
          <w:bCs/>
          <w:sz w:val="24"/>
          <w:szCs w:val="24"/>
        </w:rPr>
        <w:t>2</w:t>
      </w:r>
      <w:r>
        <w:rPr>
          <w:rFonts w:ascii="Times New Roman" w:eastAsia="Calibri" w:hAnsi="Times New Roman" w:cs="Times New Roman"/>
          <w:sz w:val="24"/>
          <w:szCs w:val="24"/>
        </w:rPr>
        <w:t xml:space="preserve">: </w:t>
      </w:r>
      <w:r w:rsidRPr="002C6B7E">
        <w:rPr>
          <w:rFonts w:ascii="Times New Roman" w:eastAsia="Calibri" w:hAnsi="Times New Roman" w:cs="Times New Roman"/>
          <w:i/>
          <w:iCs/>
          <w:sz w:val="24"/>
          <w:szCs w:val="24"/>
        </w:rPr>
        <w:t>Ex vivo</w:t>
      </w:r>
      <w:r>
        <w:rPr>
          <w:rFonts w:ascii="Times New Roman" w:eastAsia="Calibri" w:hAnsi="Times New Roman" w:cs="Times New Roman"/>
          <w:sz w:val="24"/>
          <w:szCs w:val="24"/>
        </w:rPr>
        <w:t xml:space="preserve"> Drug sensitivity testing is reproducible as demonstrated in HeLa cell lines.</w:t>
      </w:r>
    </w:p>
    <w:p w14:paraId="07152D66" w14:textId="1CAF4E93" w:rsidR="00085E86" w:rsidRDefault="00F8066F" w:rsidP="00085E86">
      <w:pPr>
        <w:spacing w:line="480" w:lineRule="auto"/>
        <w:jc w:val="both"/>
        <w:rPr>
          <w:rFonts w:ascii="Times New Roman" w:eastAsia="Calibri" w:hAnsi="Times New Roman" w:cs="Times New Roman"/>
          <w:b/>
          <w:bCs/>
          <w:sz w:val="24"/>
          <w:szCs w:val="24"/>
        </w:rPr>
      </w:pPr>
      <w:r>
        <w:rPr>
          <w:rFonts w:ascii="Times New Roman" w:eastAsia="Calibri" w:hAnsi="Times New Roman" w:cs="Times New Roman"/>
          <w:b/>
          <w:bCs/>
          <w:noProof/>
          <w:sz w:val="24"/>
          <w:szCs w:val="24"/>
          <w:lang w:val="en-IN" w:eastAsia="en-IN"/>
        </w:rPr>
        <w:drawing>
          <wp:inline distT="0" distB="0" distL="0" distR="0" wp14:anchorId="18CEF36F" wp14:editId="5B6A354D">
            <wp:extent cx="5972175" cy="3906668"/>
            <wp:effectExtent l="0" t="0" r="0" b="0"/>
            <wp:docPr id="46291946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88551" cy="3917380"/>
                    </a:xfrm>
                    <a:prstGeom prst="rect">
                      <a:avLst/>
                    </a:prstGeom>
                    <a:noFill/>
                  </pic:spPr>
                </pic:pic>
              </a:graphicData>
            </a:graphic>
          </wp:inline>
        </w:drawing>
      </w:r>
    </w:p>
    <w:p w14:paraId="07D1ED8D" w14:textId="4DC77318" w:rsidR="00F8066F" w:rsidRDefault="00F8066F" w:rsidP="00F8066F">
      <w:pPr>
        <w:spacing w:after="120" w:line="480" w:lineRule="auto"/>
        <w:rPr>
          <w:rFonts w:ascii="Times New Roman" w:eastAsia="Calibri" w:hAnsi="Times New Roman" w:cs="Times New Roman"/>
          <w:sz w:val="24"/>
          <w:szCs w:val="24"/>
        </w:rPr>
      </w:pPr>
      <w:r w:rsidRPr="002C6B7E">
        <w:rPr>
          <w:rFonts w:ascii="Times New Roman" w:eastAsia="Calibri" w:hAnsi="Times New Roman" w:cs="Times New Roman"/>
          <w:b/>
          <w:bCs/>
          <w:sz w:val="24"/>
          <w:szCs w:val="24"/>
        </w:rPr>
        <w:t xml:space="preserve">Supplementary Figure </w:t>
      </w:r>
      <w:r w:rsidR="009A038C">
        <w:rPr>
          <w:rFonts w:ascii="Times New Roman" w:eastAsia="Calibri" w:hAnsi="Times New Roman" w:cs="Times New Roman"/>
          <w:b/>
          <w:bCs/>
          <w:sz w:val="24"/>
          <w:szCs w:val="24"/>
        </w:rPr>
        <w:t>3</w:t>
      </w:r>
      <w:r>
        <w:rPr>
          <w:rFonts w:ascii="Times New Roman" w:eastAsia="Calibri" w:hAnsi="Times New Roman" w:cs="Times New Roman"/>
          <w:sz w:val="24"/>
          <w:szCs w:val="24"/>
        </w:rPr>
        <w:t xml:space="preserve">: </w:t>
      </w:r>
      <w:r w:rsidRPr="002C6B7E">
        <w:rPr>
          <w:rFonts w:ascii="Times New Roman" w:eastAsia="Calibri" w:hAnsi="Times New Roman" w:cs="Times New Roman"/>
          <w:i/>
          <w:iCs/>
          <w:sz w:val="24"/>
          <w:szCs w:val="24"/>
        </w:rPr>
        <w:t>Ex vivo</w:t>
      </w:r>
      <w:r>
        <w:rPr>
          <w:rFonts w:ascii="Times New Roman" w:eastAsia="Calibri" w:hAnsi="Times New Roman" w:cs="Times New Roman"/>
          <w:sz w:val="24"/>
          <w:szCs w:val="24"/>
        </w:rPr>
        <w:t xml:space="preserve"> Drug sensitivity testing is reproducible as demonstrated in Leukemia K562 cell lines.</w:t>
      </w:r>
    </w:p>
    <w:p w14:paraId="50A716DB" w14:textId="1B77486D" w:rsidR="00085E86" w:rsidRDefault="00FF1EEB" w:rsidP="00085E86">
      <w:pPr>
        <w:spacing w:line="480" w:lineRule="auto"/>
        <w:jc w:val="both"/>
        <w:rPr>
          <w:rFonts w:ascii="Times New Roman" w:eastAsia="Calibri" w:hAnsi="Times New Roman" w:cs="Times New Roman"/>
          <w:b/>
          <w:bCs/>
          <w:sz w:val="24"/>
          <w:szCs w:val="24"/>
        </w:rPr>
      </w:pPr>
      <w:r>
        <w:rPr>
          <w:rFonts w:ascii="Times New Roman" w:eastAsia="Calibri" w:hAnsi="Times New Roman" w:cs="Times New Roman"/>
          <w:b/>
          <w:bCs/>
          <w:noProof/>
          <w:sz w:val="24"/>
          <w:szCs w:val="24"/>
          <w:lang w:val="en-IN" w:eastAsia="en-IN"/>
        </w:rPr>
        <w:drawing>
          <wp:inline distT="0" distB="0" distL="0" distR="0" wp14:anchorId="7F9A9F6B" wp14:editId="4CEB4668">
            <wp:extent cx="6029325" cy="3940638"/>
            <wp:effectExtent l="0" t="0" r="0" b="3175"/>
            <wp:docPr id="62656289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47721" cy="3952661"/>
                    </a:xfrm>
                    <a:prstGeom prst="rect">
                      <a:avLst/>
                    </a:prstGeom>
                    <a:noFill/>
                  </pic:spPr>
                </pic:pic>
              </a:graphicData>
            </a:graphic>
          </wp:inline>
        </w:drawing>
      </w:r>
    </w:p>
    <w:p w14:paraId="3CCA98C7" w14:textId="38839BF0" w:rsidR="00FF1EEB" w:rsidRDefault="00FF1EEB" w:rsidP="00FF1EEB">
      <w:pPr>
        <w:spacing w:line="480" w:lineRule="auto"/>
        <w:jc w:val="both"/>
        <w:rPr>
          <w:rFonts w:ascii="Times New Roman" w:eastAsia="Calibri" w:hAnsi="Times New Roman" w:cs="Times New Roman"/>
          <w:sz w:val="24"/>
          <w:szCs w:val="24"/>
        </w:rPr>
      </w:pPr>
      <w:r w:rsidRPr="002C6B7E">
        <w:rPr>
          <w:rFonts w:ascii="Times New Roman" w:eastAsia="Calibri" w:hAnsi="Times New Roman" w:cs="Times New Roman"/>
          <w:b/>
          <w:bCs/>
          <w:sz w:val="24"/>
          <w:szCs w:val="24"/>
        </w:rPr>
        <w:t xml:space="preserve">Supplementary Figure </w:t>
      </w:r>
      <w:r w:rsidR="009A038C">
        <w:rPr>
          <w:rFonts w:ascii="Times New Roman" w:eastAsia="Calibri" w:hAnsi="Times New Roman" w:cs="Times New Roman"/>
          <w:b/>
          <w:bCs/>
          <w:sz w:val="24"/>
          <w:szCs w:val="24"/>
        </w:rPr>
        <w:t>4</w:t>
      </w:r>
      <w:r>
        <w:rPr>
          <w:rFonts w:ascii="Times New Roman" w:eastAsia="Calibri" w:hAnsi="Times New Roman" w:cs="Times New Roman"/>
          <w:sz w:val="24"/>
          <w:szCs w:val="24"/>
        </w:rPr>
        <w:t xml:space="preserve">: </w:t>
      </w:r>
      <w:r w:rsidRPr="00FF1EEB">
        <w:rPr>
          <w:rFonts w:ascii="Times New Roman" w:eastAsia="Calibri" w:hAnsi="Times New Roman" w:cs="Times New Roman"/>
          <w:sz w:val="24"/>
          <w:szCs w:val="24"/>
        </w:rPr>
        <w:t>Representative graphs</w:t>
      </w:r>
      <w:r>
        <w:rPr>
          <w:rFonts w:ascii="Times New Roman" w:eastAsia="Calibri" w:hAnsi="Times New Roman" w:cs="Times New Roman"/>
          <w:sz w:val="24"/>
          <w:szCs w:val="24"/>
        </w:rPr>
        <w:t xml:space="preserve"> for triplicate experiments on patient samples. </w:t>
      </w:r>
    </w:p>
    <w:p w14:paraId="6ED6FC1E" w14:textId="77777777" w:rsidR="00085E86" w:rsidRPr="00BF2BC6" w:rsidRDefault="00085E86" w:rsidP="00085E86">
      <w:pPr>
        <w:spacing w:line="480" w:lineRule="auto"/>
        <w:rPr>
          <w:rFonts w:ascii="Times New Roman" w:eastAsia="Calibri" w:hAnsi="Times New Roman" w:cs="Times New Roman"/>
          <w:b/>
          <w:bCs/>
          <w:sz w:val="24"/>
          <w:szCs w:val="24"/>
        </w:rPr>
      </w:pPr>
      <w:r w:rsidRPr="00BF2BC6">
        <w:rPr>
          <w:rFonts w:ascii="Times New Roman" w:eastAsia="Calibri" w:hAnsi="Times New Roman" w:cs="Times New Roman"/>
          <w:b/>
          <w:bCs/>
          <w:sz w:val="24"/>
          <w:szCs w:val="24"/>
        </w:rPr>
        <w:t>Supplementary material and methods</w:t>
      </w:r>
    </w:p>
    <w:p w14:paraId="4892F06D" w14:textId="77777777" w:rsidR="00085E86" w:rsidRDefault="00085E86" w:rsidP="00085E86">
      <w:pPr>
        <w:spacing w:line="480" w:lineRule="auto"/>
        <w:jc w:val="both"/>
        <w:rPr>
          <w:rFonts w:ascii="Times New Roman" w:hAnsi="Times New Roman" w:cs="Times New Roman"/>
          <w:sz w:val="24"/>
          <w:szCs w:val="24"/>
        </w:rPr>
      </w:pPr>
      <w:r>
        <w:rPr>
          <w:rFonts w:ascii="Times New Roman" w:hAnsi="Times New Roman" w:cs="Times New Roman"/>
          <w:b/>
          <w:bCs/>
          <w:sz w:val="24"/>
          <w:szCs w:val="24"/>
        </w:rPr>
        <w:t>Preparation of Master Plate and Source Plate</w:t>
      </w:r>
    </w:p>
    <w:p w14:paraId="481E643B" w14:textId="77777777" w:rsidR="00085E86" w:rsidRDefault="00085E86" w:rsidP="00085E86">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master plate was prepared by 20 µL of the 1 mM (1,000 µM) concentration of drug (n=30) was pipetted into 180 µL of DMSO resulting in 100 µM concentration stored in to a 96-well plate.  From the master plate, 100 µl of each 100 µM (100,000 nM) drug stock (Drug 1 – Drug 4) was dispensed into the first column of the new source plate. For the preparation of 10 µM (10,000 nM) concentrations of each drug, 10 µL of the 100 µM stock of the respective drug was combined with 90 µL of dimethyl sulfoxide (DMSO) in the next column, ensuring 90 µL of the 100 µM stock remained in the well. Subsequent dilutions were conducted to obtain concentrations of 1 µM, 100 nM, 10 nM, and 1 nM of each drug in consecutive wells. </w:t>
      </w:r>
      <w:r>
        <w:rPr>
          <w:rFonts w:ascii="Times New Roman" w:hAnsi="Times New Roman" w:cs="Times New Roman"/>
          <w:b/>
          <w:bCs/>
          <w:sz w:val="24"/>
          <w:szCs w:val="24"/>
        </w:rPr>
        <w:t xml:space="preserve">Control: </w:t>
      </w:r>
      <w:r>
        <w:rPr>
          <w:rFonts w:ascii="Times New Roman" w:hAnsi="Times New Roman" w:cs="Times New Roman"/>
          <w:sz w:val="24"/>
          <w:szCs w:val="24"/>
        </w:rPr>
        <w:t xml:space="preserve">A negative control of 0.1% dimethyl sulfoxide (DMSO) and a positive control of 100 µM benzethonium chloride (BzCI) was designated. In the new printed plate, 10 µL of 1 mM BzCI was added to respective wells (H1 to H6) to yield 100 µM BzCI, while 10 µL of 1% DMSO was added to wells (H7 to H12) to create 0.1% DMSO. Finally, all drug plates were returned to storage at -20°C until further experimental use. The pre-seeded drug plates were added with 20 µL of DMEM media per well to dissolve the drugs before sealing the plate with tape and setting it aside for seeding with cells. </w:t>
      </w:r>
    </w:p>
    <w:p w14:paraId="50F81515" w14:textId="77777777" w:rsidR="00085E86" w:rsidRDefault="00085E86" w:rsidP="00085E86">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Printing of drug plates for Drug combination </w:t>
      </w:r>
    </w:p>
    <w:p w14:paraId="584DA4D0" w14:textId="77777777" w:rsidR="00085E86" w:rsidRDefault="00085E86" w:rsidP="00085E86">
      <w:pPr>
        <w:spacing w:line="480" w:lineRule="auto"/>
        <w:jc w:val="both"/>
        <w:rPr>
          <w:rFonts w:ascii="Times New Roman" w:hAnsi="Times New Roman" w:cs="Times New Roman"/>
          <w:sz w:val="24"/>
          <w:szCs w:val="24"/>
        </w:rPr>
      </w:pPr>
      <w:r w:rsidRPr="00912D27">
        <w:rPr>
          <w:rFonts w:ascii="Times New Roman" w:hAnsi="Times New Roman" w:cs="Times New Roman"/>
          <w:sz w:val="24"/>
          <w:szCs w:val="24"/>
        </w:rPr>
        <w:t xml:space="preserve">For </w:t>
      </w:r>
      <w:r>
        <w:rPr>
          <w:rFonts w:ascii="Times New Roman" w:hAnsi="Times New Roman" w:cs="Times New Roman"/>
          <w:sz w:val="24"/>
          <w:szCs w:val="24"/>
        </w:rPr>
        <w:t>anchored combinations, the concentration of one drug remains constant at 10 nM while the concentration of the other drug ranges between 1-1000 nm. Dilution approach of 5 µL of the drug A with 5 µL of the drug B added to each well (5:5). For full matrix combination, all concentration of drug A and drug B (1-1000 nm) were combined.</w:t>
      </w:r>
    </w:p>
    <w:p w14:paraId="4F506D36" w14:textId="7957E0FA" w:rsidR="003906D6" w:rsidRPr="003906D6" w:rsidRDefault="003906D6" w:rsidP="00085E86">
      <w:pPr>
        <w:spacing w:line="480" w:lineRule="auto"/>
        <w:jc w:val="both"/>
        <w:rPr>
          <w:rFonts w:ascii="Times New Roman" w:hAnsi="Times New Roman" w:cs="Times New Roman"/>
          <w:b/>
          <w:bCs/>
          <w:sz w:val="24"/>
          <w:szCs w:val="24"/>
        </w:rPr>
      </w:pPr>
      <w:r w:rsidRPr="003906D6">
        <w:rPr>
          <w:rFonts w:ascii="Times New Roman" w:hAnsi="Times New Roman" w:cs="Times New Roman"/>
          <w:b/>
          <w:bCs/>
          <w:sz w:val="24"/>
          <w:szCs w:val="24"/>
        </w:rPr>
        <w:t>Statistical analysis:</w:t>
      </w:r>
    </w:p>
    <w:p w14:paraId="5735B6C7" w14:textId="72ED05F6" w:rsidR="003906D6" w:rsidRPr="006811CD" w:rsidRDefault="00DB687D" w:rsidP="003906D6">
      <w:pPr>
        <w:spacing w:before="240" w:after="0" w:line="480" w:lineRule="auto"/>
        <w:contextualSpacing/>
        <w:jc w:val="both"/>
        <w:rPr>
          <w:rFonts w:ascii="Times New Roman" w:hAnsi="Times New Roman" w:cs="Times New Roman"/>
          <w:sz w:val="24"/>
          <w:szCs w:val="24"/>
        </w:rPr>
      </w:pPr>
      <w:r>
        <w:rPr>
          <w:rFonts w:ascii="Times New Roman" w:hAnsi="Times New Roman" w:cs="Times New Roman"/>
          <w:sz w:val="24"/>
          <w:szCs w:val="24"/>
        </w:rPr>
        <w:t>Statistical analysis was performed by loading</w:t>
      </w:r>
      <w:r w:rsidR="003906D6" w:rsidRPr="006811CD">
        <w:rPr>
          <w:rFonts w:ascii="Times New Roman" w:hAnsi="Times New Roman" w:cs="Times New Roman"/>
          <w:sz w:val="24"/>
          <w:szCs w:val="24"/>
        </w:rPr>
        <w:t xml:space="preserve"> Microsoft Excel sheet </w:t>
      </w:r>
      <w:r>
        <w:rPr>
          <w:rFonts w:ascii="Times New Roman" w:hAnsi="Times New Roman" w:cs="Times New Roman"/>
          <w:sz w:val="24"/>
          <w:szCs w:val="24"/>
        </w:rPr>
        <w:t xml:space="preserve">with data in </w:t>
      </w:r>
      <w:r w:rsidR="003906D6" w:rsidRPr="006811CD">
        <w:rPr>
          <w:rFonts w:ascii="Times New Roman" w:hAnsi="Times New Roman" w:cs="Times New Roman"/>
          <w:sz w:val="24"/>
          <w:szCs w:val="24"/>
        </w:rPr>
        <w:t>R version 4.3.2</w:t>
      </w:r>
      <w:r>
        <w:rPr>
          <w:rFonts w:ascii="Times New Roman" w:hAnsi="Times New Roman" w:cs="Times New Roman"/>
          <w:sz w:val="24"/>
          <w:szCs w:val="24"/>
        </w:rPr>
        <w:t xml:space="preserve">. </w:t>
      </w:r>
      <w:r w:rsidR="003906D6" w:rsidRPr="006811CD">
        <w:rPr>
          <w:rFonts w:ascii="Times New Roman" w:hAnsi="Times New Roman" w:cs="Times New Roman"/>
          <w:sz w:val="24"/>
          <w:szCs w:val="24"/>
        </w:rPr>
        <w:t xml:space="preserve"> </w:t>
      </w:r>
      <w:r>
        <w:rPr>
          <w:rFonts w:ascii="Times New Roman" w:hAnsi="Times New Roman" w:cs="Times New Roman"/>
          <w:sz w:val="24"/>
          <w:szCs w:val="24"/>
        </w:rPr>
        <w:t>For p-value analysis, t</w:t>
      </w:r>
      <w:r w:rsidR="003906D6" w:rsidRPr="006811CD">
        <w:rPr>
          <w:rFonts w:ascii="Times New Roman" w:hAnsi="Times New Roman" w:cs="Times New Roman"/>
          <w:sz w:val="24"/>
          <w:szCs w:val="24"/>
        </w:rPr>
        <w:t>he Wilcoxon and Kruskal-Wallis rank-sum tests were employed to compare disparities in numerical covariates such as age</w:t>
      </w:r>
      <w:r>
        <w:rPr>
          <w:rFonts w:ascii="Times New Roman" w:hAnsi="Times New Roman" w:cs="Times New Roman"/>
          <w:sz w:val="24"/>
          <w:szCs w:val="24"/>
        </w:rPr>
        <w:t xml:space="preserve"> and </w:t>
      </w:r>
      <w:r w:rsidR="003906D6" w:rsidRPr="006811CD">
        <w:rPr>
          <w:rFonts w:ascii="Times New Roman" w:hAnsi="Times New Roman" w:cs="Times New Roman"/>
          <w:sz w:val="24"/>
          <w:szCs w:val="24"/>
        </w:rPr>
        <w:t>Fisher's exact test was utilized to evaluate differences between categorical variables</w:t>
      </w:r>
      <w:r>
        <w:rPr>
          <w:rFonts w:ascii="Times New Roman" w:hAnsi="Times New Roman" w:cs="Times New Roman"/>
          <w:sz w:val="24"/>
          <w:szCs w:val="24"/>
        </w:rPr>
        <w:t xml:space="preserve"> (</w:t>
      </w:r>
      <w:r w:rsidR="003906D6" w:rsidRPr="006811CD">
        <w:rPr>
          <w:rFonts w:ascii="Times New Roman" w:hAnsi="Times New Roman" w:cs="Times New Roman"/>
          <w:sz w:val="24"/>
          <w:szCs w:val="24"/>
        </w:rPr>
        <w:t>gender or race</w:t>
      </w:r>
      <w:r>
        <w:rPr>
          <w:rFonts w:ascii="Times New Roman" w:hAnsi="Times New Roman" w:cs="Times New Roman"/>
          <w:sz w:val="24"/>
          <w:szCs w:val="24"/>
        </w:rPr>
        <w:t>)</w:t>
      </w:r>
      <w:r w:rsidR="003906D6" w:rsidRPr="006811CD">
        <w:rPr>
          <w:rFonts w:ascii="Times New Roman" w:hAnsi="Times New Roman" w:cs="Times New Roman"/>
          <w:sz w:val="24"/>
          <w:szCs w:val="24"/>
        </w:rPr>
        <w:t xml:space="preserve">. </w:t>
      </w:r>
    </w:p>
    <w:p w14:paraId="72162927" w14:textId="77777777" w:rsidR="003906D6" w:rsidRDefault="003906D6" w:rsidP="003906D6">
      <w:pPr>
        <w:spacing w:line="480" w:lineRule="auto"/>
        <w:jc w:val="both"/>
        <w:rPr>
          <w:rFonts w:ascii="Times New Roman" w:hAnsi="Times New Roman" w:cs="Times New Roman"/>
          <w:sz w:val="24"/>
          <w:szCs w:val="24"/>
        </w:rPr>
      </w:pPr>
    </w:p>
    <w:p w14:paraId="5A1F6DC6" w14:textId="3E55F401" w:rsidR="009437C3" w:rsidRPr="00FF1EEB" w:rsidRDefault="00BA5A5E" w:rsidP="003906D6">
      <w:pPr>
        <w:spacing w:line="480" w:lineRule="auto"/>
        <w:rPr>
          <w:b/>
          <w:bCs/>
          <w:lang w:val="de-DE"/>
        </w:rPr>
      </w:pPr>
      <w:r w:rsidRPr="00FF1EEB">
        <w:rPr>
          <w:b/>
          <w:bCs/>
          <w:lang w:val="de-DE"/>
        </w:rPr>
        <w:t>References:</w:t>
      </w:r>
    </w:p>
    <w:p w14:paraId="670C8494" w14:textId="77777777" w:rsidR="00780AED" w:rsidRPr="00780AED" w:rsidRDefault="00780AED" w:rsidP="00780AED">
      <w:pPr>
        <w:pStyle w:val="Bibliography"/>
        <w:rPr>
          <w:rFonts w:ascii="Aptos" w:hAnsi="Aptos"/>
        </w:rPr>
      </w:pPr>
      <w:r>
        <w:fldChar w:fldCharType="begin"/>
      </w:r>
      <w:r w:rsidRPr="00780AED">
        <w:rPr>
          <w:lang w:val="de-DE"/>
        </w:rPr>
        <w:instrText xml:space="preserve"> ADDIN ZOTERO_BIBL {"uncited":[],"omitted":[],"custom":[]} CSL_BIBLIOGRAPHY </w:instrText>
      </w:r>
      <w:r>
        <w:fldChar w:fldCharType="separate"/>
      </w:r>
      <w:r w:rsidRPr="00780AED">
        <w:rPr>
          <w:rFonts w:ascii="Aptos" w:hAnsi="Aptos"/>
          <w:lang w:val="de-DE"/>
        </w:rPr>
        <w:t>1.</w:t>
      </w:r>
      <w:r w:rsidRPr="00780AED">
        <w:rPr>
          <w:rFonts w:ascii="Aptos" w:hAnsi="Aptos"/>
          <w:lang w:val="de-DE"/>
        </w:rPr>
        <w:tab/>
        <w:t xml:space="preserve">Kreitman, R. J. </w:t>
      </w:r>
      <w:r w:rsidRPr="00780AED">
        <w:rPr>
          <w:rFonts w:ascii="Aptos" w:hAnsi="Aptos"/>
          <w:i/>
          <w:iCs/>
          <w:lang w:val="de-DE"/>
        </w:rPr>
        <w:t>et al.</w:t>
      </w:r>
      <w:r w:rsidRPr="00780AED">
        <w:rPr>
          <w:rFonts w:ascii="Aptos" w:hAnsi="Aptos"/>
          <w:lang w:val="de-DE"/>
        </w:rPr>
        <w:t xml:space="preserve"> </w:t>
      </w:r>
      <w:r w:rsidRPr="00780AED">
        <w:rPr>
          <w:rFonts w:ascii="Aptos" w:hAnsi="Aptos"/>
        </w:rPr>
        <w:t xml:space="preserve">Cladribine with immediate rituximab for the treatment of patients with variant hairy cell leukemia. </w:t>
      </w:r>
      <w:r w:rsidRPr="00780AED">
        <w:rPr>
          <w:rFonts w:ascii="Aptos" w:hAnsi="Aptos"/>
          <w:i/>
          <w:iCs/>
        </w:rPr>
        <w:t>Clin. Cancer Res. Off. J. Am. Assoc. Cancer Res.</w:t>
      </w:r>
      <w:r w:rsidRPr="00780AED">
        <w:rPr>
          <w:rFonts w:ascii="Aptos" w:hAnsi="Aptos"/>
        </w:rPr>
        <w:t xml:space="preserve"> </w:t>
      </w:r>
      <w:r w:rsidRPr="00780AED">
        <w:rPr>
          <w:rFonts w:ascii="Aptos" w:hAnsi="Aptos"/>
          <w:b/>
          <w:bCs/>
        </w:rPr>
        <w:t>19</w:t>
      </w:r>
      <w:r w:rsidRPr="00780AED">
        <w:rPr>
          <w:rFonts w:ascii="Aptos" w:hAnsi="Aptos"/>
        </w:rPr>
        <w:t>, 10.1158/1078-0432.CCR-13–1752 (2013).</w:t>
      </w:r>
    </w:p>
    <w:p w14:paraId="66470F02" w14:textId="77777777" w:rsidR="00780AED" w:rsidRPr="00780AED" w:rsidRDefault="00780AED" w:rsidP="00780AED">
      <w:pPr>
        <w:pStyle w:val="Bibliography"/>
        <w:rPr>
          <w:rFonts w:ascii="Aptos" w:hAnsi="Aptos"/>
        </w:rPr>
      </w:pPr>
      <w:r w:rsidRPr="00780AED">
        <w:rPr>
          <w:rFonts w:ascii="Aptos" w:hAnsi="Aptos"/>
        </w:rPr>
        <w:t>2.</w:t>
      </w:r>
      <w:r w:rsidRPr="00780AED">
        <w:rPr>
          <w:rFonts w:ascii="Aptos" w:hAnsi="Aptos"/>
        </w:rPr>
        <w:tab/>
        <w:t xml:space="preserve">Masarova, L. </w:t>
      </w:r>
      <w:r w:rsidRPr="00780AED">
        <w:rPr>
          <w:rFonts w:ascii="Aptos" w:hAnsi="Aptos"/>
          <w:i/>
          <w:iCs/>
        </w:rPr>
        <w:t>et al.</w:t>
      </w:r>
      <w:r w:rsidRPr="00780AED">
        <w:rPr>
          <w:rFonts w:ascii="Aptos" w:hAnsi="Aptos"/>
        </w:rPr>
        <w:t xml:space="preserve"> Cladribine-Based Chemotherapy for Patients with Secondary Acute Myeloid Leukemia (AML) Arising after Myeloproliferative Neoplasms (MPNs). </w:t>
      </w:r>
      <w:r w:rsidRPr="00780AED">
        <w:rPr>
          <w:rFonts w:ascii="Aptos" w:hAnsi="Aptos"/>
          <w:i/>
          <w:iCs/>
        </w:rPr>
        <w:t>Blood</w:t>
      </w:r>
      <w:r w:rsidRPr="00780AED">
        <w:rPr>
          <w:rFonts w:ascii="Aptos" w:hAnsi="Aptos"/>
        </w:rPr>
        <w:t xml:space="preserve"> </w:t>
      </w:r>
      <w:r w:rsidRPr="00780AED">
        <w:rPr>
          <w:rFonts w:ascii="Aptos" w:hAnsi="Aptos"/>
          <w:b/>
          <w:bCs/>
        </w:rPr>
        <w:t>142</w:t>
      </w:r>
      <w:r w:rsidRPr="00780AED">
        <w:rPr>
          <w:rFonts w:ascii="Aptos" w:hAnsi="Aptos"/>
        </w:rPr>
        <w:t>, 4264 (2023).</w:t>
      </w:r>
    </w:p>
    <w:p w14:paraId="4F17B97C" w14:textId="77777777" w:rsidR="00780AED" w:rsidRPr="00780AED" w:rsidRDefault="00780AED" w:rsidP="00780AED">
      <w:pPr>
        <w:pStyle w:val="Bibliography"/>
        <w:rPr>
          <w:rFonts w:ascii="Aptos" w:hAnsi="Aptos"/>
        </w:rPr>
      </w:pPr>
      <w:r w:rsidRPr="00780AED">
        <w:rPr>
          <w:rFonts w:ascii="Aptos" w:hAnsi="Aptos"/>
        </w:rPr>
        <w:t>3.</w:t>
      </w:r>
      <w:r w:rsidRPr="00780AED">
        <w:rPr>
          <w:rFonts w:ascii="Aptos" w:hAnsi="Aptos"/>
        </w:rPr>
        <w:tab/>
        <w:t xml:space="preserve">Steinauer, N. </w:t>
      </w:r>
      <w:r w:rsidRPr="00780AED">
        <w:rPr>
          <w:rFonts w:ascii="Aptos" w:hAnsi="Aptos"/>
          <w:i/>
          <w:iCs/>
        </w:rPr>
        <w:t>et al.</w:t>
      </w:r>
      <w:r w:rsidRPr="00780AED">
        <w:rPr>
          <w:rFonts w:ascii="Aptos" w:hAnsi="Aptos"/>
        </w:rPr>
        <w:t xml:space="preserve"> Cladribine plus cytarabine plus venetoclax in acute myeloid leukemia relapsed or refractory to venetoclax plus hypomethylating agent. </w:t>
      </w:r>
      <w:r w:rsidRPr="00780AED">
        <w:rPr>
          <w:rFonts w:ascii="Aptos" w:hAnsi="Aptos"/>
          <w:i/>
          <w:iCs/>
        </w:rPr>
        <w:t>Haematologica</w:t>
      </w:r>
      <w:r w:rsidRPr="00780AED">
        <w:rPr>
          <w:rFonts w:ascii="Aptos" w:hAnsi="Aptos"/>
        </w:rPr>
        <w:t xml:space="preserve"> </w:t>
      </w:r>
      <w:r w:rsidRPr="00780AED">
        <w:rPr>
          <w:rFonts w:ascii="Aptos" w:hAnsi="Aptos"/>
          <w:b/>
          <w:bCs/>
        </w:rPr>
        <w:t>109</w:t>
      </w:r>
      <w:r w:rsidRPr="00780AED">
        <w:rPr>
          <w:rFonts w:ascii="Aptos" w:hAnsi="Aptos"/>
        </w:rPr>
        <w:t>, 2706–2710 (2024).</w:t>
      </w:r>
    </w:p>
    <w:p w14:paraId="5C33AA41" w14:textId="77777777" w:rsidR="00780AED" w:rsidRPr="00780AED" w:rsidRDefault="00780AED" w:rsidP="00780AED">
      <w:pPr>
        <w:pStyle w:val="Bibliography"/>
        <w:rPr>
          <w:rFonts w:ascii="Aptos" w:hAnsi="Aptos"/>
        </w:rPr>
      </w:pPr>
      <w:r w:rsidRPr="00780AED">
        <w:rPr>
          <w:rFonts w:ascii="Aptos" w:hAnsi="Aptos"/>
        </w:rPr>
        <w:t>4.</w:t>
      </w:r>
      <w:r w:rsidRPr="00780AED">
        <w:rPr>
          <w:rFonts w:ascii="Aptos" w:hAnsi="Aptos"/>
        </w:rPr>
        <w:tab/>
        <w:t xml:space="preserve">Diamantopoulos, P. </w:t>
      </w:r>
      <w:r w:rsidRPr="00780AED">
        <w:rPr>
          <w:rFonts w:ascii="Aptos" w:hAnsi="Aptos"/>
          <w:i/>
          <w:iCs/>
        </w:rPr>
        <w:t>et al.</w:t>
      </w:r>
      <w:r w:rsidRPr="00780AED">
        <w:rPr>
          <w:rFonts w:ascii="Aptos" w:hAnsi="Aptos"/>
        </w:rPr>
        <w:t xml:space="preserve"> 5-Azacytidine in the Treatment of Intermediate-2 and High-risk Myelodysplastic Syndromes and Acute Myeloid Leukemia. A Five-year Experience with 44 Consecutive Patients. </w:t>
      </w:r>
      <w:r w:rsidRPr="00780AED">
        <w:rPr>
          <w:rFonts w:ascii="Aptos" w:hAnsi="Aptos"/>
          <w:i/>
          <w:iCs/>
        </w:rPr>
        <w:t>Anticancer Res.</w:t>
      </w:r>
      <w:r w:rsidRPr="00780AED">
        <w:rPr>
          <w:rFonts w:ascii="Aptos" w:hAnsi="Aptos"/>
        </w:rPr>
        <w:t xml:space="preserve"> </w:t>
      </w:r>
      <w:r w:rsidRPr="00780AED">
        <w:rPr>
          <w:rFonts w:ascii="Aptos" w:hAnsi="Aptos"/>
          <w:b/>
          <w:bCs/>
        </w:rPr>
        <w:t>35</w:t>
      </w:r>
      <w:r w:rsidRPr="00780AED">
        <w:rPr>
          <w:rFonts w:ascii="Aptos" w:hAnsi="Aptos"/>
        </w:rPr>
        <w:t>, 5141–5147 (2015).</w:t>
      </w:r>
    </w:p>
    <w:p w14:paraId="45176225" w14:textId="77777777" w:rsidR="00780AED" w:rsidRPr="00780AED" w:rsidRDefault="00780AED" w:rsidP="00780AED">
      <w:pPr>
        <w:pStyle w:val="Bibliography"/>
        <w:rPr>
          <w:rFonts w:ascii="Aptos" w:hAnsi="Aptos"/>
        </w:rPr>
      </w:pPr>
      <w:r w:rsidRPr="00780AED">
        <w:rPr>
          <w:rFonts w:ascii="Aptos" w:hAnsi="Aptos"/>
        </w:rPr>
        <w:t>5.</w:t>
      </w:r>
      <w:r w:rsidRPr="00780AED">
        <w:rPr>
          <w:rFonts w:ascii="Aptos" w:hAnsi="Aptos"/>
        </w:rPr>
        <w:tab/>
        <w:t xml:space="preserve">Horton, T. M. </w:t>
      </w:r>
      <w:r w:rsidRPr="00780AED">
        <w:rPr>
          <w:rFonts w:ascii="Aptos" w:hAnsi="Aptos"/>
          <w:i/>
          <w:iCs/>
        </w:rPr>
        <w:t>et al.</w:t>
      </w:r>
      <w:r w:rsidRPr="00780AED">
        <w:rPr>
          <w:rFonts w:ascii="Aptos" w:hAnsi="Aptos"/>
        </w:rPr>
        <w:t xml:space="preserve"> Bortezomib interactions with chemotherapy agents in acute leukemia in vitro. </w:t>
      </w:r>
      <w:r w:rsidRPr="00780AED">
        <w:rPr>
          <w:rFonts w:ascii="Aptos" w:hAnsi="Aptos"/>
          <w:i/>
          <w:iCs/>
        </w:rPr>
        <w:t>Cancer Chemother. Pharmacol.</w:t>
      </w:r>
      <w:r w:rsidRPr="00780AED">
        <w:rPr>
          <w:rFonts w:ascii="Aptos" w:hAnsi="Aptos"/>
        </w:rPr>
        <w:t xml:space="preserve"> </w:t>
      </w:r>
      <w:r w:rsidRPr="00780AED">
        <w:rPr>
          <w:rFonts w:ascii="Aptos" w:hAnsi="Aptos"/>
          <w:b/>
          <w:bCs/>
        </w:rPr>
        <w:t>58</w:t>
      </w:r>
      <w:r w:rsidRPr="00780AED">
        <w:rPr>
          <w:rFonts w:ascii="Aptos" w:hAnsi="Aptos"/>
        </w:rPr>
        <w:t>, 13–23 (2006).</w:t>
      </w:r>
    </w:p>
    <w:p w14:paraId="2D1CF9D0" w14:textId="77777777" w:rsidR="00780AED" w:rsidRPr="00780AED" w:rsidRDefault="00780AED" w:rsidP="00780AED">
      <w:pPr>
        <w:pStyle w:val="Bibliography"/>
        <w:rPr>
          <w:rFonts w:ascii="Aptos" w:hAnsi="Aptos"/>
        </w:rPr>
      </w:pPr>
      <w:r w:rsidRPr="00780AED">
        <w:rPr>
          <w:rFonts w:ascii="Aptos" w:hAnsi="Aptos"/>
        </w:rPr>
        <w:t>6.</w:t>
      </w:r>
      <w:r w:rsidRPr="00780AED">
        <w:rPr>
          <w:rFonts w:ascii="Aptos" w:hAnsi="Aptos"/>
        </w:rPr>
        <w:tab/>
        <w:t xml:space="preserve">Messinger, Y. H. </w:t>
      </w:r>
      <w:r w:rsidRPr="00780AED">
        <w:rPr>
          <w:rFonts w:ascii="Aptos" w:hAnsi="Aptos"/>
          <w:i/>
          <w:iCs/>
        </w:rPr>
        <w:t>et al.</w:t>
      </w:r>
      <w:r w:rsidRPr="00780AED">
        <w:rPr>
          <w:rFonts w:ascii="Aptos" w:hAnsi="Aptos"/>
        </w:rPr>
        <w:t xml:space="preserve"> Bortezomib with chemotherapy is highly active in advanced B-precursor acute lymphoblastic leukemia: Therapeutic Advances in Childhood Leukemia &amp; Lymphoma (TACL) Study. </w:t>
      </w:r>
      <w:r w:rsidRPr="00780AED">
        <w:rPr>
          <w:rFonts w:ascii="Aptos" w:hAnsi="Aptos"/>
          <w:i/>
          <w:iCs/>
        </w:rPr>
        <w:t>Blood</w:t>
      </w:r>
      <w:r w:rsidRPr="00780AED">
        <w:rPr>
          <w:rFonts w:ascii="Aptos" w:hAnsi="Aptos"/>
        </w:rPr>
        <w:t xml:space="preserve"> </w:t>
      </w:r>
      <w:r w:rsidRPr="00780AED">
        <w:rPr>
          <w:rFonts w:ascii="Aptos" w:hAnsi="Aptos"/>
          <w:b/>
          <w:bCs/>
        </w:rPr>
        <w:t>120</w:t>
      </w:r>
      <w:r w:rsidRPr="00780AED">
        <w:rPr>
          <w:rFonts w:ascii="Aptos" w:hAnsi="Aptos"/>
        </w:rPr>
        <w:t>, 285–290 (2012).</w:t>
      </w:r>
    </w:p>
    <w:p w14:paraId="4BA86845" w14:textId="77777777" w:rsidR="00780AED" w:rsidRPr="00780AED" w:rsidRDefault="00780AED" w:rsidP="00780AED">
      <w:pPr>
        <w:pStyle w:val="Bibliography"/>
        <w:rPr>
          <w:rFonts w:ascii="Aptos" w:hAnsi="Aptos"/>
        </w:rPr>
      </w:pPr>
      <w:r w:rsidRPr="00780AED">
        <w:rPr>
          <w:rFonts w:ascii="Aptos" w:hAnsi="Aptos"/>
        </w:rPr>
        <w:t>7.</w:t>
      </w:r>
      <w:r w:rsidRPr="00780AED">
        <w:rPr>
          <w:rFonts w:ascii="Aptos" w:hAnsi="Aptos"/>
        </w:rPr>
        <w:tab/>
        <w:t xml:space="preserve">Tutschka, P. J., Copelan, E. A. &amp; Klein, J. P. Bone marrow transplantation for leukemia following a new busulfan and cyclophosphamide regimen. </w:t>
      </w:r>
      <w:r w:rsidRPr="00780AED">
        <w:rPr>
          <w:rFonts w:ascii="Aptos" w:hAnsi="Aptos"/>
          <w:i/>
          <w:iCs/>
        </w:rPr>
        <w:t>Blood</w:t>
      </w:r>
      <w:r w:rsidRPr="00780AED">
        <w:rPr>
          <w:rFonts w:ascii="Aptos" w:hAnsi="Aptos"/>
        </w:rPr>
        <w:t xml:space="preserve"> </w:t>
      </w:r>
      <w:r w:rsidRPr="00780AED">
        <w:rPr>
          <w:rFonts w:ascii="Aptos" w:hAnsi="Aptos"/>
          <w:b/>
          <w:bCs/>
        </w:rPr>
        <w:t>70</w:t>
      </w:r>
      <w:r w:rsidRPr="00780AED">
        <w:rPr>
          <w:rFonts w:ascii="Aptos" w:hAnsi="Aptos"/>
        </w:rPr>
        <w:t>, 1382–1388 (1987).</w:t>
      </w:r>
    </w:p>
    <w:p w14:paraId="16B4F264" w14:textId="77777777" w:rsidR="00780AED" w:rsidRPr="00780AED" w:rsidRDefault="00780AED" w:rsidP="00780AED">
      <w:pPr>
        <w:pStyle w:val="Bibliography"/>
        <w:rPr>
          <w:rFonts w:ascii="Aptos" w:hAnsi="Aptos"/>
        </w:rPr>
      </w:pPr>
      <w:r w:rsidRPr="00780AED">
        <w:rPr>
          <w:rFonts w:ascii="Aptos" w:hAnsi="Aptos"/>
        </w:rPr>
        <w:t>8.</w:t>
      </w:r>
      <w:r w:rsidRPr="00780AED">
        <w:rPr>
          <w:rFonts w:ascii="Aptos" w:hAnsi="Aptos"/>
        </w:rPr>
        <w:tab/>
        <w:t xml:space="preserve">Zhang, H. </w:t>
      </w:r>
      <w:r w:rsidRPr="00780AED">
        <w:rPr>
          <w:rFonts w:ascii="Aptos" w:hAnsi="Aptos"/>
          <w:i/>
          <w:iCs/>
        </w:rPr>
        <w:t>et al.</w:t>
      </w:r>
      <w:r w:rsidRPr="00780AED">
        <w:rPr>
          <w:rFonts w:ascii="Aptos" w:hAnsi="Aptos"/>
        </w:rPr>
        <w:t xml:space="preserve"> Busulfan Plus Cyclophosphamide Versus Total Body Irradiation Plus Cyclophosphamide for Adults Acute B Lymphoblastic Leukemia: An Open-Label, Multicenter, Phase III Trial. </w:t>
      </w:r>
      <w:r w:rsidRPr="00780AED">
        <w:rPr>
          <w:rFonts w:ascii="Aptos" w:hAnsi="Aptos"/>
          <w:i/>
          <w:iCs/>
        </w:rPr>
        <w:t>J. Clin. Oncol.</w:t>
      </w:r>
      <w:r w:rsidRPr="00780AED">
        <w:rPr>
          <w:rFonts w:ascii="Aptos" w:hAnsi="Aptos"/>
        </w:rPr>
        <w:t xml:space="preserve"> </w:t>
      </w:r>
      <w:r w:rsidRPr="00780AED">
        <w:rPr>
          <w:rFonts w:ascii="Aptos" w:hAnsi="Aptos"/>
          <w:b/>
          <w:bCs/>
        </w:rPr>
        <w:t>41</w:t>
      </w:r>
      <w:r w:rsidRPr="00780AED">
        <w:rPr>
          <w:rFonts w:ascii="Aptos" w:hAnsi="Aptos"/>
        </w:rPr>
        <w:t>, 343–353 (2023).</w:t>
      </w:r>
    </w:p>
    <w:p w14:paraId="36C39935" w14:textId="77777777" w:rsidR="00780AED" w:rsidRPr="00780AED" w:rsidRDefault="00780AED" w:rsidP="00780AED">
      <w:pPr>
        <w:pStyle w:val="Bibliography"/>
        <w:rPr>
          <w:rFonts w:ascii="Aptos" w:hAnsi="Aptos"/>
        </w:rPr>
      </w:pPr>
      <w:r w:rsidRPr="00780AED">
        <w:rPr>
          <w:rFonts w:ascii="Aptos" w:hAnsi="Aptos"/>
        </w:rPr>
        <w:t>9.</w:t>
      </w:r>
      <w:r w:rsidRPr="00780AED">
        <w:rPr>
          <w:rFonts w:ascii="Aptos" w:hAnsi="Aptos"/>
        </w:rPr>
        <w:tab/>
        <w:t xml:space="preserve">Garcia-Manero, G. </w:t>
      </w:r>
      <w:r w:rsidRPr="00780AED">
        <w:rPr>
          <w:rFonts w:ascii="Aptos" w:hAnsi="Aptos"/>
          <w:i/>
          <w:iCs/>
        </w:rPr>
        <w:t>et al.</w:t>
      </w:r>
      <w:r w:rsidRPr="00780AED">
        <w:rPr>
          <w:rFonts w:ascii="Aptos" w:hAnsi="Aptos"/>
        </w:rPr>
        <w:t xml:space="preserve"> A randomized phase III study of standard versus high-dose cytarabine with or without vorinostat for AML. </w:t>
      </w:r>
      <w:r w:rsidRPr="00780AED">
        <w:rPr>
          <w:rFonts w:ascii="Aptos" w:hAnsi="Aptos"/>
          <w:i/>
          <w:iCs/>
        </w:rPr>
        <w:t>Leukemia</w:t>
      </w:r>
      <w:r w:rsidRPr="00780AED">
        <w:rPr>
          <w:rFonts w:ascii="Aptos" w:hAnsi="Aptos"/>
        </w:rPr>
        <w:t xml:space="preserve"> </w:t>
      </w:r>
      <w:r w:rsidRPr="00780AED">
        <w:rPr>
          <w:rFonts w:ascii="Aptos" w:hAnsi="Aptos"/>
          <w:b/>
          <w:bCs/>
        </w:rPr>
        <w:t>38</w:t>
      </w:r>
      <w:r w:rsidRPr="00780AED">
        <w:rPr>
          <w:rFonts w:ascii="Aptos" w:hAnsi="Aptos"/>
        </w:rPr>
        <w:t>, 58–66 (2024).</w:t>
      </w:r>
    </w:p>
    <w:p w14:paraId="08D9468C" w14:textId="77777777" w:rsidR="00780AED" w:rsidRPr="00780AED" w:rsidRDefault="00780AED" w:rsidP="00780AED">
      <w:pPr>
        <w:pStyle w:val="Bibliography"/>
        <w:rPr>
          <w:rFonts w:ascii="Aptos" w:hAnsi="Aptos"/>
        </w:rPr>
      </w:pPr>
      <w:r w:rsidRPr="00780AED">
        <w:rPr>
          <w:rFonts w:ascii="Aptos" w:hAnsi="Aptos"/>
        </w:rPr>
        <w:t>10.</w:t>
      </w:r>
      <w:r w:rsidRPr="00780AED">
        <w:rPr>
          <w:rFonts w:ascii="Aptos" w:hAnsi="Aptos"/>
        </w:rPr>
        <w:tab/>
        <w:t xml:space="preserve">Bertoli, S. </w:t>
      </w:r>
      <w:r w:rsidRPr="00780AED">
        <w:rPr>
          <w:rFonts w:ascii="Aptos" w:hAnsi="Aptos"/>
          <w:i/>
          <w:iCs/>
        </w:rPr>
        <w:t>et al.</w:t>
      </w:r>
      <w:r w:rsidRPr="00780AED">
        <w:rPr>
          <w:rFonts w:ascii="Aptos" w:hAnsi="Aptos"/>
        </w:rPr>
        <w:t xml:space="preserve"> Dexamethasone in hyperleukocytic acute myeloid leukemia. </w:t>
      </w:r>
      <w:r w:rsidRPr="00780AED">
        <w:rPr>
          <w:rFonts w:ascii="Aptos" w:hAnsi="Aptos"/>
          <w:i/>
          <w:iCs/>
        </w:rPr>
        <w:t>Haematologica</w:t>
      </w:r>
      <w:r w:rsidRPr="00780AED">
        <w:rPr>
          <w:rFonts w:ascii="Aptos" w:hAnsi="Aptos"/>
        </w:rPr>
        <w:t xml:space="preserve"> </w:t>
      </w:r>
      <w:r w:rsidRPr="00780AED">
        <w:rPr>
          <w:rFonts w:ascii="Aptos" w:hAnsi="Aptos"/>
          <w:b/>
          <w:bCs/>
        </w:rPr>
        <w:t>103</w:t>
      </w:r>
      <w:r w:rsidRPr="00780AED">
        <w:rPr>
          <w:rFonts w:ascii="Aptos" w:hAnsi="Aptos"/>
        </w:rPr>
        <w:t>, 988–998 (2018).</w:t>
      </w:r>
    </w:p>
    <w:p w14:paraId="1274167E" w14:textId="77777777" w:rsidR="00780AED" w:rsidRPr="00780AED" w:rsidRDefault="00780AED" w:rsidP="00780AED">
      <w:pPr>
        <w:pStyle w:val="Bibliography"/>
        <w:rPr>
          <w:rFonts w:ascii="Aptos" w:hAnsi="Aptos"/>
        </w:rPr>
      </w:pPr>
      <w:r w:rsidRPr="00780AED">
        <w:rPr>
          <w:rFonts w:ascii="Aptos" w:hAnsi="Aptos"/>
        </w:rPr>
        <w:t>11.</w:t>
      </w:r>
      <w:r w:rsidRPr="00780AED">
        <w:rPr>
          <w:rFonts w:ascii="Aptos" w:hAnsi="Aptos"/>
        </w:rPr>
        <w:tab/>
        <w:t xml:space="preserve">Escherich, G., Zimmermann, M., Janka-Schaub, G., &amp; CoALL study group. Doxorubicin or daunorubicin given upfront in a therapeutic window are equally effective in children with newly diagnosed acute lymphoblastic leukemia. A randomized comparison in trial CoALL 07-03. </w:t>
      </w:r>
      <w:r w:rsidRPr="00780AED">
        <w:rPr>
          <w:rFonts w:ascii="Aptos" w:hAnsi="Aptos"/>
          <w:i/>
          <w:iCs/>
        </w:rPr>
        <w:t>Pediatr. Blood Cancer</w:t>
      </w:r>
      <w:r w:rsidRPr="00780AED">
        <w:rPr>
          <w:rFonts w:ascii="Aptos" w:hAnsi="Aptos"/>
        </w:rPr>
        <w:t xml:space="preserve"> </w:t>
      </w:r>
      <w:r w:rsidRPr="00780AED">
        <w:rPr>
          <w:rFonts w:ascii="Aptos" w:hAnsi="Aptos"/>
          <w:b/>
          <w:bCs/>
        </w:rPr>
        <w:t>60</w:t>
      </w:r>
      <w:r w:rsidRPr="00780AED">
        <w:rPr>
          <w:rFonts w:ascii="Aptos" w:hAnsi="Aptos"/>
        </w:rPr>
        <w:t>, 254–257 (2013).</w:t>
      </w:r>
    </w:p>
    <w:p w14:paraId="0A8FAB01" w14:textId="77777777" w:rsidR="00780AED" w:rsidRPr="00780AED" w:rsidRDefault="00780AED" w:rsidP="00780AED">
      <w:pPr>
        <w:pStyle w:val="Bibliography"/>
        <w:rPr>
          <w:rFonts w:ascii="Aptos" w:hAnsi="Aptos"/>
        </w:rPr>
      </w:pPr>
      <w:r w:rsidRPr="00780AED">
        <w:rPr>
          <w:rFonts w:ascii="Aptos" w:hAnsi="Aptos"/>
        </w:rPr>
        <w:t>12.</w:t>
      </w:r>
      <w:r w:rsidRPr="00780AED">
        <w:rPr>
          <w:rFonts w:ascii="Aptos" w:hAnsi="Aptos"/>
        </w:rPr>
        <w:tab/>
        <w:t xml:space="preserve">Daver, N. </w:t>
      </w:r>
      <w:r w:rsidRPr="00780AED">
        <w:rPr>
          <w:rFonts w:ascii="Aptos" w:hAnsi="Aptos"/>
          <w:i/>
          <w:iCs/>
        </w:rPr>
        <w:t>et al.</w:t>
      </w:r>
      <w:r w:rsidRPr="00780AED">
        <w:rPr>
          <w:rFonts w:ascii="Aptos" w:hAnsi="Aptos"/>
        </w:rPr>
        <w:t xml:space="preserve"> A Phase I/II Study of the mTOR Inhibitor Everolimus in Combination with HyperCVAD Chemotherapy in Patients with Relapsed / Refractory Acute Lymphoblastic Leukemia. </w:t>
      </w:r>
      <w:r w:rsidRPr="00780AED">
        <w:rPr>
          <w:rFonts w:ascii="Aptos" w:hAnsi="Aptos"/>
          <w:i/>
          <w:iCs/>
        </w:rPr>
        <w:t>Clin. Cancer Res. Off. J. Am. Assoc. Cancer Res.</w:t>
      </w:r>
      <w:r w:rsidRPr="00780AED">
        <w:rPr>
          <w:rFonts w:ascii="Aptos" w:hAnsi="Aptos"/>
        </w:rPr>
        <w:t xml:space="preserve"> </w:t>
      </w:r>
      <w:r w:rsidRPr="00780AED">
        <w:rPr>
          <w:rFonts w:ascii="Aptos" w:hAnsi="Aptos"/>
          <w:b/>
          <w:bCs/>
        </w:rPr>
        <w:t>21</w:t>
      </w:r>
      <w:r w:rsidRPr="00780AED">
        <w:rPr>
          <w:rFonts w:ascii="Aptos" w:hAnsi="Aptos"/>
        </w:rPr>
        <w:t>, 2704–2714 (2015).</w:t>
      </w:r>
    </w:p>
    <w:p w14:paraId="44A006ED" w14:textId="77777777" w:rsidR="00780AED" w:rsidRPr="00780AED" w:rsidRDefault="00780AED" w:rsidP="00780AED">
      <w:pPr>
        <w:pStyle w:val="Bibliography"/>
        <w:rPr>
          <w:rFonts w:ascii="Aptos" w:hAnsi="Aptos"/>
        </w:rPr>
      </w:pPr>
      <w:r w:rsidRPr="00780AED">
        <w:rPr>
          <w:rFonts w:ascii="Aptos" w:hAnsi="Aptos"/>
        </w:rPr>
        <w:t>13.</w:t>
      </w:r>
      <w:r w:rsidRPr="00780AED">
        <w:rPr>
          <w:rFonts w:ascii="Aptos" w:hAnsi="Aptos"/>
        </w:rPr>
        <w:tab/>
        <w:t xml:space="preserve">Jain, N. </w:t>
      </w:r>
      <w:r w:rsidRPr="00780AED">
        <w:rPr>
          <w:rFonts w:ascii="Aptos" w:hAnsi="Aptos"/>
          <w:i/>
          <w:iCs/>
        </w:rPr>
        <w:t>et al.</w:t>
      </w:r>
      <w:r w:rsidRPr="00780AED">
        <w:rPr>
          <w:rFonts w:ascii="Aptos" w:hAnsi="Aptos"/>
        </w:rPr>
        <w:t xml:space="preserve"> A phase I-II trial of fludarabine, bendamustine and rituximab (FBR) in previously treated patients with CLL. </w:t>
      </w:r>
      <w:r w:rsidRPr="00780AED">
        <w:rPr>
          <w:rFonts w:ascii="Aptos" w:hAnsi="Aptos"/>
          <w:i/>
          <w:iCs/>
        </w:rPr>
        <w:t>Oncotarget</w:t>
      </w:r>
      <w:r w:rsidRPr="00780AED">
        <w:rPr>
          <w:rFonts w:ascii="Aptos" w:hAnsi="Aptos"/>
        </w:rPr>
        <w:t xml:space="preserve"> </w:t>
      </w:r>
      <w:r w:rsidRPr="00780AED">
        <w:rPr>
          <w:rFonts w:ascii="Aptos" w:hAnsi="Aptos"/>
          <w:b/>
          <w:bCs/>
        </w:rPr>
        <w:t>8</w:t>
      </w:r>
      <w:r w:rsidRPr="00780AED">
        <w:rPr>
          <w:rFonts w:ascii="Aptos" w:hAnsi="Aptos"/>
        </w:rPr>
        <w:t>, 22104–22112 (2017).</w:t>
      </w:r>
    </w:p>
    <w:p w14:paraId="4A368977" w14:textId="77777777" w:rsidR="00780AED" w:rsidRPr="00780AED" w:rsidRDefault="00780AED" w:rsidP="00780AED">
      <w:pPr>
        <w:pStyle w:val="Bibliography"/>
        <w:rPr>
          <w:rFonts w:ascii="Aptos" w:hAnsi="Aptos"/>
        </w:rPr>
      </w:pPr>
      <w:r w:rsidRPr="00780AED">
        <w:rPr>
          <w:rFonts w:ascii="Aptos" w:hAnsi="Aptos"/>
        </w:rPr>
        <w:t>14.</w:t>
      </w:r>
      <w:r w:rsidRPr="00780AED">
        <w:rPr>
          <w:rFonts w:ascii="Aptos" w:hAnsi="Aptos"/>
        </w:rPr>
        <w:tab/>
        <w:t xml:space="preserve">Park, H. J. </w:t>
      </w:r>
      <w:r w:rsidRPr="00780AED">
        <w:rPr>
          <w:rFonts w:ascii="Aptos" w:hAnsi="Aptos"/>
          <w:i/>
          <w:iCs/>
        </w:rPr>
        <w:t>et al.</w:t>
      </w:r>
      <w:r w:rsidRPr="00780AED">
        <w:rPr>
          <w:rFonts w:ascii="Aptos" w:hAnsi="Aptos"/>
        </w:rPr>
        <w:t xml:space="preserve"> A Case of Therapy-Related Acute Myeloid Leukemia Following 5-Fluorouracil Chemotherapy. </w:t>
      </w:r>
      <w:r w:rsidRPr="00780AED">
        <w:rPr>
          <w:rFonts w:ascii="Aptos" w:hAnsi="Aptos"/>
          <w:i/>
          <w:iCs/>
        </w:rPr>
        <w:t>Korean J. Intern. Med.</w:t>
      </w:r>
      <w:r w:rsidRPr="00780AED">
        <w:rPr>
          <w:rFonts w:ascii="Aptos" w:hAnsi="Aptos"/>
        </w:rPr>
        <w:t xml:space="preserve"> </w:t>
      </w:r>
      <w:r w:rsidRPr="00780AED">
        <w:rPr>
          <w:rFonts w:ascii="Aptos" w:hAnsi="Aptos"/>
          <w:b/>
          <w:bCs/>
        </w:rPr>
        <w:t>27</w:t>
      </w:r>
      <w:r w:rsidRPr="00780AED">
        <w:rPr>
          <w:rFonts w:ascii="Aptos" w:hAnsi="Aptos"/>
        </w:rPr>
        <w:t>, 115–117 (2012).</w:t>
      </w:r>
    </w:p>
    <w:p w14:paraId="29446C21" w14:textId="77777777" w:rsidR="00780AED" w:rsidRPr="00780AED" w:rsidRDefault="00780AED" w:rsidP="00780AED">
      <w:pPr>
        <w:pStyle w:val="Bibliography"/>
        <w:rPr>
          <w:rFonts w:ascii="Aptos" w:hAnsi="Aptos"/>
        </w:rPr>
      </w:pPr>
      <w:r w:rsidRPr="00780AED">
        <w:rPr>
          <w:rFonts w:ascii="Aptos" w:hAnsi="Aptos"/>
        </w:rPr>
        <w:t>15.</w:t>
      </w:r>
      <w:r w:rsidRPr="00780AED">
        <w:rPr>
          <w:rFonts w:ascii="Aptos" w:hAnsi="Aptos"/>
        </w:rPr>
        <w:tab/>
        <w:t xml:space="preserve">Grunewald, R. </w:t>
      </w:r>
      <w:r w:rsidRPr="00780AED">
        <w:rPr>
          <w:rFonts w:ascii="Aptos" w:hAnsi="Aptos"/>
          <w:i/>
          <w:iCs/>
        </w:rPr>
        <w:t>et al.</w:t>
      </w:r>
      <w:r w:rsidRPr="00780AED">
        <w:rPr>
          <w:rFonts w:ascii="Aptos" w:hAnsi="Aptos"/>
        </w:rPr>
        <w:t xml:space="preserve"> Gemcitabine in leukemia: a phase I clinical, plasma, and cellular pharmacology study. </w:t>
      </w:r>
      <w:r w:rsidRPr="00780AED">
        <w:rPr>
          <w:rFonts w:ascii="Aptos" w:hAnsi="Aptos"/>
          <w:i/>
          <w:iCs/>
        </w:rPr>
        <w:t>J. Clin. Oncol. Off. J. Am. Soc. Clin. Oncol.</w:t>
      </w:r>
      <w:r w:rsidRPr="00780AED">
        <w:rPr>
          <w:rFonts w:ascii="Aptos" w:hAnsi="Aptos"/>
        </w:rPr>
        <w:t xml:space="preserve"> </w:t>
      </w:r>
      <w:r w:rsidRPr="00780AED">
        <w:rPr>
          <w:rFonts w:ascii="Aptos" w:hAnsi="Aptos"/>
          <w:b/>
          <w:bCs/>
        </w:rPr>
        <w:t>10</w:t>
      </w:r>
      <w:r w:rsidRPr="00780AED">
        <w:rPr>
          <w:rFonts w:ascii="Aptos" w:hAnsi="Aptos"/>
        </w:rPr>
        <w:t>, 406–413 (1992).</w:t>
      </w:r>
    </w:p>
    <w:p w14:paraId="40F4F5EB" w14:textId="77777777" w:rsidR="00780AED" w:rsidRPr="00780AED" w:rsidRDefault="00780AED" w:rsidP="00780AED">
      <w:pPr>
        <w:pStyle w:val="Bibliography"/>
        <w:rPr>
          <w:rFonts w:ascii="Aptos" w:hAnsi="Aptos"/>
        </w:rPr>
      </w:pPr>
      <w:r w:rsidRPr="00780AED">
        <w:rPr>
          <w:rFonts w:ascii="Aptos" w:hAnsi="Aptos"/>
        </w:rPr>
        <w:t>16.</w:t>
      </w:r>
      <w:r w:rsidRPr="00780AED">
        <w:rPr>
          <w:rFonts w:ascii="Aptos" w:hAnsi="Aptos"/>
        </w:rPr>
        <w:tab/>
        <w:t xml:space="preserve">Gökçe, F. </w:t>
      </w:r>
      <w:r w:rsidRPr="00780AED">
        <w:rPr>
          <w:rFonts w:ascii="Aptos" w:hAnsi="Aptos"/>
          <w:i/>
          <w:iCs/>
        </w:rPr>
        <w:t>et al.</w:t>
      </w:r>
      <w:r w:rsidRPr="00780AED">
        <w:rPr>
          <w:rFonts w:ascii="Aptos" w:hAnsi="Aptos"/>
        </w:rPr>
        <w:t xml:space="preserve"> Microphysiological Drug-Testing Platform for Identifying Responses to Prodrug Treatment in Primary Leukemia. </w:t>
      </w:r>
      <w:r w:rsidRPr="00780AED">
        <w:rPr>
          <w:rFonts w:ascii="Aptos" w:hAnsi="Aptos"/>
          <w:i/>
          <w:iCs/>
        </w:rPr>
        <w:t>Adv. Healthc. Mater.</w:t>
      </w:r>
      <w:r w:rsidRPr="00780AED">
        <w:rPr>
          <w:rFonts w:ascii="Aptos" w:hAnsi="Aptos"/>
        </w:rPr>
        <w:t xml:space="preserve"> </w:t>
      </w:r>
      <w:r w:rsidRPr="00780AED">
        <w:rPr>
          <w:rFonts w:ascii="Aptos" w:hAnsi="Aptos"/>
          <w:b/>
          <w:bCs/>
        </w:rPr>
        <w:t>12</w:t>
      </w:r>
      <w:r w:rsidRPr="00780AED">
        <w:rPr>
          <w:rFonts w:ascii="Aptos" w:hAnsi="Aptos"/>
        </w:rPr>
        <w:t>, 2202506 (2023).</w:t>
      </w:r>
    </w:p>
    <w:p w14:paraId="108B2099" w14:textId="77777777" w:rsidR="00780AED" w:rsidRPr="00780AED" w:rsidRDefault="00780AED" w:rsidP="00780AED">
      <w:pPr>
        <w:pStyle w:val="Bibliography"/>
        <w:rPr>
          <w:rFonts w:ascii="Aptos" w:hAnsi="Aptos"/>
        </w:rPr>
      </w:pPr>
      <w:r w:rsidRPr="00780AED">
        <w:rPr>
          <w:rFonts w:ascii="Aptos" w:hAnsi="Aptos"/>
        </w:rPr>
        <w:t>17.</w:t>
      </w:r>
      <w:r w:rsidRPr="00780AED">
        <w:rPr>
          <w:rFonts w:ascii="Aptos" w:hAnsi="Aptos"/>
        </w:rPr>
        <w:tab/>
        <w:t xml:space="preserve">Messer, A. </w:t>
      </w:r>
      <w:r w:rsidRPr="00780AED">
        <w:rPr>
          <w:rFonts w:ascii="Aptos" w:hAnsi="Aptos"/>
          <w:i/>
          <w:iCs/>
        </w:rPr>
        <w:t>et al.</w:t>
      </w:r>
      <w:r w:rsidRPr="00780AED">
        <w:rPr>
          <w:rFonts w:ascii="Aptos" w:hAnsi="Aptos"/>
        </w:rPr>
        <w:t xml:space="preserve"> Successful treatment of cutaneous adult T-cell leukemia/lymphoma with imiquimod. </w:t>
      </w:r>
      <w:r w:rsidRPr="00780AED">
        <w:rPr>
          <w:rFonts w:ascii="Aptos" w:hAnsi="Aptos"/>
          <w:i/>
          <w:iCs/>
        </w:rPr>
        <w:t>JAAD Case Rep.</w:t>
      </w:r>
      <w:r w:rsidRPr="00780AED">
        <w:rPr>
          <w:rFonts w:ascii="Aptos" w:hAnsi="Aptos"/>
        </w:rPr>
        <w:t xml:space="preserve"> </w:t>
      </w:r>
      <w:r w:rsidRPr="00780AED">
        <w:rPr>
          <w:rFonts w:ascii="Aptos" w:hAnsi="Aptos"/>
          <w:b/>
          <w:bCs/>
        </w:rPr>
        <w:t>5</w:t>
      </w:r>
      <w:r w:rsidRPr="00780AED">
        <w:rPr>
          <w:rFonts w:ascii="Aptos" w:hAnsi="Aptos"/>
        </w:rPr>
        <w:t>, 979–981 (2019).</w:t>
      </w:r>
    </w:p>
    <w:p w14:paraId="446E5A75" w14:textId="77777777" w:rsidR="00780AED" w:rsidRPr="00780AED" w:rsidRDefault="00780AED" w:rsidP="00780AED">
      <w:pPr>
        <w:pStyle w:val="Bibliography"/>
        <w:rPr>
          <w:rFonts w:ascii="Aptos" w:hAnsi="Aptos"/>
        </w:rPr>
      </w:pPr>
      <w:r w:rsidRPr="00780AED">
        <w:rPr>
          <w:rFonts w:ascii="Aptos" w:hAnsi="Aptos"/>
        </w:rPr>
        <w:t>18.</w:t>
      </w:r>
      <w:r w:rsidRPr="00780AED">
        <w:rPr>
          <w:rFonts w:ascii="Aptos" w:hAnsi="Aptos"/>
        </w:rPr>
        <w:tab/>
        <w:t xml:space="preserve">Xu, Y. &amp; Villalona-Calero, M. A. Irinotecan: mechanisms of tumor resistance and novel strategies for modulating its activity. </w:t>
      </w:r>
      <w:r w:rsidRPr="00780AED">
        <w:rPr>
          <w:rFonts w:ascii="Aptos" w:hAnsi="Aptos"/>
          <w:i/>
          <w:iCs/>
        </w:rPr>
        <w:t>Ann. Oncol.</w:t>
      </w:r>
      <w:r w:rsidRPr="00780AED">
        <w:rPr>
          <w:rFonts w:ascii="Aptos" w:hAnsi="Aptos"/>
        </w:rPr>
        <w:t xml:space="preserve"> </w:t>
      </w:r>
      <w:r w:rsidRPr="00780AED">
        <w:rPr>
          <w:rFonts w:ascii="Aptos" w:hAnsi="Aptos"/>
          <w:b/>
          <w:bCs/>
        </w:rPr>
        <w:t>13</w:t>
      </w:r>
      <w:r w:rsidRPr="00780AED">
        <w:rPr>
          <w:rFonts w:ascii="Aptos" w:hAnsi="Aptos"/>
        </w:rPr>
        <w:t>, 1841–1851 (2002).</w:t>
      </w:r>
    </w:p>
    <w:p w14:paraId="58912247" w14:textId="77777777" w:rsidR="00780AED" w:rsidRPr="00780AED" w:rsidRDefault="00780AED" w:rsidP="00780AED">
      <w:pPr>
        <w:pStyle w:val="Bibliography"/>
        <w:rPr>
          <w:rFonts w:ascii="Aptos" w:hAnsi="Aptos"/>
        </w:rPr>
      </w:pPr>
      <w:r w:rsidRPr="00780AED">
        <w:rPr>
          <w:rFonts w:ascii="Aptos" w:hAnsi="Aptos"/>
        </w:rPr>
        <w:t>19.</w:t>
      </w:r>
      <w:r w:rsidRPr="00780AED">
        <w:rPr>
          <w:rFonts w:ascii="Aptos" w:hAnsi="Aptos"/>
        </w:rPr>
        <w:tab/>
        <w:t xml:space="preserve">Morice, P.-M. </w:t>
      </w:r>
      <w:r w:rsidRPr="00780AED">
        <w:rPr>
          <w:rFonts w:ascii="Aptos" w:hAnsi="Aptos"/>
          <w:i/>
          <w:iCs/>
        </w:rPr>
        <w:t>et al.</w:t>
      </w:r>
      <w:r w:rsidRPr="00780AED">
        <w:rPr>
          <w:rFonts w:ascii="Aptos" w:hAnsi="Aptos"/>
        </w:rPr>
        <w:t xml:space="preserve"> Acute lymphoblastic leukemia in patients treated with lenalidomide for multiple myeloma: a safety meta-analysis of randomized controlled trials combined with a retrospective study of the WHO’s pharmacovigilance database. </w:t>
      </w:r>
      <w:r w:rsidRPr="00780AED">
        <w:rPr>
          <w:rFonts w:ascii="Aptos" w:hAnsi="Aptos"/>
          <w:i/>
          <w:iCs/>
        </w:rPr>
        <w:t>Blood Cancer J.</w:t>
      </w:r>
      <w:r w:rsidRPr="00780AED">
        <w:rPr>
          <w:rFonts w:ascii="Aptos" w:hAnsi="Aptos"/>
        </w:rPr>
        <w:t xml:space="preserve"> </w:t>
      </w:r>
      <w:r w:rsidRPr="00780AED">
        <w:rPr>
          <w:rFonts w:ascii="Aptos" w:hAnsi="Aptos"/>
          <w:b/>
          <w:bCs/>
        </w:rPr>
        <w:t>14</w:t>
      </w:r>
      <w:r w:rsidRPr="00780AED">
        <w:rPr>
          <w:rFonts w:ascii="Aptos" w:hAnsi="Aptos"/>
        </w:rPr>
        <w:t>, 1–4 (2024).</w:t>
      </w:r>
    </w:p>
    <w:p w14:paraId="52DCED96" w14:textId="77777777" w:rsidR="00780AED" w:rsidRPr="00780AED" w:rsidRDefault="00780AED" w:rsidP="00780AED">
      <w:pPr>
        <w:pStyle w:val="Bibliography"/>
        <w:rPr>
          <w:rFonts w:ascii="Aptos" w:hAnsi="Aptos"/>
        </w:rPr>
      </w:pPr>
      <w:r w:rsidRPr="00780AED">
        <w:rPr>
          <w:rFonts w:ascii="Aptos" w:hAnsi="Aptos"/>
        </w:rPr>
        <w:t>20.</w:t>
      </w:r>
      <w:r w:rsidRPr="00780AED">
        <w:rPr>
          <w:rFonts w:ascii="Aptos" w:hAnsi="Aptos"/>
        </w:rPr>
        <w:tab/>
        <w:t xml:space="preserve">Jonsdottir, G. </w:t>
      </w:r>
      <w:r w:rsidRPr="00780AED">
        <w:rPr>
          <w:rFonts w:ascii="Aptos" w:hAnsi="Aptos"/>
          <w:i/>
          <w:iCs/>
        </w:rPr>
        <w:t>et al.</w:t>
      </w:r>
      <w:r w:rsidRPr="00780AED">
        <w:rPr>
          <w:rFonts w:ascii="Aptos" w:hAnsi="Aptos"/>
        </w:rPr>
        <w:t xml:space="preserve"> Cumulative exposure to melphalan chemotherapy and subsequent risk of developing acute myeloid leukemia and myelodysplastic syndromes in patients with multiple myeloma. </w:t>
      </w:r>
      <w:r w:rsidRPr="00780AED">
        <w:rPr>
          <w:rFonts w:ascii="Aptos" w:hAnsi="Aptos"/>
          <w:i/>
          <w:iCs/>
        </w:rPr>
        <w:t>Eur. J. Haematol.</w:t>
      </w:r>
      <w:r w:rsidRPr="00780AED">
        <w:rPr>
          <w:rFonts w:ascii="Aptos" w:hAnsi="Aptos"/>
        </w:rPr>
        <w:t xml:space="preserve"> </w:t>
      </w:r>
      <w:r w:rsidRPr="00780AED">
        <w:rPr>
          <w:rFonts w:ascii="Aptos" w:hAnsi="Aptos"/>
          <w:b/>
          <w:bCs/>
        </w:rPr>
        <w:t>107</w:t>
      </w:r>
      <w:r w:rsidRPr="00780AED">
        <w:rPr>
          <w:rFonts w:ascii="Aptos" w:hAnsi="Aptos"/>
        </w:rPr>
        <w:t>, 275–282 (2021).</w:t>
      </w:r>
    </w:p>
    <w:p w14:paraId="00936DA3" w14:textId="77777777" w:rsidR="00780AED" w:rsidRPr="00780AED" w:rsidRDefault="00780AED" w:rsidP="00780AED">
      <w:pPr>
        <w:pStyle w:val="Bibliography"/>
        <w:rPr>
          <w:rFonts w:ascii="Aptos" w:hAnsi="Aptos"/>
        </w:rPr>
      </w:pPr>
      <w:r w:rsidRPr="00780AED">
        <w:rPr>
          <w:rFonts w:ascii="Aptos" w:hAnsi="Aptos"/>
        </w:rPr>
        <w:t>21.</w:t>
      </w:r>
      <w:r w:rsidRPr="00780AED">
        <w:rPr>
          <w:rFonts w:ascii="Aptos" w:hAnsi="Aptos"/>
        </w:rPr>
        <w:tab/>
        <w:t xml:space="preserve">Inaba, H. &amp; Pui, C.-H. Glucocorticoid use in acute lymphoblastic leukemia: comparison of prednisone and dexamethasone. </w:t>
      </w:r>
      <w:r w:rsidRPr="00780AED">
        <w:rPr>
          <w:rFonts w:ascii="Aptos" w:hAnsi="Aptos"/>
          <w:i/>
          <w:iCs/>
        </w:rPr>
        <w:t>Lancet Oncol.</w:t>
      </w:r>
      <w:r w:rsidRPr="00780AED">
        <w:rPr>
          <w:rFonts w:ascii="Aptos" w:hAnsi="Aptos"/>
        </w:rPr>
        <w:t xml:space="preserve"> </w:t>
      </w:r>
      <w:r w:rsidRPr="00780AED">
        <w:rPr>
          <w:rFonts w:ascii="Aptos" w:hAnsi="Aptos"/>
          <w:b/>
          <w:bCs/>
        </w:rPr>
        <w:t>11</w:t>
      </w:r>
      <w:r w:rsidRPr="00780AED">
        <w:rPr>
          <w:rFonts w:ascii="Aptos" w:hAnsi="Aptos"/>
        </w:rPr>
        <w:t>, 1096–1106 (2010).</w:t>
      </w:r>
    </w:p>
    <w:p w14:paraId="32E1A709" w14:textId="77777777" w:rsidR="00780AED" w:rsidRPr="00780AED" w:rsidRDefault="00780AED" w:rsidP="00780AED">
      <w:pPr>
        <w:pStyle w:val="Bibliography"/>
        <w:rPr>
          <w:rFonts w:ascii="Aptos" w:hAnsi="Aptos"/>
        </w:rPr>
      </w:pPr>
      <w:r w:rsidRPr="00780AED">
        <w:rPr>
          <w:rFonts w:ascii="Aptos" w:hAnsi="Aptos"/>
        </w:rPr>
        <w:t>22.</w:t>
      </w:r>
      <w:r w:rsidRPr="00780AED">
        <w:rPr>
          <w:rFonts w:ascii="Aptos" w:hAnsi="Aptos"/>
        </w:rPr>
        <w:tab/>
        <w:t xml:space="preserve">Li, G. </w:t>
      </w:r>
      <w:r w:rsidRPr="00780AED">
        <w:rPr>
          <w:rFonts w:ascii="Aptos" w:hAnsi="Aptos"/>
          <w:i/>
          <w:iCs/>
        </w:rPr>
        <w:t>et al.</w:t>
      </w:r>
      <w:r w:rsidRPr="00780AED">
        <w:rPr>
          <w:rFonts w:ascii="Aptos" w:hAnsi="Aptos"/>
        </w:rPr>
        <w:t xml:space="preserve"> Simvastatin Preferentially Targets FLT3/ITD Acute Myeloid Leukemia by Inhibiting MEK/ERK and p38-MAPK Signaling Pathways. </w:t>
      </w:r>
      <w:r w:rsidRPr="00780AED">
        <w:rPr>
          <w:rFonts w:ascii="Aptos" w:hAnsi="Aptos"/>
          <w:i/>
          <w:iCs/>
        </w:rPr>
        <w:t>Drugs RD</w:t>
      </w:r>
      <w:r w:rsidRPr="00780AED">
        <w:rPr>
          <w:rFonts w:ascii="Aptos" w:hAnsi="Aptos"/>
        </w:rPr>
        <w:t xml:space="preserve"> </w:t>
      </w:r>
      <w:r w:rsidRPr="00780AED">
        <w:rPr>
          <w:rFonts w:ascii="Aptos" w:hAnsi="Aptos"/>
          <w:b/>
          <w:bCs/>
        </w:rPr>
        <w:t>23</w:t>
      </w:r>
      <w:r w:rsidRPr="00780AED">
        <w:rPr>
          <w:rFonts w:ascii="Aptos" w:hAnsi="Aptos"/>
        </w:rPr>
        <w:t>, 439–451 (2023).</w:t>
      </w:r>
    </w:p>
    <w:p w14:paraId="15D1CD2E" w14:textId="77777777" w:rsidR="00780AED" w:rsidRPr="00780AED" w:rsidRDefault="00780AED" w:rsidP="00780AED">
      <w:pPr>
        <w:pStyle w:val="Bibliography"/>
        <w:rPr>
          <w:rFonts w:ascii="Aptos" w:hAnsi="Aptos"/>
        </w:rPr>
      </w:pPr>
      <w:r w:rsidRPr="00780AED">
        <w:rPr>
          <w:rFonts w:ascii="Aptos" w:hAnsi="Aptos"/>
        </w:rPr>
        <w:t>23.</w:t>
      </w:r>
      <w:r w:rsidRPr="00780AED">
        <w:rPr>
          <w:rFonts w:ascii="Aptos" w:hAnsi="Aptos"/>
        </w:rPr>
        <w:tab/>
        <w:t xml:space="preserve">Macias, R. I. R. </w:t>
      </w:r>
      <w:r w:rsidRPr="00780AED">
        <w:rPr>
          <w:rFonts w:ascii="Aptos" w:hAnsi="Aptos"/>
          <w:i/>
          <w:iCs/>
        </w:rPr>
        <w:t>et al.</w:t>
      </w:r>
      <w:r w:rsidRPr="00780AED">
        <w:rPr>
          <w:rFonts w:ascii="Aptos" w:hAnsi="Aptos"/>
        </w:rPr>
        <w:t xml:space="preserve"> Role of drug transporters in the sensitivity of acute myeloid leukemia to sorafenib. </w:t>
      </w:r>
      <w:r w:rsidRPr="00780AED">
        <w:rPr>
          <w:rFonts w:ascii="Aptos" w:hAnsi="Aptos"/>
          <w:i/>
          <w:iCs/>
        </w:rPr>
        <w:t>Oncotarget</w:t>
      </w:r>
      <w:r w:rsidRPr="00780AED">
        <w:rPr>
          <w:rFonts w:ascii="Aptos" w:hAnsi="Aptos"/>
        </w:rPr>
        <w:t xml:space="preserve"> </w:t>
      </w:r>
      <w:r w:rsidRPr="00780AED">
        <w:rPr>
          <w:rFonts w:ascii="Aptos" w:hAnsi="Aptos"/>
          <w:b/>
          <w:bCs/>
        </w:rPr>
        <w:t>9</w:t>
      </w:r>
      <w:r w:rsidRPr="00780AED">
        <w:rPr>
          <w:rFonts w:ascii="Aptos" w:hAnsi="Aptos"/>
        </w:rPr>
        <w:t>, 28474–28485 (2018).</w:t>
      </w:r>
    </w:p>
    <w:p w14:paraId="2CB91293" w14:textId="77777777" w:rsidR="00780AED" w:rsidRPr="00780AED" w:rsidRDefault="00780AED" w:rsidP="00780AED">
      <w:pPr>
        <w:pStyle w:val="Bibliography"/>
        <w:rPr>
          <w:rFonts w:ascii="Aptos" w:hAnsi="Aptos"/>
        </w:rPr>
      </w:pPr>
      <w:r w:rsidRPr="00780AED">
        <w:rPr>
          <w:rFonts w:ascii="Aptos" w:hAnsi="Aptos"/>
        </w:rPr>
        <w:t>24.</w:t>
      </w:r>
      <w:r w:rsidRPr="00780AED">
        <w:rPr>
          <w:rFonts w:ascii="Aptos" w:hAnsi="Aptos"/>
        </w:rPr>
        <w:tab/>
        <w:t xml:space="preserve">Salhotra, A. </w:t>
      </w:r>
      <w:r w:rsidRPr="00780AED">
        <w:rPr>
          <w:rFonts w:ascii="Aptos" w:hAnsi="Aptos"/>
          <w:i/>
          <w:iCs/>
        </w:rPr>
        <w:t>et al.</w:t>
      </w:r>
      <w:r w:rsidRPr="00780AED">
        <w:rPr>
          <w:rFonts w:ascii="Aptos" w:hAnsi="Aptos"/>
        </w:rPr>
        <w:t xml:space="preserve"> Long-Term Outcomes of Patients with Acute Myelogenous Leukemia Treated with Myeloablative Fractionated Total Body Irradiation TBI-Based Conditioning with a Tacrolimus- and Sirolimus-Based Graft-versus-Host Disease Prophylaxis Regimen: 6-Year Follow-Up from a Single Center. </w:t>
      </w:r>
      <w:r w:rsidRPr="00780AED">
        <w:rPr>
          <w:rFonts w:ascii="Aptos" w:hAnsi="Aptos"/>
          <w:i/>
          <w:iCs/>
        </w:rPr>
        <w:t>Biol. Blood Marrow Transplant.</w:t>
      </w:r>
      <w:r w:rsidRPr="00780AED">
        <w:rPr>
          <w:rFonts w:ascii="Aptos" w:hAnsi="Aptos"/>
        </w:rPr>
        <w:t xml:space="preserve"> </w:t>
      </w:r>
      <w:r w:rsidRPr="00780AED">
        <w:rPr>
          <w:rFonts w:ascii="Aptos" w:hAnsi="Aptos"/>
          <w:b/>
          <w:bCs/>
        </w:rPr>
        <w:t>26</w:t>
      </w:r>
      <w:r w:rsidRPr="00780AED">
        <w:rPr>
          <w:rFonts w:ascii="Aptos" w:hAnsi="Aptos"/>
        </w:rPr>
        <w:t>, 292–299 (2020).</w:t>
      </w:r>
    </w:p>
    <w:p w14:paraId="530A5DB7" w14:textId="77777777" w:rsidR="00780AED" w:rsidRPr="00780AED" w:rsidRDefault="00780AED" w:rsidP="00780AED">
      <w:pPr>
        <w:pStyle w:val="Bibliography"/>
        <w:rPr>
          <w:rFonts w:ascii="Aptos" w:hAnsi="Aptos"/>
        </w:rPr>
      </w:pPr>
      <w:r w:rsidRPr="00780AED">
        <w:rPr>
          <w:rFonts w:ascii="Aptos" w:hAnsi="Aptos"/>
        </w:rPr>
        <w:t>25.</w:t>
      </w:r>
      <w:r w:rsidRPr="00780AED">
        <w:rPr>
          <w:rFonts w:ascii="Aptos" w:hAnsi="Aptos"/>
        </w:rPr>
        <w:tab/>
        <w:t xml:space="preserve">Tasian, S. K. </w:t>
      </w:r>
      <w:r w:rsidRPr="00780AED">
        <w:rPr>
          <w:rFonts w:ascii="Aptos" w:hAnsi="Aptos"/>
          <w:i/>
          <w:iCs/>
        </w:rPr>
        <w:t>et al.</w:t>
      </w:r>
      <w:r w:rsidRPr="00780AED">
        <w:rPr>
          <w:rFonts w:ascii="Aptos" w:hAnsi="Aptos"/>
        </w:rPr>
        <w:t xml:space="preserve"> Temsirolimus combined with cyclophosphamide and etoposide for pediatric patients with relapsed/refractory acute lymphoblastic leukemia: a Therapeutic Advances in Childhood Leukemia Consortium trial (TACL 2014-001). </w:t>
      </w:r>
      <w:r w:rsidRPr="00780AED">
        <w:rPr>
          <w:rFonts w:ascii="Aptos" w:hAnsi="Aptos"/>
          <w:i/>
          <w:iCs/>
        </w:rPr>
        <w:t>Haematologica</w:t>
      </w:r>
      <w:r w:rsidRPr="00780AED">
        <w:rPr>
          <w:rFonts w:ascii="Aptos" w:hAnsi="Aptos"/>
        </w:rPr>
        <w:t xml:space="preserve"> </w:t>
      </w:r>
      <w:r w:rsidRPr="00780AED">
        <w:rPr>
          <w:rFonts w:ascii="Aptos" w:hAnsi="Aptos"/>
          <w:b/>
          <w:bCs/>
        </w:rPr>
        <w:t>107</w:t>
      </w:r>
      <w:r w:rsidRPr="00780AED">
        <w:rPr>
          <w:rFonts w:ascii="Aptos" w:hAnsi="Aptos"/>
        </w:rPr>
        <w:t>, 2295–2303 (2022).</w:t>
      </w:r>
    </w:p>
    <w:p w14:paraId="4FBA228A" w14:textId="77777777" w:rsidR="00780AED" w:rsidRPr="00780AED" w:rsidRDefault="00780AED" w:rsidP="00780AED">
      <w:pPr>
        <w:pStyle w:val="Bibliography"/>
        <w:rPr>
          <w:rFonts w:ascii="Aptos" w:hAnsi="Aptos"/>
        </w:rPr>
      </w:pPr>
      <w:r w:rsidRPr="00780AED">
        <w:rPr>
          <w:rFonts w:ascii="Aptos" w:hAnsi="Aptos"/>
        </w:rPr>
        <w:t>26.</w:t>
      </w:r>
      <w:r w:rsidRPr="00780AED">
        <w:rPr>
          <w:rFonts w:ascii="Aptos" w:hAnsi="Aptos"/>
        </w:rPr>
        <w:tab/>
        <w:t xml:space="preserve">Steins, M. B. </w:t>
      </w:r>
      <w:r w:rsidRPr="00780AED">
        <w:rPr>
          <w:rFonts w:ascii="Aptos" w:hAnsi="Aptos"/>
          <w:i/>
          <w:iCs/>
        </w:rPr>
        <w:t>et al.</w:t>
      </w:r>
      <w:r w:rsidRPr="00780AED">
        <w:rPr>
          <w:rFonts w:ascii="Aptos" w:hAnsi="Aptos"/>
        </w:rPr>
        <w:t xml:space="preserve"> Thalidomide for the treatment of acute myeloid leukemia. </w:t>
      </w:r>
      <w:r w:rsidRPr="00780AED">
        <w:rPr>
          <w:rFonts w:ascii="Aptos" w:hAnsi="Aptos"/>
          <w:i/>
          <w:iCs/>
        </w:rPr>
        <w:t>Leuk. Lymphoma</w:t>
      </w:r>
      <w:r w:rsidRPr="00780AED">
        <w:rPr>
          <w:rFonts w:ascii="Aptos" w:hAnsi="Aptos"/>
        </w:rPr>
        <w:t xml:space="preserve"> </w:t>
      </w:r>
      <w:r w:rsidRPr="00780AED">
        <w:rPr>
          <w:rFonts w:ascii="Aptos" w:hAnsi="Aptos"/>
          <w:b/>
          <w:bCs/>
        </w:rPr>
        <w:t>44</w:t>
      </w:r>
      <w:r w:rsidRPr="00780AED">
        <w:rPr>
          <w:rFonts w:ascii="Aptos" w:hAnsi="Aptos"/>
        </w:rPr>
        <w:t>, 1489–1493 (2003).</w:t>
      </w:r>
    </w:p>
    <w:p w14:paraId="32CBDD41" w14:textId="77777777" w:rsidR="00780AED" w:rsidRPr="00780AED" w:rsidRDefault="00780AED" w:rsidP="00780AED">
      <w:pPr>
        <w:pStyle w:val="Bibliography"/>
        <w:rPr>
          <w:rFonts w:ascii="Aptos" w:hAnsi="Aptos"/>
        </w:rPr>
      </w:pPr>
      <w:r w:rsidRPr="00780AED">
        <w:rPr>
          <w:rFonts w:ascii="Aptos" w:hAnsi="Aptos"/>
        </w:rPr>
        <w:t>27.</w:t>
      </w:r>
      <w:r w:rsidRPr="00780AED">
        <w:rPr>
          <w:rFonts w:ascii="Aptos" w:hAnsi="Aptos"/>
        </w:rPr>
        <w:tab/>
        <w:t xml:space="preserve">Stieglitz, E. </w:t>
      </w:r>
      <w:r w:rsidRPr="00780AED">
        <w:rPr>
          <w:rFonts w:ascii="Aptos" w:hAnsi="Aptos"/>
          <w:i/>
          <w:iCs/>
        </w:rPr>
        <w:t>et al.</w:t>
      </w:r>
      <w:r w:rsidRPr="00780AED">
        <w:rPr>
          <w:rFonts w:ascii="Aptos" w:hAnsi="Aptos"/>
        </w:rPr>
        <w:t xml:space="preserve"> Tretinoin Enhances the Effects of Chemotherapy in Juvenile Myelomonocytic Leukemia Using an Ex Vivo Drug Sensitivity Assay. </w:t>
      </w:r>
      <w:r w:rsidRPr="00780AED">
        <w:rPr>
          <w:rFonts w:ascii="Aptos" w:hAnsi="Aptos"/>
          <w:i/>
          <w:iCs/>
        </w:rPr>
        <w:t>JCO Precis. Oncol.</w:t>
      </w:r>
      <w:r w:rsidRPr="00780AED">
        <w:rPr>
          <w:rFonts w:ascii="Aptos" w:hAnsi="Aptos"/>
        </w:rPr>
        <w:t xml:space="preserve"> </w:t>
      </w:r>
      <w:r w:rsidRPr="00780AED">
        <w:rPr>
          <w:rFonts w:ascii="Aptos" w:hAnsi="Aptos"/>
          <w:b/>
          <w:bCs/>
        </w:rPr>
        <w:t>7</w:t>
      </w:r>
      <w:r w:rsidRPr="00780AED">
        <w:rPr>
          <w:rFonts w:ascii="Aptos" w:hAnsi="Aptos"/>
        </w:rPr>
        <w:t>, e2300302 (2023).</w:t>
      </w:r>
    </w:p>
    <w:p w14:paraId="51F3C747" w14:textId="77777777" w:rsidR="00780AED" w:rsidRPr="00780AED" w:rsidRDefault="00780AED" w:rsidP="00780AED">
      <w:pPr>
        <w:pStyle w:val="Bibliography"/>
        <w:rPr>
          <w:rFonts w:ascii="Aptos" w:hAnsi="Aptos"/>
        </w:rPr>
      </w:pPr>
      <w:r w:rsidRPr="00780AED">
        <w:rPr>
          <w:rFonts w:ascii="Aptos" w:hAnsi="Aptos"/>
        </w:rPr>
        <w:t>28.</w:t>
      </w:r>
      <w:r w:rsidRPr="00780AED">
        <w:rPr>
          <w:rFonts w:ascii="Aptos" w:hAnsi="Aptos"/>
        </w:rPr>
        <w:tab/>
        <w:t xml:space="preserve">Bates, D. J. P., Danilov, A. V., Lowrey, C. H. &amp; Eastman, A. Vinblastine rapidly induces NOXA and acutely sensitizes primary chronic lymphocytic leukemia cells to ABT-737. </w:t>
      </w:r>
      <w:r w:rsidRPr="00780AED">
        <w:rPr>
          <w:rFonts w:ascii="Aptos" w:hAnsi="Aptos"/>
          <w:i/>
          <w:iCs/>
        </w:rPr>
        <w:t>Mol. Cancer Ther.</w:t>
      </w:r>
      <w:r w:rsidRPr="00780AED">
        <w:rPr>
          <w:rFonts w:ascii="Aptos" w:hAnsi="Aptos"/>
        </w:rPr>
        <w:t xml:space="preserve"> </w:t>
      </w:r>
      <w:r w:rsidRPr="00780AED">
        <w:rPr>
          <w:rFonts w:ascii="Aptos" w:hAnsi="Aptos"/>
          <w:b/>
          <w:bCs/>
        </w:rPr>
        <w:t>12</w:t>
      </w:r>
      <w:r w:rsidRPr="00780AED">
        <w:rPr>
          <w:rFonts w:ascii="Aptos" w:hAnsi="Aptos"/>
        </w:rPr>
        <w:t>, 1504–1514 (2013).</w:t>
      </w:r>
    </w:p>
    <w:p w14:paraId="56BFAC69" w14:textId="12BDF9BD" w:rsidR="00BA5A5E" w:rsidRDefault="00780AED" w:rsidP="003906D6">
      <w:pPr>
        <w:spacing w:line="480" w:lineRule="auto"/>
      </w:pPr>
      <w:r>
        <w:fldChar w:fldCharType="end"/>
      </w:r>
      <w:bookmarkEnd w:id="0"/>
    </w:p>
    <w:sectPr w:rsidR="00BA5A5E" w:rsidSect="00422285">
      <w:pgSz w:w="11906" w:h="16838" w:code="9"/>
      <w:pgMar w:top="567" w:right="992" w:bottom="567"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A554C1"/>
    <w:multiLevelType w:val="hybridMultilevel"/>
    <w:tmpl w:val="23CC908C"/>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E86"/>
    <w:rsid w:val="00085E86"/>
    <w:rsid w:val="001E477E"/>
    <w:rsid w:val="00231F35"/>
    <w:rsid w:val="00285796"/>
    <w:rsid w:val="00313F4A"/>
    <w:rsid w:val="003820BD"/>
    <w:rsid w:val="003906D6"/>
    <w:rsid w:val="003C74D6"/>
    <w:rsid w:val="00422285"/>
    <w:rsid w:val="0046534C"/>
    <w:rsid w:val="00471448"/>
    <w:rsid w:val="004D0CBF"/>
    <w:rsid w:val="00523E63"/>
    <w:rsid w:val="005D4557"/>
    <w:rsid w:val="00611C2F"/>
    <w:rsid w:val="00780AED"/>
    <w:rsid w:val="008D7F8A"/>
    <w:rsid w:val="0090415A"/>
    <w:rsid w:val="009437C3"/>
    <w:rsid w:val="00971DBD"/>
    <w:rsid w:val="009A038C"/>
    <w:rsid w:val="009D132B"/>
    <w:rsid w:val="00A121D0"/>
    <w:rsid w:val="00A84700"/>
    <w:rsid w:val="00B716CB"/>
    <w:rsid w:val="00BA5A5E"/>
    <w:rsid w:val="00BB31DB"/>
    <w:rsid w:val="00DB687D"/>
    <w:rsid w:val="00E16D52"/>
    <w:rsid w:val="00E93DAB"/>
    <w:rsid w:val="00EE00E1"/>
    <w:rsid w:val="00F0638D"/>
    <w:rsid w:val="00F8066F"/>
    <w:rsid w:val="00FF1EEB"/>
    <w:rsid w:val="00FF421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43B34B"/>
  <w15:chartTrackingRefBased/>
  <w15:docId w15:val="{D84AAB0A-03C5-49FC-996B-74CF651E9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5E86"/>
    <w:pPr>
      <w:spacing w:line="256" w:lineRule="auto"/>
    </w:pPr>
    <w:rPr>
      <w:kern w:val="0"/>
    </w:rPr>
  </w:style>
  <w:style w:type="paragraph" w:styleId="Heading1">
    <w:name w:val="heading 1"/>
    <w:basedOn w:val="Normal"/>
    <w:next w:val="Normal"/>
    <w:link w:val="Heading1Char"/>
    <w:uiPriority w:val="9"/>
    <w:qFormat/>
    <w:rsid w:val="00085E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85E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85E8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85E8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85E8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85E8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5E8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5E8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5E8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5E8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85E8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85E8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5E8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85E8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5E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5E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5E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5E86"/>
    <w:rPr>
      <w:rFonts w:eastAsiaTheme="majorEastAsia" w:cstheme="majorBidi"/>
      <w:color w:val="272727" w:themeColor="text1" w:themeTint="D8"/>
    </w:rPr>
  </w:style>
  <w:style w:type="paragraph" w:styleId="Title">
    <w:name w:val="Title"/>
    <w:basedOn w:val="Normal"/>
    <w:next w:val="Normal"/>
    <w:link w:val="TitleChar"/>
    <w:uiPriority w:val="10"/>
    <w:qFormat/>
    <w:rsid w:val="00085E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5E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5E8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5E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5E86"/>
    <w:pPr>
      <w:spacing w:before="160"/>
      <w:jc w:val="center"/>
    </w:pPr>
    <w:rPr>
      <w:i/>
      <w:iCs/>
      <w:color w:val="404040" w:themeColor="text1" w:themeTint="BF"/>
    </w:rPr>
  </w:style>
  <w:style w:type="character" w:customStyle="1" w:styleId="QuoteChar">
    <w:name w:val="Quote Char"/>
    <w:basedOn w:val="DefaultParagraphFont"/>
    <w:link w:val="Quote"/>
    <w:uiPriority w:val="29"/>
    <w:rsid w:val="00085E86"/>
    <w:rPr>
      <w:i/>
      <w:iCs/>
      <w:color w:val="404040" w:themeColor="text1" w:themeTint="BF"/>
    </w:rPr>
  </w:style>
  <w:style w:type="paragraph" w:styleId="ListParagraph">
    <w:name w:val="List Paragraph"/>
    <w:basedOn w:val="Normal"/>
    <w:uiPriority w:val="34"/>
    <w:qFormat/>
    <w:rsid w:val="00085E86"/>
    <w:pPr>
      <w:ind w:left="720"/>
      <w:contextualSpacing/>
    </w:pPr>
  </w:style>
  <w:style w:type="character" w:styleId="IntenseEmphasis">
    <w:name w:val="Intense Emphasis"/>
    <w:basedOn w:val="DefaultParagraphFont"/>
    <w:uiPriority w:val="21"/>
    <w:qFormat/>
    <w:rsid w:val="00085E86"/>
    <w:rPr>
      <w:i/>
      <w:iCs/>
      <w:color w:val="0F4761" w:themeColor="accent1" w:themeShade="BF"/>
    </w:rPr>
  </w:style>
  <w:style w:type="paragraph" w:styleId="IntenseQuote">
    <w:name w:val="Intense Quote"/>
    <w:basedOn w:val="Normal"/>
    <w:next w:val="Normal"/>
    <w:link w:val="IntenseQuoteChar"/>
    <w:uiPriority w:val="30"/>
    <w:qFormat/>
    <w:rsid w:val="00085E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5E86"/>
    <w:rPr>
      <w:i/>
      <w:iCs/>
      <w:color w:val="0F4761" w:themeColor="accent1" w:themeShade="BF"/>
    </w:rPr>
  </w:style>
  <w:style w:type="character" w:styleId="IntenseReference">
    <w:name w:val="Intense Reference"/>
    <w:basedOn w:val="DefaultParagraphFont"/>
    <w:uiPriority w:val="32"/>
    <w:qFormat/>
    <w:rsid w:val="00085E86"/>
    <w:rPr>
      <w:b/>
      <w:bCs/>
      <w:smallCaps/>
      <w:color w:val="0F4761" w:themeColor="accent1" w:themeShade="BF"/>
      <w:spacing w:val="5"/>
    </w:rPr>
  </w:style>
  <w:style w:type="character" w:styleId="Hyperlink">
    <w:name w:val="Hyperlink"/>
    <w:basedOn w:val="DefaultParagraphFont"/>
    <w:uiPriority w:val="99"/>
    <w:semiHidden/>
    <w:unhideWhenUsed/>
    <w:rsid w:val="00085E86"/>
    <w:rPr>
      <w:color w:val="467886" w:themeColor="hyperlink"/>
      <w:u w:val="single"/>
    </w:rPr>
  </w:style>
  <w:style w:type="paragraph" w:customStyle="1" w:styleId="Compact">
    <w:name w:val="Compact"/>
    <w:basedOn w:val="BodyText"/>
    <w:qFormat/>
    <w:rsid w:val="00085E86"/>
    <w:pPr>
      <w:spacing w:before="36" w:after="36" w:line="240" w:lineRule="auto"/>
    </w:pPr>
    <w:rPr>
      <w:sz w:val="24"/>
      <w:szCs w:val="24"/>
      <w:lang w:val="en-US"/>
    </w:rPr>
  </w:style>
  <w:style w:type="table" w:styleId="GridTable1Light-Accent5">
    <w:name w:val="Grid Table 1 Light Accent 5"/>
    <w:basedOn w:val="TableNormal"/>
    <w:uiPriority w:val="46"/>
    <w:rsid w:val="00085E86"/>
    <w:pPr>
      <w:spacing w:after="0" w:line="240" w:lineRule="auto"/>
    </w:pPr>
    <w:rPr>
      <w:kern w:val="0"/>
      <w:lang w:val="en-GB"/>
    </w:r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table" w:customStyle="1" w:styleId="TableGrid1">
    <w:name w:val="Table Grid1"/>
    <w:basedOn w:val="TableNormal"/>
    <w:uiPriority w:val="39"/>
    <w:rsid w:val="00085E86"/>
    <w:pPr>
      <w:spacing w:after="0" w:line="240" w:lineRule="auto"/>
    </w:pPr>
    <w:rPr>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rsid w:val="00085E86"/>
    <w:pPr>
      <w:spacing w:after="0" w:line="240" w:lineRule="auto"/>
    </w:pPr>
    <w:rPr>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085E8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085E86"/>
    <w:pPr>
      <w:spacing w:after="120"/>
    </w:pPr>
  </w:style>
  <w:style w:type="character" w:customStyle="1" w:styleId="BodyTextChar">
    <w:name w:val="Body Text Char"/>
    <w:basedOn w:val="DefaultParagraphFont"/>
    <w:link w:val="BodyText"/>
    <w:uiPriority w:val="99"/>
    <w:semiHidden/>
    <w:rsid w:val="00085E86"/>
    <w:rPr>
      <w:kern w:val="0"/>
      <w14:ligatures w14:val="none"/>
    </w:rPr>
  </w:style>
  <w:style w:type="character" w:styleId="LineNumber">
    <w:name w:val="line number"/>
    <w:basedOn w:val="DefaultParagraphFont"/>
    <w:uiPriority w:val="99"/>
    <w:semiHidden/>
    <w:unhideWhenUsed/>
    <w:rsid w:val="00BB31DB"/>
  </w:style>
  <w:style w:type="paragraph" w:styleId="Bibliography">
    <w:name w:val="Bibliography"/>
    <w:basedOn w:val="Normal"/>
    <w:next w:val="Normal"/>
    <w:uiPriority w:val="37"/>
    <w:unhideWhenUsed/>
    <w:rsid w:val="00780AED"/>
    <w:pPr>
      <w:tabs>
        <w:tab w:val="left" w:pos="384"/>
      </w:tabs>
      <w:spacing w:after="0" w:line="480" w:lineRule="auto"/>
      <w:ind w:left="384" w:hanging="3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www.barcsa.co.za/test-directory/test-reference-range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176</TotalTime>
  <Pages>8</Pages>
  <Words>2234</Words>
  <Characters>90120</Characters>
  <Application>Microsoft Office Word</Application>
  <DocSecurity>0</DocSecurity>
  <Lines>751</Lines>
  <Paragraphs>184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92170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Deepak Thimiri Govindaraj</dc:creator>
  <cp:keywords/>
  <dc:description/>
  <cp:lastModifiedBy>Ramya M</cp:lastModifiedBy>
  <cp:revision>14</cp:revision>
  <dcterms:created xsi:type="dcterms:W3CDTF">2024-05-14T13:02:00Z</dcterms:created>
  <dcterms:modified xsi:type="dcterms:W3CDTF">2025-03-11T10:36:00Z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34dcaa6c-a347-4ae9-a1eb-3c34e888fe39</vt:lpwstr>
  </property>
  <property fmtid="{D5CDD505-2E9C-101B-9397-08002B2CF9AE}" pid="3" name="ZOTERO_PREF_1">
    <vt:lpwstr>&lt;data data-version="3" zotero-version="7.0.11"&gt;&lt;session id="0kwfacj4"/&gt;&lt;style id="http://www.zotero.org/styles/nature" hasBibliography="1" bibliographyStyleHasBeenSet="1"/&gt;&lt;prefs&gt;&lt;pref name="fieldType" value="Field"/&gt;&lt;pref name="automaticJournalAbbreviati</vt:lpwstr>
  </property>
  <property fmtid="{D5CDD505-2E9C-101B-9397-08002B2CF9AE}" pid="4" name="ZOTERO_PREF_2">
    <vt:lpwstr>ons" value="true"/&gt;&lt;/prefs&gt;&lt;/data&gt;</vt:lpwstr>
  </property>
</Properties>
</file>