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B4831" w14:textId="77777777" w:rsidR="0022388A" w:rsidRPr="0022388A" w:rsidRDefault="0022388A" w:rsidP="0022388A">
      <w:pPr>
        <w:keepNext/>
        <w:tabs>
          <w:tab w:val="left" w:pos="426"/>
        </w:tabs>
        <w:spacing w:after="200" w:line="360" w:lineRule="auto"/>
        <w:jc w:val="both"/>
        <w:rPr>
          <w:rFonts w:ascii="Times New Roman" w:hAnsi="Times New Roman" w:cs="Times New Roman"/>
          <w:spacing w:val="10"/>
          <w:sz w:val="24"/>
          <w:szCs w:val="24"/>
          <w:lang w:val="en-US" w:eastAsia="pt-BR"/>
          <w14:ligatures w14:val="none"/>
        </w:rPr>
      </w:pPr>
      <w:r w:rsidRPr="0022388A">
        <w:rPr>
          <w:rFonts w:ascii="Times New Roman" w:hAnsi="Times New Roman" w:cs="Times New Roman"/>
          <w:b/>
          <w:bCs/>
          <w:spacing w:val="10"/>
          <w:sz w:val="24"/>
          <w:szCs w:val="24"/>
          <w:lang w:val="en-US" w:eastAsia="pt-BR"/>
          <w14:ligatures w14:val="none"/>
        </w:rPr>
        <w:t>Supplementary table 1.</w:t>
      </w:r>
      <w:r w:rsidRPr="0022388A">
        <w:rPr>
          <w:rFonts w:ascii="Times New Roman" w:hAnsi="Times New Roman" w:cs="Times New Roman"/>
          <w:spacing w:val="10"/>
          <w:sz w:val="24"/>
          <w:szCs w:val="24"/>
          <w:lang w:val="en-US" w:eastAsia="pt-BR"/>
          <w14:ligatures w14:val="none"/>
        </w:rPr>
        <w:t xml:space="preserve"> Classification of intensity for requested local clinical adverse events.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2301"/>
        <w:gridCol w:w="2713"/>
        <w:gridCol w:w="2577"/>
        <w:gridCol w:w="2647"/>
        <w:gridCol w:w="146"/>
      </w:tblGrid>
      <w:tr w:rsidR="0022388A" w:rsidRPr="0022388A" w14:paraId="778D7600" w14:textId="77777777" w:rsidTr="007E49FE">
        <w:trPr>
          <w:gridAfter w:val="1"/>
          <w:wAfter w:w="52" w:type="pct"/>
          <w:cantSplit/>
          <w:trHeight w:val="330"/>
        </w:trPr>
        <w:tc>
          <w:tcPr>
            <w:tcW w:w="1293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6A6A6"/>
            </w:tcBorders>
            <w:shd w:val="clear" w:color="000000" w:fill="F2F2F2"/>
            <w:vAlign w:val="center"/>
            <w:hideMark/>
          </w:tcPr>
          <w:p w14:paraId="62ED5F1C" w14:textId="77777777" w:rsidR="0022388A" w:rsidRPr="0022388A" w:rsidRDefault="0022388A" w:rsidP="00223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Requested local adverse event</w:t>
            </w:r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6A6A6"/>
            </w:tcBorders>
            <w:shd w:val="clear" w:color="000000" w:fill="F2F2F2"/>
            <w:vAlign w:val="center"/>
            <w:hideMark/>
          </w:tcPr>
          <w:p w14:paraId="476690CF" w14:textId="77777777" w:rsidR="0022388A" w:rsidRPr="0022388A" w:rsidRDefault="0022388A" w:rsidP="00223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Grade 1</w:t>
            </w:r>
          </w:p>
        </w:tc>
        <w:tc>
          <w:tcPr>
            <w:tcW w:w="969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6A6A6"/>
            </w:tcBorders>
            <w:shd w:val="clear" w:color="000000" w:fill="F2F2F2"/>
            <w:vAlign w:val="center"/>
            <w:hideMark/>
          </w:tcPr>
          <w:p w14:paraId="44CE34A8" w14:textId="77777777" w:rsidR="0022388A" w:rsidRPr="0022388A" w:rsidRDefault="0022388A" w:rsidP="00223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Grade 2</w:t>
            </w:r>
          </w:p>
        </w:tc>
        <w:tc>
          <w:tcPr>
            <w:tcW w:w="920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6A6A6"/>
            </w:tcBorders>
            <w:shd w:val="clear" w:color="000000" w:fill="F2F2F2"/>
            <w:vAlign w:val="center"/>
            <w:hideMark/>
          </w:tcPr>
          <w:p w14:paraId="35C6FA9B" w14:textId="77777777" w:rsidR="0022388A" w:rsidRPr="0022388A" w:rsidRDefault="0022388A" w:rsidP="00223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Grade 3</w:t>
            </w: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D88E387" w14:textId="77777777" w:rsidR="0022388A" w:rsidRPr="0022388A" w:rsidRDefault="0022388A" w:rsidP="00223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Grade 4</w:t>
            </w:r>
          </w:p>
        </w:tc>
      </w:tr>
      <w:tr w:rsidR="0022388A" w:rsidRPr="0022388A" w14:paraId="484DD2F4" w14:textId="77777777" w:rsidTr="007E49FE">
        <w:trPr>
          <w:gridAfter w:val="1"/>
          <w:wAfter w:w="52" w:type="pct"/>
          <w:cantSplit/>
          <w:trHeight w:val="945"/>
        </w:trPr>
        <w:tc>
          <w:tcPr>
            <w:tcW w:w="129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8F4D48A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Pain at the site of administration of the investigational product</w:t>
            </w:r>
          </w:p>
        </w:tc>
        <w:tc>
          <w:tcPr>
            <w:tcW w:w="822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38A7365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Does not interfere with daily activities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179CB8C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Repeated use of non-narcotic analgesic &gt;24 hours OR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8829C3E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Any use of narcotic analgesic OR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0BCF4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Emergency room visit* OR</w:t>
            </w:r>
          </w:p>
        </w:tc>
      </w:tr>
      <w:tr w:rsidR="0022388A" w:rsidRPr="0022388A" w14:paraId="67AE5527" w14:textId="77777777" w:rsidTr="007E49FE">
        <w:trPr>
          <w:gridAfter w:val="1"/>
          <w:wAfter w:w="52" w:type="pct"/>
          <w:trHeight w:val="645"/>
        </w:trPr>
        <w:tc>
          <w:tcPr>
            <w:tcW w:w="129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6CA2AD36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37DBD0E7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6E9F122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Slightly interferes with daily activities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7D45634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Impairs daily activities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FBF338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Hospitalization</w:t>
            </w:r>
          </w:p>
        </w:tc>
      </w:tr>
      <w:tr w:rsidR="0022388A" w:rsidRPr="0022388A" w14:paraId="0E8FD693" w14:textId="77777777" w:rsidTr="007E49FE">
        <w:trPr>
          <w:gridAfter w:val="1"/>
          <w:wAfter w:w="52" w:type="pct"/>
          <w:cantSplit/>
          <w:trHeight w:val="315"/>
        </w:trPr>
        <w:tc>
          <w:tcPr>
            <w:tcW w:w="1293" w:type="pct"/>
            <w:vMerge w:val="restar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605A0A5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 xml:space="preserve">Erythema at the site of administration of the investigational product </w:t>
            </w: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  <w14:ligatures w14:val="none"/>
              </w:rPr>
              <w:t>†</w:t>
            </w:r>
          </w:p>
        </w:tc>
        <w:tc>
          <w:tcPr>
            <w:tcW w:w="822" w:type="pct"/>
            <w:vMerge w:val="restart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0F0ADDD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25 – 50 mm</w:t>
            </w:r>
          </w:p>
        </w:tc>
        <w:tc>
          <w:tcPr>
            <w:tcW w:w="969" w:type="pct"/>
            <w:vMerge w:val="restart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C4ABB8B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51 – 100 mm</w:t>
            </w:r>
          </w:p>
        </w:tc>
        <w:tc>
          <w:tcPr>
            <w:tcW w:w="920" w:type="pct"/>
            <w:vMerge w:val="restart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A09AF8C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&gt; 100 mm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03EA4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Necrosis OR</w:t>
            </w:r>
          </w:p>
        </w:tc>
      </w:tr>
      <w:tr w:rsidR="0022388A" w:rsidRPr="0022388A" w14:paraId="2E0AC23B" w14:textId="77777777" w:rsidTr="007E49FE">
        <w:trPr>
          <w:gridAfter w:val="1"/>
          <w:wAfter w:w="52" w:type="pct"/>
          <w:trHeight w:val="315"/>
        </w:trPr>
        <w:tc>
          <w:tcPr>
            <w:tcW w:w="1293" w:type="pct"/>
            <w:vMerge/>
            <w:tcBorders>
              <w:top w:val="nil"/>
              <w:left w:val="nil"/>
              <w:bottom w:val="nil"/>
              <w:right w:val="single" w:sz="8" w:space="0" w:color="A6A6A6"/>
            </w:tcBorders>
            <w:vAlign w:val="center"/>
            <w:hideMark/>
          </w:tcPr>
          <w:p w14:paraId="3F277355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14:paraId="67806AFA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69" w:type="pct"/>
            <w:vMerge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14:paraId="4494F6A0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14:paraId="21C630FE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24415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Exfoliative dermatitis</w:t>
            </w:r>
          </w:p>
        </w:tc>
      </w:tr>
      <w:tr w:rsidR="0022388A" w:rsidRPr="0022388A" w14:paraId="65DEF7B0" w14:textId="77777777" w:rsidTr="007E49FE">
        <w:trPr>
          <w:gridAfter w:val="1"/>
          <w:wAfter w:w="52" w:type="pct"/>
          <w:trHeight w:val="315"/>
        </w:trPr>
        <w:tc>
          <w:tcPr>
            <w:tcW w:w="129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DCA1AC9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Swelling at the site of administration of the investigational product</w:t>
            </w:r>
          </w:p>
        </w:tc>
        <w:tc>
          <w:tcPr>
            <w:tcW w:w="822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D728A8D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25 – 50 mm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E3A350A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51 – 100 mm OR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A11972E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&gt; 100 mm OR</w:t>
            </w:r>
          </w:p>
        </w:tc>
        <w:tc>
          <w:tcPr>
            <w:tcW w:w="945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E16B51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Necrosis</w:t>
            </w:r>
          </w:p>
        </w:tc>
      </w:tr>
      <w:tr w:rsidR="0022388A" w:rsidRPr="0022388A" w14:paraId="488C836B" w14:textId="77777777" w:rsidTr="007E49FE">
        <w:trPr>
          <w:gridAfter w:val="1"/>
          <w:wAfter w:w="52" w:type="pct"/>
          <w:trHeight w:val="450"/>
        </w:trPr>
        <w:tc>
          <w:tcPr>
            <w:tcW w:w="129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35D0FF0B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2DD51640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69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2C35324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Interferes with daily activities</w:t>
            </w:r>
          </w:p>
        </w:tc>
        <w:tc>
          <w:tcPr>
            <w:tcW w:w="92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A596743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Impairs daily activities</w:t>
            </w:r>
          </w:p>
        </w:tc>
        <w:tc>
          <w:tcPr>
            <w:tcW w:w="945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nil"/>
            </w:tcBorders>
            <w:vAlign w:val="center"/>
            <w:hideMark/>
          </w:tcPr>
          <w:p w14:paraId="52DB77B7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2388A" w:rsidRPr="0022388A" w14:paraId="2A1600FB" w14:textId="77777777" w:rsidTr="007E49FE">
        <w:trPr>
          <w:trHeight w:val="315"/>
        </w:trPr>
        <w:tc>
          <w:tcPr>
            <w:tcW w:w="129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519A74D7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2D813532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69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50E297E1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1FE96EFA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45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nil"/>
            </w:tcBorders>
            <w:vAlign w:val="center"/>
            <w:hideMark/>
          </w:tcPr>
          <w:p w14:paraId="5953374C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4D93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22388A" w:rsidRPr="0022388A" w14:paraId="2FBC6FBD" w14:textId="77777777" w:rsidTr="007E49FE">
        <w:trPr>
          <w:cantSplit/>
          <w:trHeight w:val="315"/>
        </w:trPr>
        <w:tc>
          <w:tcPr>
            <w:tcW w:w="129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9306B56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Induration at the site of administration of the investigational product</w:t>
            </w:r>
          </w:p>
        </w:tc>
        <w:tc>
          <w:tcPr>
            <w:tcW w:w="822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1928707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25 – 50 mm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D52E7A5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51 – 100 mm OR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08D5F16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&gt; 100 mm OR</w:t>
            </w:r>
          </w:p>
        </w:tc>
        <w:tc>
          <w:tcPr>
            <w:tcW w:w="945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85A709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Necrosis</w:t>
            </w:r>
          </w:p>
        </w:tc>
        <w:tc>
          <w:tcPr>
            <w:tcW w:w="52" w:type="pct"/>
            <w:vAlign w:val="center"/>
            <w:hideMark/>
          </w:tcPr>
          <w:p w14:paraId="6465C827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2388A" w:rsidRPr="0022388A" w14:paraId="371FA2BC" w14:textId="77777777" w:rsidTr="007E49FE">
        <w:trPr>
          <w:trHeight w:val="645"/>
        </w:trPr>
        <w:tc>
          <w:tcPr>
            <w:tcW w:w="129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6B176AE4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7C6CA6BC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F456884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Interferes with daily activities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4C77149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Impairs daily activities</w:t>
            </w:r>
          </w:p>
        </w:tc>
        <w:tc>
          <w:tcPr>
            <w:tcW w:w="945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nil"/>
            </w:tcBorders>
            <w:vAlign w:val="center"/>
            <w:hideMark/>
          </w:tcPr>
          <w:p w14:paraId="0251D590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52" w:type="pct"/>
            <w:vAlign w:val="center"/>
            <w:hideMark/>
          </w:tcPr>
          <w:p w14:paraId="187AB933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2388A" w:rsidRPr="0022388A" w14:paraId="672E779B" w14:textId="77777777" w:rsidTr="007E49FE">
        <w:trPr>
          <w:cantSplit/>
          <w:trHeight w:val="315"/>
        </w:trPr>
        <w:tc>
          <w:tcPr>
            <w:tcW w:w="129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3B2E288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Pruritus at the site of administration of the investigational product</w:t>
            </w:r>
          </w:p>
        </w:tc>
        <w:tc>
          <w:tcPr>
            <w:tcW w:w="822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0A96C40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Does not interfere with daily activities</w:t>
            </w:r>
          </w:p>
        </w:tc>
        <w:tc>
          <w:tcPr>
            <w:tcW w:w="969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EAA9BDB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Interferes with daily activities</w:t>
            </w:r>
          </w:p>
        </w:tc>
        <w:tc>
          <w:tcPr>
            <w:tcW w:w="92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229FAC7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Impairs daily activities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64C15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Emergency room visit* OR</w:t>
            </w:r>
          </w:p>
        </w:tc>
        <w:tc>
          <w:tcPr>
            <w:tcW w:w="52" w:type="pct"/>
            <w:vAlign w:val="center"/>
            <w:hideMark/>
          </w:tcPr>
          <w:p w14:paraId="7E218669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2388A" w:rsidRPr="0022388A" w14:paraId="077AABC8" w14:textId="77777777" w:rsidTr="007E49FE">
        <w:trPr>
          <w:trHeight w:val="330"/>
        </w:trPr>
        <w:tc>
          <w:tcPr>
            <w:tcW w:w="129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7CAF731C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71DFF866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69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38494B61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2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6EDD987C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2FBB7E" w14:textId="77777777" w:rsidR="0022388A" w:rsidRPr="0022388A" w:rsidRDefault="0022388A" w:rsidP="0022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223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Hospitalization</w:t>
            </w:r>
          </w:p>
        </w:tc>
        <w:tc>
          <w:tcPr>
            <w:tcW w:w="52" w:type="pct"/>
            <w:vAlign w:val="center"/>
            <w:hideMark/>
          </w:tcPr>
          <w:p w14:paraId="3038A0B9" w14:textId="77777777" w:rsidR="0022388A" w:rsidRPr="0022388A" w:rsidRDefault="0022388A" w:rsidP="00223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081CD194" w14:textId="77777777" w:rsidR="0022388A" w:rsidRPr="0022388A" w:rsidRDefault="0022388A" w:rsidP="0022388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pt-BR"/>
          <w14:ligatures w14:val="none"/>
        </w:rPr>
      </w:pPr>
      <w:r w:rsidRPr="0022388A">
        <w:rPr>
          <w:rFonts w:ascii="Times New Roman" w:hAnsi="Times New Roman" w:cs="Times New Roman"/>
          <w:color w:val="000000" w:themeColor="text1"/>
          <w:sz w:val="24"/>
          <w:szCs w:val="24"/>
          <w:lang w:val="en-US" w:eastAsia="pt-BR"/>
          <w14:ligatures w14:val="none"/>
        </w:rPr>
        <w:t>* Need for 12 hours or more of hospitalization in the ward or emergency room for the management of the adverse event</w:t>
      </w:r>
    </w:p>
    <w:p w14:paraId="54A0DDE7" w14:textId="77777777" w:rsidR="0022388A" w:rsidRPr="0022388A" w:rsidRDefault="0022388A" w:rsidP="0022388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pt-BR"/>
          <w14:ligatures w14:val="none"/>
        </w:rPr>
      </w:pPr>
      <w:r w:rsidRPr="0022388A">
        <w:rPr>
          <w:rFonts w:ascii="Times New Roman" w:hAnsi="Times New Roman" w:cs="Times New Roman"/>
          <w:color w:val="000000" w:themeColor="text1"/>
          <w:sz w:val="24"/>
          <w:szCs w:val="24"/>
          <w:lang w:val="en-US" w:eastAsia="pt-BR"/>
          <w14:ligatures w14:val="none"/>
        </w:rPr>
        <w:t>† The recorded value was measured at the site of the largest diameter and as a continuous variable.</w:t>
      </w:r>
    </w:p>
    <w:p w14:paraId="3A6DB72B" w14:textId="77777777" w:rsidR="0022388A" w:rsidRPr="0022388A" w:rsidRDefault="0022388A" w:rsidP="0022388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pt-BR"/>
          <w14:ligatures w14:val="none"/>
        </w:rPr>
      </w:pPr>
    </w:p>
    <w:p w14:paraId="0289B61E" w14:textId="77777777" w:rsidR="00056E70" w:rsidRPr="0022388A" w:rsidRDefault="00056E70">
      <w:pPr>
        <w:rPr>
          <w:lang w:val="en-US"/>
        </w:rPr>
      </w:pPr>
    </w:p>
    <w:sectPr w:rsidR="00056E70" w:rsidRPr="0022388A" w:rsidSect="00916E9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00"/>
    <w:rsid w:val="00056E70"/>
    <w:rsid w:val="0022388A"/>
    <w:rsid w:val="00363F00"/>
    <w:rsid w:val="00916E95"/>
    <w:rsid w:val="00E17047"/>
    <w:rsid w:val="00E3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EE82"/>
  <w15:chartTrackingRefBased/>
  <w15:docId w15:val="{3326605D-11BC-40EF-8052-8790FBD9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F00"/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RAFAELLA FORTINI GRENFELL E QUEIROZ</dc:creator>
  <cp:keywords/>
  <dc:description/>
  <cp:lastModifiedBy>RAFAELLA FORTINI GRENFELL E QUEIROZ</cp:lastModifiedBy>
  <cp:revision>2</cp:revision>
  <dcterms:created xsi:type="dcterms:W3CDTF">2024-02-05T11:32:00Z</dcterms:created>
  <dcterms:modified xsi:type="dcterms:W3CDTF">2024-02-05T11:32:00Z</dcterms:modified>
</cp:coreProperties>
</file>