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357F4" w14:textId="77777777" w:rsidR="006C7F14" w:rsidRPr="006C7F14" w:rsidRDefault="006C7F14" w:rsidP="006C7F14">
      <w:pPr>
        <w:tabs>
          <w:tab w:val="left" w:pos="426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pt-BR"/>
          <w14:ligatures w14:val="none"/>
        </w:rPr>
      </w:pPr>
      <w:r w:rsidRPr="006C7F14">
        <w:rPr>
          <w:rFonts w:ascii="Times New Roman" w:hAnsi="Times New Roman" w:cs="Times New Roman"/>
          <w:b/>
          <w:bCs/>
          <w:sz w:val="24"/>
          <w:szCs w:val="24"/>
          <w:lang w:val="en-US" w:eastAsia="pt-BR"/>
          <w14:ligatures w14:val="none"/>
        </w:rPr>
        <w:t>Supplementary table 4.</w:t>
      </w:r>
      <w:r w:rsidRPr="006C7F14">
        <w:rPr>
          <w:rFonts w:ascii="Times New Roman" w:hAnsi="Times New Roman" w:cs="Times New Roman"/>
          <w:sz w:val="24"/>
          <w:szCs w:val="24"/>
          <w:lang w:val="en-US" w:eastAsia="pt-BR"/>
          <w14:ligatures w14:val="none"/>
        </w:rPr>
        <w:t xml:space="preserve"> Causal relationship classification of adverse events with the investigational product.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0"/>
        <w:gridCol w:w="2635"/>
        <w:gridCol w:w="2747"/>
        <w:gridCol w:w="2879"/>
        <w:gridCol w:w="2971"/>
      </w:tblGrid>
      <w:tr w:rsidR="006C7F14" w:rsidRPr="006C7F14" w14:paraId="27768C74" w14:textId="77777777" w:rsidTr="007E49FE">
        <w:trPr>
          <w:cantSplit/>
          <w:trHeight w:val="330"/>
        </w:trPr>
        <w:tc>
          <w:tcPr>
            <w:tcW w:w="291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261E962" w14:textId="77777777" w:rsidR="006C7F14" w:rsidRPr="006C7F14" w:rsidRDefault="006C7F14" w:rsidP="006C7F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  <w14:ligatures w14:val="none"/>
              </w:rPr>
              <w:t>Reasonable causal relationship</w:t>
            </w:r>
          </w:p>
        </w:tc>
        <w:tc>
          <w:tcPr>
            <w:tcW w:w="20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14321DB" w14:textId="77777777" w:rsidR="006C7F14" w:rsidRPr="006C7F14" w:rsidRDefault="006C7F14" w:rsidP="006C7F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  <w14:ligatures w14:val="none"/>
              </w:rPr>
              <w:t>Non-reasonable causal relationship</w:t>
            </w:r>
          </w:p>
        </w:tc>
      </w:tr>
      <w:tr w:rsidR="006C7F14" w:rsidRPr="006C7F14" w14:paraId="14EF59F7" w14:textId="77777777" w:rsidTr="007E49FE">
        <w:trPr>
          <w:cantSplit/>
          <w:trHeight w:val="645"/>
        </w:trPr>
        <w:tc>
          <w:tcPr>
            <w:tcW w:w="291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6F2F8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  <w14:ligatures w14:val="none"/>
              </w:rPr>
              <w:t>Adverse event considered as adverse reaction</w:t>
            </w:r>
          </w:p>
        </w:tc>
        <w:tc>
          <w:tcPr>
            <w:tcW w:w="20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D3C9BE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  <w14:ligatures w14:val="none"/>
              </w:rPr>
              <w:t>The adverse event cannot be considered as adverse reaction</w:t>
            </w:r>
          </w:p>
        </w:tc>
      </w:tr>
      <w:tr w:rsidR="006C7F14" w:rsidRPr="006C7F14" w14:paraId="66AC3126" w14:textId="77777777" w:rsidTr="007E49FE">
        <w:trPr>
          <w:cantSplit/>
          <w:trHeight w:val="330"/>
        </w:trPr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B0756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  <w14:ligatures w14:val="none"/>
              </w:rPr>
              <w:t>Certain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54754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  <w14:ligatures w14:val="none"/>
              </w:rPr>
              <w:t>Probable</w:t>
            </w:r>
          </w:p>
        </w:tc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E6098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  <w14:ligatures w14:val="none"/>
              </w:rPr>
              <w:t>Possible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C8374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  <w14:ligatures w14:val="none"/>
              </w:rPr>
              <w:t>Unlikely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DBE9FC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  <w14:ligatures w14:val="none"/>
              </w:rPr>
              <w:t>Not related</w:t>
            </w:r>
          </w:p>
        </w:tc>
      </w:tr>
      <w:tr w:rsidR="006C7F14" w:rsidRPr="006C7F14" w14:paraId="78ACA097" w14:textId="77777777" w:rsidTr="007E49FE">
        <w:trPr>
          <w:cantSplit/>
          <w:trHeight w:val="2220"/>
        </w:trPr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67F61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Event or abnormal laboratory test finding, with a plausible temporal relationship to the administration of the intervention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1A0C1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An adverse event, including an abnormal laboratory test finding, with a reasonable temporal relationship to the administration of the intervention</w:t>
            </w:r>
          </w:p>
        </w:tc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0D0F9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A clinical event, including an abnormal laboratory test finding, with a reasonable temporal relationship to the administration of the intervention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DB787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A clinical event, including an abnormal laboratory test finding, which due to the timing of the intervention administration, makes a relationship unlikely but not impossible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466C12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A clinical event, including an abnormal laboratory test finding, which due to the timing of the intervention administration, makes any relationship nonexistent</w:t>
            </w:r>
          </w:p>
        </w:tc>
      </w:tr>
      <w:tr w:rsidR="006C7F14" w:rsidRPr="006C7F14" w14:paraId="787CAF11" w14:textId="77777777" w:rsidTr="007E49FE">
        <w:trPr>
          <w:trHeight w:val="1260"/>
        </w:trPr>
        <w:tc>
          <w:tcPr>
            <w:tcW w:w="98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9A796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Cannot be explained by concomitant disease or other intervention or medication;</w:t>
            </w:r>
          </w:p>
        </w:tc>
        <w:tc>
          <w:tcPr>
            <w:tcW w:w="94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EDA2B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Unlikely to be attributed to a concomitant disease or other intervention or medication</w:t>
            </w:r>
          </w:p>
        </w:tc>
        <w:tc>
          <w:tcPr>
            <w:tcW w:w="9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471B3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It can also be explained by concomitant disease or other interventions or medications</w:t>
            </w:r>
          </w:p>
        </w:tc>
        <w:tc>
          <w:tcPr>
            <w:tcW w:w="10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A9DD8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Another disease or another medication provides a plausible explanation</w:t>
            </w:r>
          </w:p>
        </w:tc>
        <w:tc>
          <w:tcPr>
            <w:tcW w:w="106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963BB1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Another disease or another medication provides a plausible explanation</w:t>
            </w:r>
          </w:p>
        </w:tc>
      </w:tr>
      <w:tr w:rsidR="006C7F14" w:rsidRPr="006C7F14" w14:paraId="4921C32C" w14:textId="77777777" w:rsidTr="007E49FE">
        <w:trPr>
          <w:trHeight w:val="2220"/>
        </w:trPr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5211A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The event is pharmacologically or phenomenologically defined (an objective and specific disorder or a pharmacologically recognized phenomenon)</w:t>
            </w:r>
          </w:p>
        </w:tc>
        <w:tc>
          <w:tcPr>
            <w:tcW w:w="94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E3BB15" w14:textId="77777777" w:rsidR="006C7F14" w:rsidRPr="006C7F14" w:rsidRDefault="006C7F14" w:rsidP="006C7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9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8D1043" w14:textId="77777777" w:rsidR="006C7F14" w:rsidRPr="006C7F14" w:rsidRDefault="006C7F14" w:rsidP="006C7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10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5A917" w14:textId="77777777" w:rsidR="006C7F14" w:rsidRPr="006C7F14" w:rsidRDefault="006C7F14" w:rsidP="006C7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10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B24AD85" w14:textId="77777777" w:rsidR="006C7F14" w:rsidRPr="006C7F14" w:rsidRDefault="006C7F14" w:rsidP="006C7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</w:p>
        </w:tc>
      </w:tr>
      <w:tr w:rsidR="006C7F14" w:rsidRPr="006C7F14" w14:paraId="4C074E2E" w14:textId="77777777" w:rsidTr="007E49FE">
        <w:trPr>
          <w:trHeight w:val="1590"/>
        </w:trPr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95291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lastRenderedPageBreak/>
              <w:t>The response to discontinuation or withdrawal is plausible (pharmacologically, pathologically)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14783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The response to discontinuation or withdrawal is clinically reasonable</w:t>
            </w:r>
          </w:p>
        </w:tc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14755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Lack of information or still unclear about treatment discontinuation or withdrawal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A3A15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  <w14:ligatures w14:val="none"/>
              </w:rPr>
            </w:pPr>
            <w:r w:rsidRPr="006C7F14">
              <w:rPr>
                <w:rFonts w:ascii="Calibri" w:eastAsia="Times New Roman" w:hAnsi="Calibri" w:cs="Calibri"/>
                <w:color w:val="000000"/>
                <w:lang w:eastAsia="pt-BR"/>
                <w14:ligatures w14:val="none"/>
              </w:rPr>
              <w:t>-----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0305ED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  <w14:ligatures w14:val="none"/>
              </w:rPr>
            </w:pPr>
            <w:r w:rsidRPr="006C7F14">
              <w:rPr>
                <w:rFonts w:ascii="Calibri" w:eastAsia="Times New Roman" w:hAnsi="Calibri" w:cs="Calibri"/>
                <w:color w:val="000000"/>
                <w:lang w:eastAsia="pt-BR"/>
                <w14:ligatures w14:val="none"/>
              </w:rPr>
              <w:t>-----</w:t>
            </w:r>
          </w:p>
        </w:tc>
      </w:tr>
      <w:tr w:rsidR="006C7F14" w:rsidRPr="006C7F14" w14:paraId="0E269E18" w14:textId="77777777" w:rsidTr="007E49FE">
        <w:trPr>
          <w:trHeight w:val="645"/>
        </w:trPr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F28EE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Satisfactory reexposure, if necessary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213B8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6C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No reexposure required</w:t>
            </w:r>
          </w:p>
        </w:tc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B4AD7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  <w14:ligatures w14:val="none"/>
              </w:rPr>
            </w:pPr>
            <w:r w:rsidRPr="006C7F14">
              <w:rPr>
                <w:rFonts w:ascii="Calibri" w:eastAsia="Times New Roman" w:hAnsi="Calibri" w:cs="Calibri"/>
                <w:color w:val="000000"/>
                <w:lang w:eastAsia="pt-BR"/>
                <w14:ligatures w14:val="none"/>
              </w:rPr>
              <w:t>-----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30182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  <w14:ligatures w14:val="none"/>
              </w:rPr>
            </w:pPr>
            <w:r w:rsidRPr="006C7F14">
              <w:rPr>
                <w:rFonts w:ascii="Calibri" w:eastAsia="Times New Roman" w:hAnsi="Calibri" w:cs="Calibri"/>
                <w:color w:val="000000"/>
                <w:lang w:eastAsia="pt-BR"/>
                <w14:ligatures w14:val="none"/>
              </w:rPr>
              <w:t>-----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2DA52D" w14:textId="77777777" w:rsidR="006C7F14" w:rsidRPr="006C7F14" w:rsidRDefault="006C7F14" w:rsidP="006C7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  <w14:ligatures w14:val="none"/>
              </w:rPr>
            </w:pPr>
            <w:r w:rsidRPr="006C7F14">
              <w:rPr>
                <w:rFonts w:ascii="Calibri" w:eastAsia="Times New Roman" w:hAnsi="Calibri" w:cs="Calibri"/>
                <w:color w:val="000000"/>
                <w:lang w:eastAsia="pt-BR"/>
                <w14:ligatures w14:val="none"/>
              </w:rPr>
              <w:t>-----</w:t>
            </w:r>
          </w:p>
        </w:tc>
      </w:tr>
    </w:tbl>
    <w:p w14:paraId="7A8BC406" w14:textId="77777777" w:rsidR="006C7F14" w:rsidRPr="006C7F14" w:rsidRDefault="006C7F14" w:rsidP="006C7F14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pt-BR"/>
          <w14:ligatures w14:val="none"/>
        </w:rPr>
      </w:pPr>
      <w:r w:rsidRPr="006C7F14">
        <w:rPr>
          <w:rFonts w:ascii="Times New Roman" w:hAnsi="Times New Roman" w:cs="Times New Roman"/>
          <w:color w:val="000000" w:themeColor="text1"/>
          <w:sz w:val="24"/>
          <w:szCs w:val="24"/>
          <w:lang w:val="en-US" w:eastAsia="pt-BR"/>
          <w14:ligatures w14:val="none"/>
        </w:rPr>
        <w:t>* Need for 12 hours or more of hospitalization in the ward or emergency room for the management of the adverse event</w:t>
      </w:r>
    </w:p>
    <w:p w14:paraId="5EEC1B0E" w14:textId="77777777" w:rsidR="006C7F14" w:rsidRPr="006C7F14" w:rsidRDefault="006C7F14" w:rsidP="006C7F14">
      <w:pPr>
        <w:tabs>
          <w:tab w:val="left" w:pos="426"/>
        </w:tabs>
        <w:spacing w:after="0"/>
        <w:jc w:val="both"/>
        <w:rPr>
          <w:lang w:val="en-US"/>
          <w14:ligatures w14:val="none"/>
        </w:rPr>
      </w:pPr>
      <w:r w:rsidRPr="006C7F14">
        <w:rPr>
          <w:rFonts w:ascii="Times New Roman" w:hAnsi="Times New Roman" w:cs="Times New Roman"/>
          <w:color w:val="000000" w:themeColor="text1"/>
          <w:sz w:val="24"/>
          <w:szCs w:val="24"/>
          <w:lang w:val="en-US" w:eastAsia="pt-BR"/>
          <w14:ligatures w14:val="none"/>
        </w:rPr>
        <w:t>† The recorded value was measured at the site of the largest diameter and as a continuous variable.</w:t>
      </w:r>
    </w:p>
    <w:p w14:paraId="0289B61E" w14:textId="77777777" w:rsidR="00056E70" w:rsidRPr="006C7F14" w:rsidRDefault="00056E70" w:rsidP="006C7F14">
      <w:pPr>
        <w:rPr>
          <w:lang w:val="en-US"/>
        </w:rPr>
      </w:pPr>
    </w:p>
    <w:sectPr w:rsidR="00056E70" w:rsidRPr="006C7F14" w:rsidSect="00FF3C25">
      <w:pgSz w:w="16838" w:h="11906" w:orient="landscape"/>
      <w:pgMar w:top="1701" w:right="1418" w:bottom="170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00"/>
    <w:rsid w:val="00056E70"/>
    <w:rsid w:val="0022388A"/>
    <w:rsid w:val="00363F00"/>
    <w:rsid w:val="005911D8"/>
    <w:rsid w:val="006C7F14"/>
    <w:rsid w:val="00B37E17"/>
    <w:rsid w:val="00E17047"/>
    <w:rsid w:val="00E325A1"/>
    <w:rsid w:val="00FF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EE82"/>
  <w15:chartTrackingRefBased/>
  <w15:docId w15:val="{3326605D-11BC-40EF-8052-8790FBD9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F00"/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RAFAELLA FORTINI GRENFELL E QUEIROZ</dc:creator>
  <cp:keywords/>
  <dc:description/>
  <cp:lastModifiedBy>RAFAELLA FORTINI GRENFELL E QUEIROZ</cp:lastModifiedBy>
  <cp:revision>2</cp:revision>
  <dcterms:created xsi:type="dcterms:W3CDTF">2024-02-05T11:33:00Z</dcterms:created>
  <dcterms:modified xsi:type="dcterms:W3CDTF">2024-02-05T11:33:00Z</dcterms:modified>
</cp:coreProperties>
</file>