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43C60">
      <w:pPr>
        <w:rPr>
          <w:rStyle w:val="8"/>
          <w:rFonts w:eastAsia="等线"/>
          <w:color w:val="000000" w:themeColor="text1"/>
        </w:rPr>
      </w:pPr>
      <w:bookmarkStart w:id="23" w:name="_GoBack"/>
      <w:bookmarkEnd w:id="23"/>
      <w:r>
        <w:rPr>
          <w:rStyle w:val="8"/>
          <w:rFonts w:hint="eastAsia" w:eastAsia="等线"/>
          <w:color w:val="000000" w:themeColor="text1"/>
        </w:rPr>
        <w:t>Table S1.</w:t>
      </w:r>
      <w:r>
        <w:rPr>
          <w:rStyle w:val="8"/>
          <w:rFonts w:eastAsia="等线"/>
          <w:color w:val="000000" w:themeColor="text1"/>
        </w:rPr>
        <w:t xml:space="preserve"> Chemical composition and the lower limit of detection of mVOCs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6214"/>
        <w:gridCol w:w="1780"/>
      </w:tblGrid>
      <w:tr w14:paraId="28C99AA4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6F9D012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Variable code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7541D336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Analyte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7950B8AC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LLOD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(ug/mL)</w:t>
            </w:r>
          </w:p>
        </w:tc>
      </w:tr>
      <w:tr w14:paraId="57268EA9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593E5EAB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URX2MH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48C29ED6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bookmarkStart w:id="0" w:name="_Hlk170991478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Urinary 2-Methylhippuric acid</w:t>
            </w:r>
            <w:bookmarkEnd w:id="0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6D5453F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</w:t>
            </w:r>
          </w:p>
        </w:tc>
      </w:tr>
      <w:tr w14:paraId="5C01A52C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7D3BD883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URX34M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7BEE01B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" w:name="_Hlk170911001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3- and 4-Methylhippuric acid </w:t>
            </w:r>
            <w:bookmarkEnd w:id="1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74C59C14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8</w:t>
            </w:r>
          </w:p>
        </w:tc>
      </w:tr>
      <w:tr w14:paraId="2B3438E0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462A7734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URXAAM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662BE72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2" w:name="_Hlk170910834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N-Acetyl-S-(2-carbamoylethyl)-L-cysteine</w:t>
            </w:r>
            <w:bookmarkEnd w:id="2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3D4F6DC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2.2</w:t>
            </w:r>
          </w:p>
        </w:tc>
      </w:tr>
      <w:tr w14:paraId="251120CD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0D76B654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URXAMC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1E3D7CE6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3" w:name="_Hlk170910850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N-Acetyl-S-(N-methylcarbamoyl)-L-cysteine</w:t>
            </w:r>
            <w:bookmarkEnd w:id="3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37ED48D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6.26</w:t>
            </w:r>
          </w:p>
        </w:tc>
      </w:tr>
      <w:tr w14:paraId="16E3FB26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1D241C23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URXATC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0D581F0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4" w:name="_Hlk170910864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2-Aminothiazoline-4-carboxylic acid</w:t>
            </w:r>
            <w:bookmarkEnd w:id="4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08AAAE0E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15</w:t>
            </w:r>
          </w:p>
        </w:tc>
      </w:tr>
      <w:tr w14:paraId="174F0CBC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43268CC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URXBMA 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8F3ECC3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bookmarkStart w:id="5" w:name="_Hlk170991601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Urinary N-Acetyl-S-(benzyl)-L-cysteine</w:t>
            </w:r>
            <w:bookmarkEnd w:id="5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00CEC458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0.5</w:t>
            </w:r>
          </w:p>
        </w:tc>
      </w:tr>
      <w:tr w14:paraId="3CF41149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4EA8349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URXBPM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25F6048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6" w:name="_Hlk170910815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N-Acetyl-S-(n-propyl)-L-cysteine</w:t>
            </w:r>
            <w:bookmarkEnd w:id="6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6A182FF1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</w:p>
        </w:tc>
      </w:tr>
      <w:tr w14:paraId="540F4C28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7A47E41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URXCEM 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306975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Urinary</w:t>
            </w:r>
            <w:bookmarkStart w:id="7" w:name="_Hlk170991685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N-Acetyl-S-(2-carboxyethyl)-L-cysteine</w:t>
            </w:r>
            <w:bookmarkEnd w:id="7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1EE8624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6.96</w:t>
            </w:r>
          </w:p>
        </w:tc>
      </w:tr>
      <w:tr w14:paraId="6ED6859E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69E978D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URXCYM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CCEAA6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8" w:name="_Hlk170910880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N-Acetyl-S-(2-cyanoethyl)-L-cysteine</w:t>
            </w:r>
            <w:bookmarkEnd w:id="8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5F6CDFE7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0.5</w:t>
            </w:r>
          </w:p>
        </w:tc>
      </w:tr>
      <w:tr w14:paraId="0172FB7B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36D10366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URXDHB 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0B7C236B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9" w:name="_Hlk170910936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N-Acetyl-S-(3,4-dihydroxybutyl)-L-cysteine</w:t>
            </w:r>
            <w:bookmarkEnd w:id="9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34677EA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5.25</w:t>
            </w:r>
          </w:p>
        </w:tc>
      </w:tr>
      <w:tr w14:paraId="0F5FCD63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3326483E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URXGAM 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5EAE52F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Urinary N-Acetyl-S-(2-carbamoyl-2-hydroxyethyl)-L-cysteine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60B15D93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9.4</w:t>
            </w:r>
          </w:p>
        </w:tc>
      </w:tr>
      <w:tr w14:paraId="0657CD61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6957018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URXHEM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49E2FC46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0" w:name="_Hlk170910794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N-Acetyl-S-(2-hydroxyethyl)-L-cysteine</w:t>
            </w:r>
            <w:bookmarkEnd w:id="10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23F4EDE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0.791</w:t>
            </w:r>
          </w:p>
        </w:tc>
      </w:tr>
      <w:tr w14:paraId="249DE457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716EAB8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URXHP2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DB710BE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1" w:name="_Hlk170910961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N-Acetyl-S-(2-hydroxypropyl)-L-cysteine</w:t>
            </w:r>
            <w:bookmarkEnd w:id="11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330A1394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5.3</w:t>
            </w:r>
          </w:p>
        </w:tc>
      </w:tr>
      <w:tr w14:paraId="2D1136B1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584DB3B2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URXHPM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7F3A88E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2" w:name="_Hlk170910978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N-Acetyl-S-(3-hydroxypropyl)-L-cysteine </w:t>
            </w:r>
            <w:bookmarkEnd w:id="12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199610D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13</w:t>
            </w:r>
          </w:p>
        </w:tc>
      </w:tr>
      <w:tr w14:paraId="65DCA19A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086BE052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URXMAD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2D89703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3" w:name="_Hlk170910989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Mandelic acid </w:t>
            </w:r>
            <w:bookmarkEnd w:id="13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0CA30AA9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12</w:t>
            </w:r>
          </w:p>
        </w:tc>
      </w:tr>
      <w:tr w14:paraId="01DA4AF8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5C30713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URXMB3 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4974A792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4" w:name="_Hlk170911012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N-Acetyl-S-(4-hydroxy-2-butenyl)-L-cysteine</w:t>
            </w:r>
            <w:bookmarkEnd w:id="14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1B4D5C4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0.6</w:t>
            </w:r>
          </w:p>
        </w:tc>
      </w:tr>
      <w:tr w14:paraId="2B138694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2E7AB588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URXPHG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3492E70B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5" w:name="_Hlk170911019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Phenylglyoxylic acid </w:t>
            </w:r>
            <w:bookmarkEnd w:id="15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02B66A2A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12</w:t>
            </w:r>
          </w:p>
        </w:tc>
      </w:tr>
      <w:tr w14:paraId="7CFEA765">
        <w:trPr>
          <w:trHeight w:val="270" w:hRule="atLeast"/>
        </w:trPr>
        <w:tc>
          <w:tcPr>
            <w:tcW w:w="988" w:type="pct"/>
            <w:shd w:val="clear" w:color="auto" w:fill="auto"/>
            <w:noWrap/>
            <w:vAlign w:val="center"/>
          </w:tcPr>
          <w:p w14:paraId="271EB3E3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URXPMM </w:t>
            </w:r>
          </w:p>
        </w:tc>
        <w:tc>
          <w:tcPr>
            <w:tcW w:w="3119" w:type="pct"/>
            <w:shd w:val="clear" w:color="auto" w:fill="auto"/>
            <w:noWrap/>
            <w:vAlign w:val="center"/>
          </w:tcPr>
          <w:p w14:paraId="5FE7C6F5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Urinary </w:t>
            </w:r>
            <w:bookmarkStart w:id="16" w:name="_Hlk170991745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N-Acetyl-S-(3-hydroxypropyl-1-methyl)-L-cysteine </w:t>
            </w:r>
            <w:bookmarkEnd w:id="16"/>
          </w:p>
        </w:tc>
        <w:tc>
          <w:tcPr>
            <w:tcW w:w="893" w:type="pct"/>
            <w:shd w:val="clear" w:color="auto" w:fill="auto"/>
            <w:noWrap/>
            <w:vAlign w:val="center"/>
          </w:tcPr>
          <w:p w14:paraId="59C88762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1.13</w:t>
            </w:r>
          </w:p>
        </w:tc>
      </w:tr>
    </w:tbl>
    <w:p w14:paraId="5068C401">
      <w:pPr>
        <w:ind w:firstLine="480"/>
        <w:rPr>
          <w:rFonts w:hint="eastAsia"/>
          <w:color w:val="000000" w:themeColor="text1"/>
        </w:rPr>
      </w:pPr>
    </w:p>
    <w:p w14:paraId="5E342D02">
      <w:pPr>
        <w:ind w:firstLine="480"/>
        <w:rPr>
          <w:rFonts w:hint="eastAsia"/>
          <w:color w:val="000000" w:themeColor="text1"/>
        </w:rPr>
      </w:pPr>
    </w:p>
    <w:p w14:paraId="12AF8CFB">
      <w:pPr>
        <w:ind w:firstLine="480"/>
        <w:rPr>
          <w:rFonts w:hint="eastAsia"/>
          <w:color w:val="000000" w:themeColor="text1"/>
        </w:rPr>
      </w:pPr>
    </w:p>
    <w:p w14:paraId="73C03832">
      <w:pPr>
        <w:rPr>
          <w:rStyle w:val="8"/>
          <w:rFonts w:eastAsia="等线"/>
          <w:color w:val="000000" w:themeColor="text1"/>
        </w:rPr>
      </w:pPr>
      <w:r>
        <w:rPr>
          <w:rStyle w:val="8"/>
          <w:rFonts w:eastAsia="等线"/>
          <w:color w:val="000000" w:themeColor="text1"/>
        </w:rPr>
        <w:t>Table</w:t>
      </w:r>
      <w:r>
        <w:rPr>
          <w:rStyle w:val="8"/>
          <w:rFonts w:hint="eastAsia" w:eastAsia="等线"/>
          <w:color w:val="000000" w:themeColor="text1"/>
        </w:rPr>
        <w:t xml:space="preserve"> </w:t>
      </w:r>
      <w:r>
        <w:rPr>
          <w:rStyle w:val="8"/>
          <w:rFonts w:eastAsia="等线"/>
          <w:color w:val="000000" w:themeColor="text1"/>
        </w:rPr>
        <w:t>S2. Detection rate of volatile organic compound metabolites (mVOCs)</w:t>
      </w:r>
    </w:p>
    <w:tbl>
      <w:tblPr>
        <w:tblStyle w:val="5"/>
        <w:tblW w:w="99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88"/>
        <w:gridCol w:w="2188"/>
        <w:gridCol w:w="2188"/>
        <w:gridCol w:w="2188"/>
      </w:tblGrid>
      <w:tr w14:paraId="082C2C69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038CD2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mVOCs    </w:t>
            </w:r>
          </w:p>
        </w:tc>
        <w:tc>
          <w:tcPr>
            <w:tcW w:w="2188" w:type="dxa"/>
            <w:shd w:val="clear" w:color="auto" w:fill="auto"/>
            <w:noWrap/>
          </w:tcPr>
          <w:p w14:paraId="0E2315BB">
            <w:pPr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Total non-missing cases</w:t>
            </w:r>
          </w:p>
        </w:tc>
        <w:tc>
          <w:tcPr>
            <w:tcW w:w="2188" w:type="dxa"/>
            <w:shd w:val="clear" w:color="auto" w:fill="auto"/>
            <w:noWrap/>
          </w:tcPr>
          <w:p w14:paraId="73056220">
            <w:pPr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At or above LLOD cases</w:t>
            </w:r>
          </w:p>
        </w:tc>
        <w:tc>
          <w:tcPr>
            <w:tcW w:w="2188" w:type="dxa"/>
            <w:shd w:val="clear" w:color="auto" w:fill="auto"/>
            <w:noWrap/>
          </w:tcPr>
          <w:p w14:paraId="3092527F">
            <w:pPr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Below LLOD cases </w:t>
            </w:r>
          </w:p>
        </w:tc>
        <w:tc>
          <w:tcPr>
            <w:tcW w:w="2188" w:type="dxa"/>
            <w:shd w:val="clear" w:color="auto" w:fill="auto"/>
            <w:noWrap/>
          </w:tcPr>
          <w:p w14:paraId="7873A920">
            <w:pPr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Detection rate (%)</w:t>
            </w:r>
          </w:p>
        </w:tc>
      </w:tr>
      <w:tr w14:paraId="502BC3E9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21B06E5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URXPMM </w:t>
            </w:r>
          </w:p>
        </w:tc>
        <w:tc>
          <w:tcPr>
            <w:tcW w:w="2188" w:type="dxa"/>
            <w:shd w:val="clear" w:color="auto" w:fill="auto"/>
            <w:noWrap/>
          </w:tcPr>
          <w:p w14:paraId="0884FFC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10729</w:t>
            </w:r>
          </w:p>
        </w:tc>
        <w:tc>
          <w:tcPr>
            <w:tcW w:w="2188" w:type="dxa"/>
            <w:shd w:val="clear" w:color="auto" w:fill="auto"/>
            <w:noWrap/>
          </w:tcPr>
          <w:p w14:paraId="715553C6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10729</w:t>
            </w:r>
          </w:p>
        </w:tc>
        <w:tc>
          <w:tcPr>
            <w:tcW w:w="2188" w:type="dxa"/>
            <w:shd w:val="clear" w:color="auto" w:fill="auto"/>
            <w:noWrap/>
          </w:tcPr>
          <w:p w14:paraId="717BD501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2188" w:type="dxa"/>
            <w:shd w:val="clear" w:color="auto" w:fill="auto"/>
            <w:noWrap/>
          </w:tcPr>
          <w:p w14:paraId="36A76DCB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100.00 </w:t>
            </w:r>
          </w:p>
        </w:tc>
      </w:tr>
      <w:tr w14:paraId="28086DE9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A07A034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URXDHB </w:t>
            </w:r>
          </w:p>
        </w:tc>
        <w:tc>
          <w:tcPr>
            <w:tcW w:w="2188" w:type="dxa"/>
            <w:shd w:val="clear" w:color="auto" w:fill="auto"/>
            <w:noWrap/>
          </w:tcPr>
          <w:p w14:paraId="5199CD9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10451</w:t>
            </w:r>
          </w:p>
        </w:tc>
        <w:tc>
          <w:tcPr>
            <w:tcW w:w="2188" w:type="dxa"/>
            <w:shd w:val="clear" w:color="auto" w:fill="auto"/>
            <w:noWrap/>
          </w:tcPr>
          <w:p w14:paraId="14703C5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10449</w:t>
            </w:r>
          </w:p>
        </w:tc>
        <w:tc>
          <w:tcPr>
            <w:tcW w:w="2188" w:type="dxa"/>
            <w:shd w:val="clear" w:color="auto" w:fill="auto"/>
            <w:noWrap/>
          </w:tcPr>
          <w:p w14:paraId="30C7E1CC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188" w:type="dxa"/>
            <w:shd w:val="clear" w:color="auto" w:fill="auto"/>
            <w:noWrap/>
          </w:tcPr>
          <w:p w14:paraId="7F2E232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99.98 </w:t>
            </w:r>
          </w:p>
        </w:tc>
      </w:tr>
      <w:tr w14:paraId="208BC62B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666D412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URXAAM </w:t>
            </w:r>
          </w:p>
        </w:tc>
        <w:tc>
          <w:tcPr>
            <w:tcW w:w="2188" w:type="dxa"/>
            <w:shd w:val="clear" w:color="auto" w:fill="auto"/>
            <w:noWrap/>
          </w:tcPr>
          <w:p w14:paraId="0869A09C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10647</w:t>
            </w:r>
          </w:p>
        </w:tc>
        <w:tc>
          <w:tcPr>
            <w:tcW w:w="2188" w:type="dxa"/>
            <w:shd w:val="clear" w:color="auto" w:fill="auto"/>
            <w:noWrap/>
          </w:tcPr>
          <w:p w14:paraId="5743249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10636</w:t>
            </w:r>
          </w:p>
        </w:tc>
        <w:tc>
          <w:tcPr>
            <w:tcW w:w="2188" w:type="dxa"/>
            <w:shd w:val="clear" w:color="auto" w:fill="auto"/>
            <w:noWrap/>
          </w:tcPr>
          <w:p w14:paraId="45DE826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2188" w:type="dxa"/>
            <w:shd w:val="clear" w:color="auto" w:fill="auto"/>
            <w:noWrap/>
          </w:tcPr>
          <w:p w14:paraId="043C837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99.90 </w:t>
            </w:r>
          </w:p>
        </w:tc>
      </w:tr>
      <w:tr w14:paraId="5E71386B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2D3E2EF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URXHPM </w:t>
            </w:r>
          </w:p>
        </w:tc>
        <w:tc>
          <w:tcPr>
            <w:tcW w:w="2188" w:type="dxa"/>
            <w:shd w:val="clear" w:color="auto" w:fill="auto"/>
            <w:noWrap/>
          </w:tcPr>
          <w:p w14:paraId="459CC7A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10548</w:t>
            </w:r>
          </w:p>
        </w:tc>
        <w:tc>
          <w:tcPr>
            <w:tcW w:w="2188" w:type="dxa"/>
            <w:shd w:val="clear" w:color="auto" w:fill="auto"/>
            <w:noWrap/>
          </w:tcPr>
          <w:p w14:paraId="2AA3DFD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10523</w:t>
            </w:r>
          </w:p>
        </w:tc>
        <w:tc>
          <w:tcPr>
            <w:tcW w:w="2188" w:type="dxa"/>
            <w:shd w:val="clear" w:color="auto" w:fill="auto"/>
            <w:noWrap/>
          </w:tcPr>
          <w:p w14:paraId="6BCEAE84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2188" w:type="dxa"/>
            <w:shd w:val="clear" w:color="auto" w:fill="auto"/>
            <w:noWrap/>
          </w:tcPr>
          <w:p w14:paraId="7309EA5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99.76 </w:t>
            </w:r>
          </w:p>
        </w:tc>
      </w:tr>
      <w:tr w14:paraId="36810E20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88E4F1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URXAMC </w:t>
            </w:r>
          </w:p>
        </w:tc>
        <w:tc>
          <w:tcPr>
            <w:tcW w:w="2188" w:type="dxa"/>
            <w:shd w:val="clear" w:color="auto" w:fill="auto"/>
            <w:noWrap/>
          </w:tcPr>
          <w:p w14:paraId="467D069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10715</w:t>
            </w:r>
          </w:p>
        </w:tc>
        <w:tc>
          <w:tcPr>
            <w:tcW w:w="2188" w:type="dxa"/>
            <w:shd w:val="clear" w:color="auto" w:fill="auto"/>
            <w:noWrap/>
          </w:tcPr>
          <w:p w14:paraId="4573860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10668</w:t>
            </w:r>
          </w:p>
        </w:tc>
        <w:tc>
          <w:tcPr>
            <w:tcW w:w="2188" w:type="dxa"/>
            <w:shd w:val="clear" w:color="auto" w:fill="auto"/>
            <w:noWrap/>
          </w:tcPr>
          <w:p w14:paraId="7BE9C84E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47</w:t>
            </w:r>
          </w:p>
        </w:tc>
        <w:tc>
          <w:tcPr>
            <w:tcW w:w="2188" w:type="dxa"/>
            <w:shd w:val="clear" w:color="auto" w:fill="auto"/>
            <w:noWrap/>
          </w:tcPr>
          <w:p w14:paraId="52B64BA6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99.56 </w:t>
            </w:r>
          </w:p>
        </w:tc>
      </w:tr>
      <w:tr w14:paraId="53C49841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1007ADE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URX34M </w:t>
            </w:r>
          </w:p>
        </w:tc>
        <w:tc>
          <w:tcPr>
            <w:tcW w:w="2188" w:type="dxa"/>
            <w:shd w:val="clear" w:color="auto" w:fill="auto"/>
            <w:noWrap/>
          </w:tcPr>
          <w:p w14:paraId="11A74D5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10763</w:t>
            </w:r>
          </w:p>
        </w:tc>
        <w:tc>
          <w:tcPr>
            <w:tcW w:w="2188" w:type="dxa"/>
            <w:shd w:val="clear" w:color="auto" w:fill="auto"/>
            <w:noWrap/>
          </w:tcPr>
          <w:p w14:paraId="5A4DBA1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10706</w:t>
            </w:r>
          </w:p>
        </w:tc>
        <w:tc>
          <w:tcPr>
            <w:tcW w:w="2188" w:type="dxa"/>
            <w:shd w:val="clear" w:color="auto" w:fill="auto"/>
            <w:noWrap/>
          </w:tcPr>
          <w:p w14:paraId="72E9283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57</w:t>
            </w:r>
          </w:p>
        </w:tc>
        <w:tc>
          <w:tcPr>
            <w:tcW w:w="2188" w:type="dxa"/>
            <w:shd w:val="clear" w:color="auto" w:fill="auto"/>
            <w:noWrap/>
          </w:tcPr>
          <w:p w14:paraId="75B8F60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99.47 </w:t>
            </w:r>
          </w:p>
        </w:tc>
      </w:tr>
      <w:tr w14:paraId="4071556A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811EABA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URXBMA </w:t>
            </w:r>
          </w:p>
        </w:tc>
        <w:tc>
          <w:tcPr>
            <w:tcW w:w="2188" w:type="dxa"/>
            <w:shd w:val="clear" w:color="auto" w:fill="auto"/>
            <w:noWrap/>
          </w:tcPr>
          <w:p w14:paraId="2266B7B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10757</w:t>
            </w:r>
          </w:p>
        </w:tc>
        <w:tc>
          <w:tcPr>
            <w:tcW w:w="2188" w:type="dxa"/>
            <w:shd w:val="clear" w:color="auto" w:fill="auto"/>
            <w:noWrap/>
          </w:tcPr>
          <w:p w14:paraId="59A3A32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10693</w:t>
            </w:r>
          </w:p>
        </w:tc>
        <w:tc>
          <w:tcPr>
            <w:tcW w:w="2188" w:type="dxa"/>
            <w:shd w:val="clear" w:color="auto" w:fill="auto"/>
            <w:noWrap/>
          </w:tcPr>
          <w:p w14:paraId="75B6F2AB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64</w:t>
            </w:r>
          </w:p>
        </w:tc>
        <w:tc>
          <w:tcPr>
            <w:tcW w:w="2188" w:type="dxa"/>
            <w:shd w:val="clear" w:color="auto" w:fill="auto"/>
            <w:noWrap/>
          </w:tcPr>
          <w:p w14:paraId="068892B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99.41 </w:t>
            </w:r>
          </w:p>
        </w:tc>
      </w:tr>
      <w:tr w14:paraId="4C438AE8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56E6A2AA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URXPHG </w:t>
            </w:r>
          </w:p>
        </w:tc>
        <w:tc>
          <w:tcPr>
            <w:tcW w:w="2188" w:type="dxa"/>
            <w:shd w:val="clear" w:color="auto" w:fill="auto"/>
            <w:noWrap/>
          </w:tcPr>
          <w:p w14:paraId="68FB47D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10709</w:t>
            </w:r>
          </w:p>
        </w:tc>
        <w:tc>
          <w:tcPr>
            <w:tcW w:w="2188" w:type="dxa"/>
            <w:shd w:val="clear" w:color="auto" w:fill="auto"/>
            <w:noWrap/>
          </w:tcPr>
          <w:p w14:paraId="0AFF2AFE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10636</w:t>
            </w:r>
          </w:p>
        </w:tc>
        <w:tc>
          <w:tcPr>
            <w:tcW w:w="2188" w:type="dxa"/>
            <w:shd w:val="clear" w:color="auto" w:fill="auto"/>
            <w:noWrap/>
          </w:tcPr>
          <w:p w14:paraId="7A2114BB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73</w:t>
            </w:r>
          </w:p>
        </w:tc>
        <w:tc>
          <w:tcPr>
            <w:tcW w:w="2188" w:type="dxa"/>
            <w:shd w:val="clear" w:color="auto" w:fill="auto"/>
            <w:noWrap/>
          </w:tcPr>
          <w:p w14:paraId="62254E8E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99.32 </w:t>
            </w:r>
          </w:p>
        </w:tc>
      </w:tr>
      <w:tr w14:paraId="582949EB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5634C0A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URXCEM </w:t>
            </w:r>
          </w:p>
        </w:tc>
        <w:tc>
          <w:tcPr>
            <w:tcW w:w="2188" w:type="dxa"/>
            <w:shd w:val="clear" w:color="auto" w:fill="auto"/>
            <w:noWrap/>
          </w:tcPr>
          <w:p w14:paraId="40CF560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10745</w:t>
            </w:r>
          </w:p>
        </w:tc>
        <w:tc>
          <w:tcPr>
            <w:tcW w:w="2188" w:type="dxa"/>
            <w:shd w:val="clear" w:color="auto" w:fill="auto"/>
            <w:noWrap/>
          </w:tcPr>
          <w:p w14:paraId="6D242D7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10645</w:t>
            </w:r>
          </w:p>
        </w:tc>
        <w:tc>
          <w:tcPr>
            <w:tcW w:w="2188" w:type="dxa"/>
            <w:shd w:val="clear" w:color="auto" w:fill="auto"/>
            <w:noWrap/>
          </w:tcPr>
          <w:p w14:paraId="1FF065A1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100</w:t>
            </w:r>
          </w:p>
        </w:tc>
        <w:tc>
          <w:tcPr>
            <w:tcW w:w="2188" w:type="dxa"/>
            <w:shd w:val="clear" w:color="auto" w:fill="auto"/>
            <w:noWrap/>
          </w:tcPr>
          <w:p w14:paraId="647784AA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99.07 </w:t>
            </w:r>
          </w:p>
        </w:tc>
      </w:tr>
      <w:tr w14:paraId="58079AF9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4305A63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URXMAD </w:t>
            </w:r>
          </w:p>
        </w:tc>
        <w:tc>
          <w:tcPr>
            <w:tcW w:w="2188" w:type="dxa"/>
            <w:shd w:val="clear" w:color="auto" w:fill="auto"/>
            <w:noWrap/>
          </w:tcPr>
          <w:p w14:paraId="4AC78B9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10670</w:t>
            </w:r>
          </w:p>
        </w:tc>
        <w:tc>
          <w:tcPr>
            <w:tcW w:w="2188" w:type="dxa"/>
            <w:shd w:val="clear" w:color="auto" w:fill="auto"/>
            <w:noWrap/>
          </w:tcPr>
          <w:p w14:paraId="6443DFD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10513</w:t>
            </w:r>
          </w:p>
        </w:tc>
        <w:tc>
          <w:tcPr>
            <w:tcW w:w="2188" w:type="dxa"/>
            <w:shd w:val="clear" w:color="auto" w:fill="auto"/>
            <w:noWrap/>
          </w:tcPr>
          <w:p w14:paraId="1AF0660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157</w:t>
            </w:r>
          </w:p>
        </w:tc>
        <w:tc>
          <w:tcPr>
            <w:tcW w:w="2188" w:type="dxa"/>
            <w:shd w:val="clear" w:color="auto" w:fill="auto"/>
            <w:noWrap/>
          </w:tcPr>
          <w:p w14:paraId="1387B3C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98.53 </w:t>
            </w:r>
          </w:p>
        </w:tc>
      </w:tr>
      <w:tr w14:paraId="56CFA50D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6D13493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URXATC </w:t>
            </w:r>
          </w:p>
        </w:tc>
        <w:tc>
          <w:tcPr>
            <w:tcW w:w="2188" w:type="dxa"/>
            <w:shd w:val="clear" w:color="auto" w:fill="auto"/>
            <w:noWrap/>
          </w:tcPr>
          <w:p w14:paraId="12DAB76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10659</w:t>
            </w:r>
          </w:p>
        </w:tc>
        <w:tc>
          <w:tcPr>
            <w:tcW w:w="2188" w:type="dxa"/>
            <w:shd w:val="clear" w:color="auto" w:fill="auto"/>
            <w:noWrap/>
          </w:tcPr>
          <w:p w14:paraId="6BB9E51E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10361</w:t>
            </w:r>
          </w:p>
        </w:tc>
        <w:tc>
          <w:tcPr>
            <w:tcW w:w="2188" w:type="dxa"/>
            <w:shd w:val="clear" w:color="auto" w:fill="auto"/>
            <w:noWrap/>
          </w:tcPr>
          <w:p w14:paraId="5597AAC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298</w:t>
            </w:r>
          </w:p>
        </w:tc>
        <w:tc>
          <w:tcPr>
            <w:tcW w:w="2188" w:type="dxa"/>
            <w:shd w:val="clear" w:color="auto" w:fill="auto"/>
            <w:noWrap/>
          </w:tcPr>
          <w:p w14:paraId="367F904D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97.20 </w:t>
            </w:r>
          </w:p>
        </w:tc>
      </w:tr>
      <w:tr w14:paraId="5C4CB921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76FBBDB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URXMB3 </w:t>
            </w:r>
          </w:p>
        </w:tc>
        <w:tc>
          <w:tcPr>
            <w:tcW w:w="2188" w:type="dxa"/>
            <w:shd w:val="clear" w:color="auto" w:fill="auto"/>
            <w:noWrap/>
          </w:tcPr>
          <w:p w14:paraId="32A9CEBA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10656</w:t>
            </w:r>
          </w:p>
        </w:tc>
        <w:tc>
          <w:tcPr>
            <w:tcW w:w="2188" w:type="dxa"/>
            <w:shd w:val="clear" w:color="auto" w:fill="auto"/>
            <w:noWrap/>
          </w:tcPr>
          <w:p w14:paraId="376C86B8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10300</w:t>
            </w:r>
          </w:p>
        </w:tc>
        <w:tc>
          <w:tcPr>
            <w:tcW w:w="2188" w:type="dxa"/>
            <w:shd w:val="clear" w:color="auto" w:fill="auto"/>
            <w:noWrap/>
          </w:tcPr>
          <w:p w14:paraId="59790FD1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356</w:t>
            </w:r>
          </w:p>
        </w:tc>
        <w:tc>
          <w:tcPr>
            <w:tcW w:w="2188" w:type="dxa"/>
            <w:shd w:val="clear" w:color="auto" w:fill="auto"/>
            <w:noWrap/>
          </w:tcPr>
          <w:p w14:paraId="1460B00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96.66 </w:t>
            </w:r>
          </w:p>
        </w:tc>
      </w:tr>
      <w:tr w14:paraId="0CF10BCD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06670B9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URXHP2 </w:t>
            </w:r>
          </w:p>
        </w:tc>
        <w:tc>
          <w:tcPr>
            <w:tcW w:w="2188" w:type="dxa"/>
            <w:shd w:val="clear" w:color="auto" w:fill="auto"/>
            <w:noWrap/>
          </w:tcPr>
          <w:p w14:paraId="3A358411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10732</w:t>
            </w:r>
          </w:p>
        </w:tc>
        <w:tc>
          <w:tcPr>
            <w:tcW w:w="2188" w:type="dxa"/>
            <w:shd w:val="clear" w:color="auto" w:fill="auto"/>
            <w:noWrap/>
          </w:tcPr>
          <w:p w14:paraId="3218479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10147</w:t>
            </w:r>
          </w:p>
        </w:tc>
        <w:tc>
          <w:tcPr>
            <w:tcW w:w="2188" w:type="dxa"/>
            <w:shd w:val="clear" w:color="auto" w:fill="auto"/>
            <w:noWrap/>
          </w:tcPr>
          <w:p w14:paraId="687EFCF0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585</w:t>
            </w:r>
          </w:p>
        </w:tc>
        <w:tc>
          <w:tcPr>
            <w:tcW w:w="2188" w:type="dxa"/>
            <w:shd w:val="clear" w:color="auto" w:fill="auto"/>
            <w:noWrap/>
          </w:tcPr>
          <w:p w14:paraId="6ABA6CE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94.55 </w:t>
            </w:r>
          </w:p>
        </w:tc>
      </w:tr>
      <w:tr w14:paraId="696A2BC0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165E733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URX2MH </w:t>
            </w:r>
          </w:p>
        </w:tc>
        <w:tc>
          <w:tcPr>
            <w:tcW w:w="2188" w:type="dxa"/>
            <w:shd w:val="clear" w:color="auto" w:fill="auto"/>
            <w:noWrap/>
          </w:tcPr>
          <w:p w14:paraId="4075EFB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10506</w:t>
            </w:r>
          </w:p>
        </w:tc>
        <w:tc>
          <w:tcPr>
            <w:tcW w:w="2188" w:type="dxa"/>
            <w:shd w:val="clear" w:color="auto" w:fill="auto"/>
            <w:noWrap/>
          </w:tcPr>
          <w:p w14:paraId="077A6CA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9559</w:t>
            </w:r>
          </w:p>
        </w:tc>
        <w:tc>
          <w:tcPr>
            <w:tcW w:w="2188" w:type="dxa"/>
            <w:shd w:val="clear" w:color="auto" w:fill="auto"/>
            <w:noWrap/>
          </w:tcPr>
          <w:p w14:paraId="7EA6A0A6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947</w:t>
            </w:r>
          </w:p>
        </w:tc>
        <w:tc>
          <w:tcPr>
            <w:tcW w:w="2188" w:type="dxa"/>
            <w:shd w:val="clear" w:color="auto" w:fill="auto"/>
            <w:noWrap/>
          </w:tcPr>
          <w:p w14:paraId="596DEEAC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90.99 </w:t>
            </w:r>
          </w:p>
        </w:tc>
      </w:tr>
      <w:tr w14:paraId="67A05287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291D5AD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URXCYM </w:t>
            </w:r>
          </w:p>
        </w:tc>
        <w:tc>
          <w:tcPr>
            <w:tcW w:w="2188" w:type="dxa"/>
            <w:shd w:val="clear" w:color="auto" w:fill="auto"/>
            <w:noWrap/>
          </w:tcPr>
          <w:p w14:paraId="6632A7C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10712</w:t>
            </w:r>
          </w:p>
        </w:tc>
        <w:tc>
          <w:tcPr>
            <w:tcW w:w="2188" w:type="dxa"/>
            <w:shd w:val="clear" w:color="auto" w:fill="auto"/>
            <w:noWrap/>
          </w:tcPr>
          <w:p w14:paraId="405B1D36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9055</w:t>
            </w:r>
          </w:p>
        </w:tc>
        <w:tc>
          <w:tcPr>
            <w:tcW w:w="2188" w:type="dxa"/>
            <w:shd w:val="clear" w:color="auto" w:fill="auto"/>
            <w:noWrap/>
          </w:tcPr>
          <w:p w14:paraId="027C88F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1657</w:t>
            </w:r>
          </w:p>
        </w:tc>
        <w:tc>
          <w:tcPr>
            <w:tcW w:w="2188" w:type="dxa"/>
            <w:shd w:val="clear" w:color="auto" w:fill="auto"/>
            <w:noWrap/>
          </w:tcPr>
          <w:p w14:paraId="7EA05315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84.53 </w:t>
            </w:r>
          </w:p>
        </w:tc>
      </w:tr>
      <w:tr w14:paraId="0C5BE111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0C8AE63A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URXBPM </w:t>
            </w:r>
          </w:p>
        </w:tc>
        <w:tc>
          <w:tcPr>
            <w:tcW w:w="2188" w:type="dxa"/>
            <w:shd w:val="clear" w:color="auto" w:fill="auto"/>
            <w:noWrap/>
          </w:tcPr>
          <w:p w14:paraId="47AF091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10634</w:t>
            </w:r>
          </w:p>
        </w:tc>
        <w:tc>
          <w:tcPr>
            <w:tcW w:w="2188" w:type="dxa"/>
            <w:shd w:val="clear" w:color="auto" w:fill="auto"/>
            <w:noWrap/>
          </w:tcPr>
          <w:p w14:paraId="20FCEF9B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7846</w:t>
            </w:r>
          </w:p>
        </w:tc>
        <w:tc>
          <w:tcPr>
            <w:tcW w:w="2188" w:type="dxa"/>
            <w:shd w:val="clear" w:color="auto" w:fill="auto"/>
            <w:noWrap/>
          </w:tcPr>
          <w:p w14:paraId="2280D9E3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2788</w:t>
            </w:r>
          </w:p>
        </w:tc>
        <w:tc>
          <w:tcPr>
            <w:tcW w:w="2188" w:type="dxa"/>
            <w:shd w:val="clear" w:color="auto" w:fill="auto"/>
            <w:noWrap/>
          </w:tcPr>
          <w:p w14:paraId="4433A55E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73.78 </w:t>
            </w:r>
          </w:p>
        </w:tc>
      </w:tr>
      <w:tr w14:paraId="021F511C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3BD5FB74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URXHEM </w:t>
            </w:r>
          </w:p>
        </w:tc>
        <w:tc>
          <w:tcPr>
            <w:tcW w:w="2188" w:type="dxa"/>
            <w:shd w:val="clear" w:color="auto" w:fill="auto"/>
            <w:noWrap/>
          </w:tcPr>
          <w:p w14:paraId="1B1C6669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10772</w:t>
            </w:r>
          </w:p>
        </w:tc>
        <w:tc>
          <w:tcPr>
            <w:tcW w:w="2188" w:type="dxa"/>
            <w:shd w:val="clear" w:color="auto" w:fill="auto"/>
            <w:noWrap/>
          </w:tcPr>
          <w:p w14:paraId="2B9198B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5369</w:t>
            </w:r>
          </w:p>
        </w:tc>
        <w:tc>
          <w:tcPr>
            <w:tcW w:w="2188" w:type="dxa"/>
            <w:shd w:val="clear" w:color="auto" w:fill="auto"/>
            <w:noWrap/>
          </w:tcPr>
          <w:p w14:paraId="0B9D9F9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5403</w:t>
            </w:r>
          </w:p>
        </w:tc>
        <w:tc>
          <w:tcPr>
            <w:tcW w:w="2188" w:type="dxa"/>
            <w:shd w:val="clear" w:color="auto" w:fill="auto"/>
            <w:noWrap/>
          </w:tcPr>
          <w:p w14:paraId="39014E22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49.84 </w:t>
            </w:r>
          </w:p>
        </w:tc>
      </w:tr>
      <w:tr w14:paraId="4186A8E9">
        <w:trPr>
          <w:trHeight w:val="270" w:hRule="atLeast"/>
        </w:trPr>
        <w:tc>
          <w:tcPr>
            <w:tcW w:w="1242" w:type="dxa"/>
            <w:shd w:val="clear" w:color="auto" w:fill="auto"/>
            <w:noWrap/>
          </w:tcPr>
          <w:p w14:paraId="06776216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URXGAM </w:t>
            </w:r>
          </w:p>
        </w:tc>
        <w:tc>
          <w:tcPr>
            <w:tcW w:w="2188" w:type="dxa"/>
            <w:shd w:val="clear" w:color="auto" w:fill="auto"/>
            <w:noWrap/>
          </w:tcPr>
          <w:p w14:paraId="2CFAA157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10772</w:t>
            </w:r>
          </w:p>
        </w:tc>
        <w:tc>
          <w:tcPr>
            <w:tcW w:w="2188" w:type="dxa"/>
            <w:shd w:val="clear" w:color="auto" w:fill="auto"/>
            <w:noWrap/>
          </w:tcPr>
          <w:p w14:paraId="260C4BA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4435</w:t>
            </w:r>
          </w:p>
        </w:tc>
        <w:tc>
          <w:tcPr>
            <w:tcW w:w="2188" w:type="dxa"/>
            <w:shd w:val="clear" w:color="auto" w:fill="auto"/>
            <w:noWrap/>
          </w:tcPr>
          <w:p w14:paraId="40C02EEF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>6337</w:t>
            </w:r>
          </w:p>
        </w:tc>
        <w:tc>
          <w:tcPr>
            <w:tcW w:w="2188" w:type="dxa"/>
            <w:shd w:val="clear" w:color="auto" w:fill="auto"/>
            <w:noWrap/>
          </w:tcPr>
          <w:p w14:paraId="27D56B6B">
            <w:pPr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41.17 </w:t>
            </w:r>
          </w:p>
        </w:tc>
      </w:tr>
    </w:tbl>
    <w:p w14:paraId="660ABF98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LLOD for lower limit of detection. </w:t>
      </w:r>
    </w:p>
    <w:p w14:paraId="456518F6">
      <w:pPr>
        <w:ind w:firstLine="480"/>
        <w:rPr>
          <w:rFonts w:hint="eastAsia"/>
          <w:color w:val="000000" w:themeColor="text1"/>
        </w:rPr>
      </w:pPr>
    </w:p>
    <w:p w14:paraId="527B810A">
      <w:pPr>
        <w:ind w:firstLine="480"/>
        <w:rPr>
          <w:rFonts w:hint="eastAsia"/>
          <w:color w:val="000000" w:themeColor="text1"/>
        </w:rPr>
      </w:pPr>
    </w:p>
    <w:p w14:paraId="67123725">
      <w:pPr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Style w:val="8"/>
          <w:rFonts w:eastAsia="等线"/>
          <w:color w:val="000000" w:themeColor="text1"/>
        </w:rPr>
        <w:t>Table S</w:t>
      </w:r>
      <w:r>
        <w:rPr>
          <w:rStyle w:val="8"/>
          <w:rFonts w:hint="eastAsia" w:eastAsia="等线"/>
          <w:color w:val="000000" w:themeColor="text1"/>
        </w:rPr>
        <w:t>3</w:t>
      </w:r>
      <w:r>
        <w:rPr>
          <w:rStyle w:val="8"/>
          <w:rFonts w:eastAsia="等线"/>
          <w:color w:val="000000" w:themeColor="text1"/>
        </w:rPr>
        <w:t>. Relative parent volatile organic compounds (VOCs) to the metabolites of VOCs (mVOCs)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5103"/>
        <w:gridCol w:w="2341"/>
      </w:tblGrid>
      <w:tr w14:paraId="396508CE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40DA7077">
            <w:pPr>
              <w:widowControl/>
              <w:ind w:firstLine="480"/>
              <w:jc w:val="center"/>
              <w:rPr>
                <w:rFonts w:ascii="Times New Roman" w:hAnsi="Times New Roman" w:eastAsia="Times New Roman"/>
                <w:color w:val="000000" w:themeColor="text1"/>
                <w:kern w:val="0"/>
              </w:rPr>
            </w:pP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17195FE6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Urine metabolites of VOCs (mVOCs)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4380A5CA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Official abbreviation of mVOCs*</w:t>
            </w:r>
          </w:p>
        </w:tc>
      </w:tr>
      <w:tr w14:paraId="10CFF272">
        <w:trPr>
          <w:trHeight w:val="283" w:hRule="atLeast"/>
        </w:trPr>
        <w:tc>
          <w:tcPr>
            <w:tcW w:w="1264" w:type="pct"/>
            <w:vMerge w:val="restart"/>
            <w:shd w:val="clear" w:color="auto" w:fill="auto"/>
            <w:noWrap/>
            <w:vAlign w:val="center"/>
          </w:tcPr>
          <w:p w14:paraId="740F992E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Acrolein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15746B74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N-Acetyl-S-(2-carboxyethyl)-L-cysteine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2E4B10CA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CEMA</w:t>
            </w:r>
          </w:p>
        </w:tc>
      </w:tr>
      <w:tr w14:paraId="7BFAB819">
        <w:trPr>
          <w:trHeight w:val="283" w:hRule="atLeast"/>
        </w:trPr>
        <w:tc>
          <w:tcPr>
            <w:tcW w:w="1264" w:type="pct"/>
            <w:vMerge w:val="continue"/>
            <w:vAlign w:val="center"/>
          </w:tcPr>
          <w:p w14:paraId="1494C9D2">
            <w:pPr>
              <w:widowControl/>
              <w:ind w:firstLine="480"/>
              <w:jc w:val="center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2B0F3EEE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N-Acetyl-S-(3-hydroxypropyl)-L-cysteine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02EDE87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bookmarkStart w:id="17" w:name="_Hlk170992177"/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3HPMA</w:t>
            </w:r>
            <w:bookmarkEnd w:id="17"/>
          </w:p>
        </w:tc>
      </w:tr>
      <w:tr w14:paraId="5A84E503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5C7585C1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Acrylamide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23991275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N-Acetyl-S-(2-carbamoylethyl)-L-cysteine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4265E812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AAMA</w:t>
            </w:r>
          </w:p>
        </w:tc>
      </w:tr>
      <w:tr w14:paraId="0C537CF6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37528233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Acrylonitrile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7359BDC2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N-Acetyl-S-(2-cyanoethyl)-L-cysteine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54D1B682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CYMA</w:t>
            </w:r>
          </w:p>
        </w:tc>
      </w:tr>
      <w:tr w14:paraId="31530328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79ED93C6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Crotonaldehyde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2A4B0BCA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N-Acetyl-S-(3-hydroxypropyl-1-methyl)-L-cysteine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1C101DC6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HPMMA</w:t>
            </w:r>
          </w:p>
        </w:tc>
      </w:tr>
      <w:tr w14:paraId="7FD23A68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58ACE148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Cyanide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7B4B797E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2-Aminothiazoline-4-carboxylic acid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1980DE06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ATCA</w:t>
            </w:r>
          </w:p>
        </w:tc>
      </w:tr>
      <w:tr w14:paraId="4B9BFB06">
        <w:trPr>
          <w:trHeight w:val="283" w:hRule="atLeast"/>
        </w:trPr>
        <w:tc>
          <w:tcPr>
            <w:tcW w:w="1264" w:type="pct"/>
            <w:vMerge w:val="restart"/>
            <w:shd w:val="clear" w:color="auto" w:fill="auto"/>
            <w:noWrap/>
            <w:vAlign w:val="center"/>
          </w:tcPr>
          <w:p w14:paraId="3F17AAC2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Ethylbenzene, styrene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09FE9B7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Phenylglyoxylic acid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079DCBB1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PGA</w:t>
            </w:r>
          </w:p>
        </w:tc>
      </w:tr>
      <w:tr w14:paraId="06FBB73D">
        <w:trPr>
          <w:trHeight w:val="283" w:hRule="atLeast"/>
        </w:trPr>
        <w:tc>
          <w:tcPr>
            <w:tcW w:w="1264" w:type="pct"/>
            <w:vMerge w:val="continue"/>
            <w:vAlign w:val="center"/>
          </w:tcPr>
          <w:p w14:paraId="39F9F816">
            <w:pPr>
              <w:widowControl/>
              <w:ind w:firstLine="480"/>
              <w:jc w:val="center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45AF34D7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Mandelic acid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6D8AF591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</w:t>
            </w:r>
          </w:p>
        </w:tc>
      </w:tr>
      <w:tr w14:paraId="096876B6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01B14082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N, N-Dimethylformamide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0804683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N-Acetyl-S-(N-methylcarbamoyl)-L-cysteine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2C1DAC51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AMCC</w:t>
            </w:r>
          </w:p>
        </w:tc>
      </w:tr>
      <w:tr w14:paraId="10227FE3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079EDFCD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Propylene oxide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74FC75BA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N-Acetyl-S-(2-hydroxypropyl)-L-cysteine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143D564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2HPMA</w:t>
            </w:r>
          </w:p>
        </w:tc>
      </w:tr>
      <w:tr w14:paraId="07A57F03">
        <w:trPr>
          <w:trHeight w:val="283" w:hRule="atLeast"/>
        </w:trPr>
        <w:tc>
          <w:tcPr>
            <w:tcW w:w="1264" w:type="pct"/>
            <w:shd w:val="clear" w:color="auto" w:fill="auto"/>
            <w:noWrap/>
            <w:vAlign w:val="center"/>
          </w:tcPr>
          <w:p w14:paraId="1690E881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Toluene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503469D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N-Acetyl-S-(benzyl)-L-cysteine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05CC3F4F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SBMA</w:t>
            </w:r>
          </w:p>
        </w:tc>
      </w:tr>
      <w:tr w14:paraId="0AFAA522">
        <w:trPr>
          <w:trHeight w:val="283" w:hRule="atLeast"/>
        </w:trPr>
        <w:tc>
          <w:tcPr>
            <w:tcW w:w="1264" w:type="pct"/>
            <w:vMerge w:val="restart"/>
            <w:shd w:val="clear" w:color="auto" w:fill="auto"/>
            <w:noWrap/>
            <w:vAlign w:val="center"/>
          </w:tcPr>
          <w:p w14:paraId="73064A3D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Xylene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535AF02F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2-Methylhippuric acid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62BD15D0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2MHA</w:t>
            </w:r>
          </w:p>
        </w:tc>
      </w:tr>
      <w:tr w14:paraId="279B4C84">
        <w:trPr>
          <w:trHeight w:val="283" w:hRule="atLeast"/>
        </w:trPr>
        <w:tc>
          <w:tcPr>
            <w:tcW w:w="1264" w:type="pct"/>
            <w:vMerge w:val="continue"/>
            <w:vAlign w:val="center"/>
          </w:tcPr>
          <w:p w14:paraId="4C9DB14A">
            <w:pPr>
              <w:widowControl/>
              <w:ind w:firstLine="480"/>
              <w:jc w:val="center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58A7369A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3- and 4-Methylhippuric acid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21E6A02B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3,4-MHA</w:t>
            </w:r>
          </w:p>
        </w:tc>
      </w:tr>
      <w:tr w14:paraId="06B810A4">
        <w:trPr>
          <w:trHeight w:val="283" w:hRule="atLeast"/>
        </w:trPr>
        <w:tc>
          <w:tcPr>
            <w:tcW w:w="1264" w:type="pct"/>
            <w:vMerge w:val="restart"/>
            <w:shd w:val="clear" w:color="auto" w:fill="auto"/>
            <w:noWrap/>
            <w:vAlign w:val="center"/>
          </w:tcPr>
          <w:p w14:paraId="0BD334F4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1,3-Butadiene</w:t>
            </w: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40A335AE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N-Acetyl-S-(3,4-dihydroxybutyl)-L-cysteine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504F2129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DHBMA</w:t>
            </w:r>
          </w:p>
        </w:tc>
      </w:tr>
      <w:tr w14:paraId="519C2F22">
        <w:trPr>
          <w:trHeight w:val="283" w:hRule="atLeast"/>
        </w:trPr>
        <w:tc>
          <w:tcPr>
            <w:tcW w:w="1264" w:type="pct"/>
            <w:vMerge w:val="continue"/>
            <w:vAlign w:val="center"/>
          </w:tcPr>
          <w:p w14:paraId="5E6328E3">
            <w:pPr>
              <w:widowControl/>
              <w:ind w:firstLine="480"/>
              <w:jc w:val="center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2561" w:type="pct"/>
            <w:shd w:val="clear" w:color="auto" w:fill="auto"/>
            <w:noWrap/>
            <w:vAlign w:val="center"/>
          </w:tcPr>
          <w:p w14:paraId="1D2466FB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N-Acetyl-S-(4-hydroxy-2-butenyl)-L-cysteine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14:paraId="188F6ED9">
            <w:pPr>
              <w:widowControl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MHBMA3</w:t>
            </w:r>
          </w:p>
        </w:tc>
      </w:tr>
    </w:tbl>
    <w:p w14:paraId="6FC8FCF2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*Reference: Li, A.J., V.K. Pal, and K. Kannan, A review of environmental occurrence, toxicity, biotransformation and biomonitoring of volatile organic compounds. Environmental Chemistry and Ecotoxicology, 2021. 3: p. 91-116.</w:t>
      </w:r>
    </w:p>
    <w:p w14:paraId="0C9CC8B4">
      <w:pPr>
        <w:ind w:firstLine="480"/>
        <w:rPr>
          <w:rFonts w:hint="eastAsia"/>
          <w:color w:val="000000" w:themeColor="text1"/>
        </w:rPr>
      </w:pPr>
    </w:p>
    <w:p w14:paraId="75CC4D5F">
      <w:pPr>
        <w:ind w:firstLine="480"/>
        <w:rPr>
          <w:rFonts w:hint="eastAsia"/>
          <w:color w:val="000000" w:themeColor="text1"/>
        </w:rPr>
      </w:pPr>
    </w:p>
    <w:p w14:paraId="39C12741">
      <w:pPr>
        <w:ind w:firstLine="480"/>
        <w:rPr>
          <w:rFonts w:hint="eastAsia"/>
          <w:color w:val="000000" w:themeColor="text1"/>
        </w:rPr>
      </w:pPr>
    </w:p>
    <w:p w14:paraId="420BB843">
      <w:pPr>
        <w:ind w:firstLine="480"/>
        <w:rPr>
          <w:rFonts w:hint="eastAsia"/>
          <w:color w:val="000000" w:themeColor="text1"/>
        </w:rPr>
      </w:pPr>
    </w:p>
    <w:p w14:paraId="56A8BF66">
      <w:pPr>
        <w:rPr>
          <w:rFonts w:hint="eastAsia"/>
          <w:color w:val="000000" w:themeColor="text1"/>
        </w:rPr>
      </w:pPr>
      <w:bookmarkStart w:id="18" w:name="_Hlk187736568"/>
      <w:r>
        <w:rPr>
          <w:rStyle w:val="8"/>
          <w:rFonts w:eastAsia="等线"/>
          <w:color w:val="000000" w:themeColor="text1"/>
        </w:rPr>
        <w:t>Table S</w:t>
      </w:r>
      <w:r>
        <w:rPr>
          <w:rStyle w:val="8"/>
          <w:rFonts w:hint="eastAsia" w:eastAsia="等线"/>
          <w:color w:val="000000" w:themeColor="text1"/>
        </w:rPr>
        <w:t>4</w:t>
      </w:r>
      <w:r>
        <w:rPr>
          <w:rStyle w:val="8"/>
          <w:rFonts w:eastAsia="等线"/>
          <w:color w:val="000000" w:themeColor="text1"/>
        </w:rPr>
        <w:t xml:space="preserve">. </w:t>
      </w:r>
      <w:r>
        <w:rPr>
          <w:rStyle w:val="8"/>
          <w:rFonts w:hint="eastAsia" w:eastAsia="等线"/>
          <w:color w:val="000000" w:themeColor="text1"/>
        </w:rPr>
        <w:t>Comparison of baseline characteristics between included and excluded populations</w:t>
      </w:r>
    </w:p>
    <w:bookmarkEnd w:id="18"/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3"/>
        <w:gridCol w:w="2447"/>
        <w:gridCol w:w="2499"/>
        <w:gridCol w:w="783"/>
      </w:tblGrid>
      <w:tr w14:paraId="2149D28C">
        <w:trPr>
          <w:trHeight w:val="322" w:hRule="atLeast"/>
        </w:trPr>
        <w:tc>
          <w:tcPr>
            <w:tcW w:w="21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0A28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Characteristic</w:t>
            </w:r>
          </w:p>
        </w:tc>
        <w:tc>
          <w:tcPr>
            <w:tcW w:w="12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56CBEF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Included Sample (Median/%)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DA7BF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Excluded Sample (Median/%)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D1D0F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p-value</w:t>
            </w:r>
          </w:p>
        </w:tc>
      </w:tr>
      <w:tr w14:paraId="407BDFBE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1EF74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Age, (years)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7018EB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39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1CD3BEE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37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980E271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</w:t>
            </w:r>
          </w:p>
        </w:tc>
      </w:tr>
      <w:tr w14:paraId="3323E1E7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435BEE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Gender, n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22AA67C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941A19E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5E1D13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0.6</w:t>
            </w:r>
          </w:p>
        </w:tc>
      </w:tr>
      <w:tr w14:paraId="7B46F54D">
        <w:trPr>
          <w:trHeight w:val="323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9E3A3B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 xml:space="preserve">  Male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B2C9EB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9D1653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51%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124C930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5FBCBD88">
        <w:trPr>
          <w:trHeight w:val="323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3D740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 xml:space="preserve">  Female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C98E28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036E82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49%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574DFDC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1F26DC47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BFF69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Race, n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D6456DF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D659C8D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E33AAA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&lt;0.001</w:t>
            </w:r>
          </w:p>
        </w:tc>
      </w:tr>
      <w:tr w14:paraId="23110EF6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0DD635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Mexican American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838C863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56C584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8%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8828ABB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124A00D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077C3D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Other Hispanic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DA0EC1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8%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18E182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6%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3417C4A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E292820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C0F2FC4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Non-Hispanic white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DA84F1E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61%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CEFEE5E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48%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B985608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50BFAD0D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BF54EC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Non-Hispanic Black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CDD265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12%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B152BA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25%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6388128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9439F56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45EBD8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Other/multiracial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19A2D9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9%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2D437F3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273384D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0E924433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449D6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Education level, n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D5664BB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663599C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C71A34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</w:t>
            </w:r>
          </w:p>
        </w:tc>
      </w:tr>
      <w:tr w14:paraId="205FE7B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C4F04B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Less than 9th grade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E758095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CD29744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601DBF3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175A4F0D">
        <w:trPr>
          <w:trHeight w:val="330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A497402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Style w:val="13"/>
                <w:rFonts w:eastAsia="宋体"/>
                <w:color w:val="000000" w:themeColor="text1"/>
                <w:sz w:val="21"/>
                <w:szCs w:val="21"/>
                <w:lang w:bidi="ar"/>
              </w:rPr>
              <w:t>9-11th grade (includes 12th grade with no diploma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lang w:bidi="ar"/>
              </w:rPr>
              <w:t>）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EF4355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9%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9AFF2F2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15%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E0816A9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07EFD034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E9770B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High school graduate/GED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2CC629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22%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5EF1E9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1753145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27487EEB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6130DD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Some college or AA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406EA3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32%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854919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35%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F624045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03FE49E7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339CDEC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College graduate or above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B9D9452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33%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75019D4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26%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6FBC697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03942F41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D65DB7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PIR,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7A22991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32193BE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A2DA15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0.17</w:t>
            </w:r>
          </w:p>
        </w:tc>
      </w:tr>
      <w:tr w14:paraId="687F929A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6E5792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&lt;1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C658AE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16%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E8ED9E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21%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94A0A72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1E3A8A95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127F9F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1~4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5AD07F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47%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A167D8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49%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BDA3BF3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51866B65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6E33D8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≥4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6BC8E95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37%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AB6AD7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D2A7991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F0923D1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CD2D29E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Drinking,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EE6B178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33319AA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A6C7D21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0.004</w:t>
            </w:r>
          </w:p>
        </w:tc>
      </w:tr>
      <w:tr w14:paraId="786489B5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CAFF80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Never drink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5CBA63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19%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0B4A595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D412CE7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7907B78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403E542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1-5/ month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47EDC3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53%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1D3B9A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46%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286C716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3F6FF2E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CDD9AB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5-10/ month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C84219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11%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409548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5.00%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4FD95FD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71EF2012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4C6B2F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10+/ month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5CD14F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16%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7A9E9A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15%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C765030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0F721E32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DAE3C2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Smoking,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47DBC6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708C7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A8AFEF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0.3</w:t>
            </w:r>
          </w:p>
        </w:tc>
      </w:tr>
      <w:tr w14:paraId="5B2E1EAE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7FD2AC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Never smoke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DBF4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59%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7FAAC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63%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6B582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75B8ECFB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35BECF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Former smoker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9EFEA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19%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9BF94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13%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B5E902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8929E16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26851BE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Current smoker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14C9E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21%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9281A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83C7BD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1B6F2F7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C7989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Sedentary time, (minutes)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334E612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360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F6AE986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300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38DA13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</w:t>
            </w:r>
          </w:p>
        </w:tc>
      </w:tr>
      <w:tr w14:paraId="2FDE39AF">
        <w:trPr>
          <w:trHeight w:val="322" w:hRule="atLeast"/>
        </w:trPr>
        <w:tc>
          <w:tcPr>
            <w:tcW w:w="21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7D031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Physical activity</w:t>
            </w:r>
            <w:r>
              <w:rPr>
                <w:rStyle w:val="13"/>
                <w:rFonts w:eastAsia="宋体"/>
                <w:color w:val="000000" w:themeColor="text1"/>
                <w:sz w:val="21"/>
                <w:szCs w:val="21"/>
                <w:lang w:bidi="ar"/>
              </w:rPr>
              <w:t>, (%)</w:t>
            </w:r>
          </w:p>
        </w:tc>
        <w:tc>
          <w:tcPr>
            <w:tcW w:w="12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DED0DF5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A3D401A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  <w:tc>
          <w:tcPr>
            <w:tcW w:w="3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AD105F4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0.062</w:t>
            </w:r>
          </w:p>
        </w:tc>
      </w:tr>
      <w:tr w14:paraId="2F145DE2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57B27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 MET-min/week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6221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27%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5F83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38%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4800A35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489B8637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627DA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0-599 MET-min/week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7AF4E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11%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1283E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8.50%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55B3F62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6EBB14CD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78D05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&gt;600 MET-min/week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DC48D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62%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E3D17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9E70517">
            <w:pPr>
              <w:jc w:val="left"/>
              <w:rPr>
                <w:rFonts w:ascii="Times New Roman" w:hAnsi="Times New Roman" w:eastAsia="宋体"/>
                <w:color w:val="000000" w:themeColor="text1"/>
              </w:rPr>
            </w:pPr>
          </w:p>
        </w:tc>
      </w:tr>
      <w:tr w14:paraId="2DE3CEEC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19E75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Energy intake, (g/day)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CC0F8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2,140.90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7C869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2,115.53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4DD1F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0.9</w:t>
            </w:r>
          </w:p>
        </w:tc>
      </w:tr>
      <w:tr w14:paraId="7835158F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85F35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BMI, (kg/m2)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8D57F5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28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182F69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27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839B081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0.14</w:t>
            </w:r>
          </w:p>
        </w:tc>
      </w:tr>
      <w:tr w14:paraId="75C8FA60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7890C5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Hypertension,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FAB51B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27%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A6B2A8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29%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C4B74B3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0.8</w:t>
            </w:r>
          </w:p>
        </w:tc>
      </w:tr>
      <w:tr w14:paraId="6DC64C44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A3A1EC0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Diabetes,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2BA788D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11%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6AF9A0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14%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39B4F275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0.4</w:t>
            </w:r>
          </w:p>
        </w:tc>
      </w:tr>
      <w:tr w14:paraId="02FDB9AA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B68BDC5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CVD,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C450C27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3.40%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FF0090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5.40%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66987CE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</w:t>
            </w:r>
          </w:p>
        </w:tc>
      </w:tr>
      <w:tr w14:paraId="545A5914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C8644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Cancer,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54BB05F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4.90%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5E13C0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4.10%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CC8F48B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0.7</w:t>
            </w:r>
          </w:p>
        </w:tc>
      </w:tr>
      <w:tr w14:paraId="09D8DC35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18334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CKD,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073EA8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7.60%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9FA3988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8.50%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2F7DD81F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0.6</w:t>
            </w:r>
          </w:p>
        </w:tc>
      </w:tr>
      <w:tr w14:paraId="56F6DC88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84808B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HDL-C, (mg/dl)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7944438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51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4ADFE651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48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A937B89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0.09</w:t>
            </w:r>
          </w:p>
        </w:tc>
      </w:tr>
      <w:tr w14:paraId="28B14174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773C3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TC, (mg/dl)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44E495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187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1A60B1BA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195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</w:tcPr>
          <w:p w14:paraId="0A8EF09C">
            <w:pPr>
              <w:widowControl/>
              <w:jc w:val="left"/>
              <w:textAlignment w:val="top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0.6</w:t>
            </w:r>
          </w:p>
        </w:tc>
      </w:tr>
      <w:tr w14:paraId="00F68B8E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28BC2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2MHA,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C638A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-1.16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7F90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-1.52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99F26F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0.084</w:t>
            </w:r>
          </w:p>
        </w:tc>
      </w:tr>
      <w:tr w14:paraId="0D9C9A4D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548A6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34MHA,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4E2D4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0.54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2C6B1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0.26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15A66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0.15</w:t>
            </w:r>
          </w:p>
        </w:tc>
      </w:tr>
      <w:tr w14:paraId="7F9F210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D8454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AAMA,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E59AD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-0.66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71135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-0.64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002BD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&gt;0.9</w:t>
            </w:r>
          </w:p>
        </w:tc>
      </w:tr>
      <w:tr w14:paraId="6337A0A6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C3443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AMCC,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1BD14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0.47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37B96E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0.33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D16C6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</w:t>
            </w:r>
          </w:p>
        </w:tc>
      </w:tr>
      <w:tr w14:paraId="34AB476D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1AF13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ATCA,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A4E74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0.13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498B4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0.13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6FE4D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0.4</w:t>
            </w:r>
          </w:p>
        </w:tc>
      </w:tr>
      <w:tr w14:paraId="4C9E9353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DFFE5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SBMA,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2CE5A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-2.8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72612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-2.85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04EA5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0.8</w:t>
            </w:r>
          </w:p>
        </w:tc>
      </w:tr>
      <w:tr w14:paraId="5F85EC5D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86BCD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CEMA,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06FD8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-0.1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38650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-0.09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88A09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0.9</w:t>
            </w:r>
          </w:p>
        </w:tc>
      </w:tr>
      <w:tr w14:paraId="040BC3E5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9A35F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CYMA,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D497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-4.09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47CE1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-4.31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A383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0.4</w:t>
            </w:r>
          </w:p>
        </w:tc>
      </w:tr>
      <w:tr w14:paraId="2B9EC6D1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66CBEE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DHBMA,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A5BF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1.08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96681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1.03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24535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0.3</w:t>
            </w:r>
          </w:p>
        </w:tc>
      </w:tr>
      <w:tr w14:paraId="5610636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3E03F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2HPMA,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2ACB8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-1.21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E1D9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 xml:space="preserve">-1.20 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51B16D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0.6</w:t>
            </w:r>
          </w:p>
        </w:tc>
      </w:tr>
      <w:tr w14:paraId="34B61DF1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2918E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3HPMA,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56C95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0.81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76861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0.79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01F8E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0.8</w:t>
            </w:r>
          </w:p>
        </w:tc>
      </w:tr>
      <w:tr w14:paraId="1D0684BA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A77B9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3D564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0.29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23B66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0.17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18D09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0.12</w:t>
            </w:r>
          </w:p>
        </w:tc>
      </w:tr>
      <w:tr w14:paraId="2B9CFE89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E930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MHBMA3,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FB945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-3.09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769FCD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 xml:space="preserve">-3.30 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DD5F4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0.3</w:t>
            </w:r>
          </w:p>
        </w:tc>
      </w:tr>
      <w:tr w14:paraId="2F19319A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DD9C2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PGA,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BC1122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0.7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EA091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0.63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6B72A0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0.25</w:t>
            </w:r>
          </w:p>
        </w:tc>
      </w:tr>
      <w:tr w14:paraId="2C3776FC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90B3BD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HPMMA, (ng/0.01mgCr)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4C4ED8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0.7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79B7F9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0.59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93768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0.11</w:t>
            </w:r>
          </w:p>
        </w:tc>
      </w:tr>
      <w:tr w14:paraId="2C9443BE">
        <w:trPr>
          <w:trHeight w:val="322" w:hRule="atLeast"/>
        </w:trPr>
        <w:tc>
          <w:tcPr>
            <w:tcW w:w="21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DC613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Sarcopenia, (%)</w:t>
            </w:r>
          </w:p>
        </w:tc>
        <w:tc>
          <w:tcPr>
            <w:tcW w:w="12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8B23C6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7.20%</w:t>
            </w:r>
          </w:p>
        </w:tc>
        <w:tc>
          <w:tcPr>
            <w:tcW w:w="1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828C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7.00%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70A5C4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 w:themeColor="text1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  <w:lang w:bidi="ar"/>
              </w:rPr>
              <w:t>&gt;0.9</w:t>
            </w:r>
          </w:p>
        </w:tc>
      </w:tr>
    </w:tbl>
    <w:p w14:paraId="571DF0D8">
      <w:pPr>
        <w:pStyle w:val="2"/>
        <w:spacing w:after="240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The median</w:t>
      </w:r>
      <w:r>
        <w:rPr>
          <w:rFonts w:hint="eastAsia"/>
          <w:color w:val="000000" w:themeColor="text1"/>
          <w:sz w:val="21"/>
          <w:szCs w:val="21"/>
        </w:rPr>
        <w:t xml:space="preserve"> for continuous variables: t</w:t>
      </w:r>
      <w:r>
        <w:rPr>
          <w:color w:val="000000" w:themeColor="text1"/>
          <w:sz w:val="21"/>
          <w:szCs w:val="21"/>
        </w:rPr>
        <w:t>he p-value</w:t>
      </w:r>
      <w:r>
        <w:rPr>
          <w:rFonts w:hint="eastAsia"/>
          <w:color w:val="000000" w:themeColor="text1"/>
          <w:sz w:val="21"/>
          <w:szCs w:val="21"/>
        </w:rPr>
        <w:t xml:space="preserve"> was calculated by </w:t>
      </w:r>
      <w:r>
        <w:rPr>
          <w:color w:val="000000" w:themeColor="text1"/>
          <w:sz w:val="21"/>
          <w:szCs w:val="21"/>
        </w:rPr>
        <w:t xml:space="preserve">the </w:t>
      </w:r>
      <w:bookmarkStart w:id="19" w:name="_Hlk187738709"/>
      <w:r>
        <w:rPr>
          <w:color w:val="000000" w:themeColor="text1"/>
          <w:sz w:val="21"/>
          <w:szCs w:val="21"/>
        </w:rPr>
        <w:t>Wilcoxon</w:t>
      </w:r>
      <w:r>
        <w:rPr>
          <w:rFonts w:hint="eastAsia"/>
          <w:color w:val="000000" w:themeColor="text1"/>
          <w:sz w:val="21"/>
          <w:szCs w:val="21"/>
        </w:rPr>
        <w:t xml:space="preserve"> rank-sum test. </w:t>
      </w:r>
      <w:bookmarkEnd w:id="19"/>
      <w:r>
        <w:rPr>
          <w:rFonts w:hint="eastAsia"/>
          <w:color w:val="000000" w:themeColor="text1"/>
          <w:sz w:val="21"/>
          <w:szCs w:val="21"/>
        </w:rPr>
        <w:t xml:space="preserve">% for categorical variables: the p value was calculated by weighted </w:t>
      </w:r>
      <w:r>
        <w:rPr>
          <w:color w:val="000000" w:themeColor="text1"/>
          <w:sz w:val="21"/>
          <w:szCs w:val="21"/>
        </w:rPr>
        <w:t>chi-square</w:t>
      </w:r>
      <w:r>
        <w:rPr>
          <w:rFonts w:hint="eastAsia"/>
          <w:color w:val="000000" w:themeColor="text1"/>
          <w:sz w:val="21"/>
          <w:szCs w:val="21"/>
        </w:rPr>
        <w:t xml:space="preserve"> test. </w:t>
      </w:r>
    </w:p>
    <w:p w14:paraId="32AD6576">
      <w:pPr>
        <w:pStyle w:val="2"/>
        <w:spacing w:after="240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 xml:space="preserve">PIR, poverty impact ratio; MET, </w:t>
      </w:r>
      <w:r>
        <w:rPr>
          <w:color w:val="000000" w:themeColor="text1"/>
          <w:sz w:val="21"/>
          <w:szCs w:val="21"/>
        </w:rPr>
        <w:t>metabolic equivalent</w:t>
      </w:r>
      <w:r>
        <w:rPr>
          <w:rFonts w:hint="eastAsia"/>
          <w:color w:val="000000" w:themeColor="text1"/>
          <w:sz w:val="21"/>
          <w:szCs w:val="21"/>
        </w:rPr>
        <w:t>; BMI, body mass index; CVD, cardiovascular disease; CKD, c</w:t>
      </w:r>
      <w:r>
        <w:rPr>
          <w:color w:val="000000" w:themeColor="text1"/>
          <w:sz w:val="21"/>
          <w:szCs w:val="21"/>
        </w:rPr>
        <w:t>hronic kidney disease</w:t>
      </w:r>
      <w:r>
        <w:rPr>
          <w:rFonts w:hint="eastAsia"/>
          <w:color w:val="000000" w:themeColor="text1"/>
          <w:sz w:val="21"/>
          <w:szCs w:val="21"/>
        </w:rPr>
        <w:t xml:space="preserve">; HDL-C, </w:t>
      </w:r>
      <w:r>
        <w:rPr>
          <w:color w:val="000000" w:themeColor="text1"/>
          <w:sz w:val="21"/>
          <w:szCs w:val="21"/>
        </w:rPr>
        <w:t>high-density</w:t>
      </w:r>
      <w:r>
        <w:rPr>
          <w:rFonts w:hint="eastAsia"/>
          <w:color w:val="000000" w:themeColor="text1"/>
          <w:sz w:val="21"/>
          <w:szCs w:val="21"/>
        </w:rPr>
        <w:t xml:space="preserve"> lipoprotein cholesterol; TC, t</w:t>
      </w:r>
      <w:r>
        <w:rPr>
          <w:color w:val="000000" w:themeColor="text1"/>
          <w:sz w:val="21"/>
          <w:szCs w:val="21"/>
        </w:rPr>
        <w:t>otal cholesterol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22C39CD3">
      <w:pPr>
        <w:ind w:firstLine="480"/>
        <w:rPr>
          <w:rFonts w:hint="eastAsia"/>
          <w:color w:val="000000" w:themeColor="text1"/>
        </w:rPr>
      </w:pPr>
    </w:p>
    <w:p w14:paraId="45640C4A">
      <w:pPr>
        <w:ind w:firstLine="480"/>
        <w:rPr>
          <w:rFonts w:hint="eastAsia"/>
          <w:color w:val="000000" w:themeColor="text1"/>
        </w:rPr>
      </w:pPr>
    </w:p>
    <w:p w14:paraId="2A385138">
      <w:pPr>
        <w:ind w:firstLine="480"/>
        <w:rPr>
          <w:rFonts w:hint="eastAsia"/>
          <w:color w:val="000000" w:themeColor="text1"/>
        </w:rPr>
      </w:pPr>
    </w:p>
    <w:p w14:paraId="4D909F1E">
      <w:pPr>
        <w:ind w:firstLine="480"/>
        <w:rPr>
          <w:rFonts w:hint="eastAsia"/>
          <w:color w:val="000000" w:themeColor="text1"/>
        </w:rPr>
      </w:pPr>
    </w:p>
    <w:p w14:paraId="40353091">
      <w:pPr>
        <w:ind w:firstLine="480"/>
        <w:rPr>
          <w:rFonts w:hint="eastAsia"/>
          <w:color w:val="000000" w:themeColor="text1"/>
        </w:rPr>
      </w:pPr>
    </w:p>
    <w:p w14:paraId="53950F61">
      <w:pPr>
        <w:ind w:firstLine="480"/>
        <w:rPr>
          <w:rFonts w:hint="eastAsia"/>
          <w:color w:val="000000" w:themeColor="text1"/>
        </w:rPr>
      </w:pPr>
    </w:p>
    <w:p w14:paraId="187BDAE0">
      <w:pPr>
        <w:ind w:firstLine="480"/>
        <w:rPr>
          <w:rFonts w:hint="eastAsia"/>
          <w:color w:val="000000" w:themeColor="text1"/>
        </w:rPr>
      </w:pPr>
    </w:p>
    <w:p w14:paraId="628886A9">
      <w:pPr>
        <w:ind w:firstLine="480"/>
        <w:rPr>
          <w:rFonts w:hint="eastAsia"/>
          <w:color w:val="000000" w:themeColor="text1"/>
        </w:rPr>
      </w:pPr>
    </w:p>
    <w:p w14:paraId="2AA2DF95">
      <w:pPr>
        <w:ind w:firstLine="480"/>
        <w:rPr>
          <w:rFonts w:hint="eastAsia"/>
          <w:color w:val="000000" w:themeColor="text1"/>
        </w:rPr>
      </w:pPr>
    </w:p>
    <w:p w14:paraId="456816F8">
      <w:pPr>
        <w:ind w:firstLine="480"/>
        <w:rPr>
          <w:rFonts w:hint="eastAsia"/>
          <w:color w:val="000000" w:themeColor="text1"/>
        </w:rPr>
      </w:pPr>
    </w:p>
    <w:p w14:paraId="4545F8A4">
      <w:pPr>
        <w:ind w:firstLine="480"/>
        <w:rPr>
          <w:rFonts w:hint="eastAsia"/>
          <w:color w:val="000000" w:themeColor="text1"/>
        </w:rPr>
      </w:pPr>
    </w:p>
    <w:p w14:paraId="28608F89">
      <w:pPr>
        <w:ind w:firstLine="480"/>
        <w:rPr>
          <w:rFonts w:hint="eastAsia"/>
          <w:color w:val="000000" w:themeColor="text1"/>
        </w:rPr>
      </w:pPr>
    </w:p>
    <w:p w14:paraId="1B6F3A16">
      <w:pPr>
        <w:ind w:firstLine="480"/>
        <w:rPr>
          <w:rFonts w:hint="eastAsia"/>
          <w:color w:val="000000" w:themeColor="text1"/>
        </w:rPr>
      </w:pPr>
    </w:p>
    <w:p w14:paraId="15142421">
      <w:pPr>
        <w:rPr>
          <w:rStyle w:val="8"/>
          <w:rFonts w:eastAsia="等线"/>
          <w:color w:val="000000" w:themeColor="text1"/>
        </w:rPr>
      </w:pPr>
      <w:r>
        <w:rPr>
          <w:rStyle w:val="8"/>
          <w:rFonts w:eastAsia="等线"/>
          <w:color w:val="000000" w:themeColor="text1"/>
        </w:rPr>
        <w:t>Table</w:t>
      </w:r>
      <w:r>
        <w:rPr>
          <w:rStyle w:val="8"/>
          <w:rFonts w:hint="eastAsia" w:eastAsia="等线"/>
          <w:color w:val="000000" w:themeColor="text1"/>
        </w:rPr>
        <w:t xml:space="preserve"> </w:t>
      </w:r>
      <w:r>
        <w:rPr>
          <w:rStyle w:val="8"/>
          <w:rFonts w:eastAsia="等线"/>
          <w:color w:val="000000" w:themeColor="text1"/>
        </w:rPr>
        <w:t>S</w:t>
      </w:r>
      <w:r>
        <w:rPr>
          <w:rStyle w:val="8"/>
          <w:rFonts w:hint="eastAsia" w:eastAsia="等线"/>
          <w:color w:val="000000" w:themeColor="text1"/>
        </w:rPr>
        <w:t>5</w:t>
      </w:r>
      <w:r>
        <w:rPr>
          <w:rStyle w:val="8"/>
          <w:rFonts w:eastAsia="等线"/>
          <w:color w:val="000000" w:themeColor="text1"/>
        </w:rPr>
        <w:t>.</w:t>
      </w:r>
      <w:r>
        <w:rPr>
          <w:rStyle w:val="8"/>
          <w:rFonts w:hint="eastAsia" w:eastAsia="等线"/>
          <w:color w:val="000000" w:themeColor="text1"/>
        </w:rPr>
        <w:t xml:space="preserve"> </w:t>
      </w:r>
      <w:r>
        <w:rPr>
          <w:rStyle w:val="8"/>
          <w:rFonts w:eastAsia="等线"/>
          <w:color w:val="000000" w:themeColor="text1"/>
        </w:rPr>
        <w:t>Association between a single urinary mVOC quartile and the risk of sarcopenia in an investigation weighted multivariate logistic regression.</w:t>
      </w:r>
    </w:p>
    <w:tbl>
      <w:tblPr>
        <w:tblStyle w:val="6"/>
        <w:tblW w:w="49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1917"/>
        <w:gridCol w:w="1923"/>
        <w:gridCol w:w="1874"/>
        <w:gridCol w:w="2156"/>
      </w:tblGrid>
      <w:tr w14:paraId="2859556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</w:tcPr>
          <w:p w14:paraId="40BABA10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0DADE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4"/>
                <w:szCs w:val="24"/>
              </w:rPr>
              <w:t>OR (95%CI)</w:t>
            </w:r>
          </w:p>
        </w:tc>
      </w:tr>
      <w:tr w14:paraId="563EDE84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</w:tcPr>
          <w:p w14:paraId="062F548D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B54CD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1236C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8D61A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B7A84A0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</w:tr>
      <w:tr w14:paraId="56EF6875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EB597A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2MHA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469E6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4ACD0B61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872A6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73238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62DD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0.80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(0.48, 1.32)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A1F8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1.00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(0.59, 1.69)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581FE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0.87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(0.56, 1.36)</w:t>
            </w:r>
          </w:p>
        </w:tc>
      </w:tr>
      <w:tr w14:paraId="43908B63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3A6AF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277B8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B8B9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0.83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(0.49, 1.40)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60E1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1.07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0.60, 1.92)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B889E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0.86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(0.52, 1.43)</w:t>
            </w:r>
          </w:p>
        </w:tc>
      </w:tr>
      <w:tr w14:paraId="475E0BE7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402EA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4AA6C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C8ED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0753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0DB82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3.19)</w:t>
            </w:r>
          </w:p>
        </w:tc>
      </w:tr>
      <w:tr w14:paraId="3FCA388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FB7A0D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3,4-MHA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63C76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42F723D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BE7A60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DA291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77EE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BF6B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30)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B507C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(0.79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90)</w:t>
            </w:r>
          </w:p>
        </w:tc>
      </w:tr>
      <w:tr w14:paraId="37B85317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27002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3E3E4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7D64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17)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51DC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2.56)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23C13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(0.94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3.53)</w:t>
            </w:r>
          </w:p>
        </w:tc>
      </w:tr>
      <w:tr w14:paraId="4D96EF06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5879B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422B9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EE59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1.23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(0.64, 2.37)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BCD37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11, 4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48)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CCA9B2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43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 4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97)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</w:tr>
      <w:tr w14:paraId="047256A7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5C9F75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AAMA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E2306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3A49752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73045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7B000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D1F1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F0D5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90E90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4)</w:t>
            </w:r>
          </w:p>
        </w:tc>
      </w:tr>
      <w:tr w14:paraId="5CF826D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F206CC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F9E1B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3FD2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356F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80, 2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5CC62D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77)</w:t>
            </w:r>
          </w:p>
        </w:tc>
      </w:tr>
      <w:tr w14:paraId="18956091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F81A4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149A1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73F3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0EDE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51)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E4B23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54)</w:t>
            </w:r>
          </w:p>
        </w:tc>
      </w:tr>
      <w:tr w14:paraId="2FAD6D83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A64ED4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AMCC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ADEAD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3D65E722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B4F0C3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935FD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14D4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E1B7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81)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BFB3E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04)</w:t>
            </w:r>
          </w:p>
        </w:tc>
      </w:tr>
      <w:tr w14:paraId="506DA05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60D60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2FE7EE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AFD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4C21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0.8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.3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B6D74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17)</w:t>
            </w:r>
          </w:p>
        </w:tc>
      </w:tr>
      <w:tr w14:paraId="7C0DDFF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AD633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C398C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A0BA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18)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DBFF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2A265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84)</w:t>
            </w:r>
          </w:p>
        </w:tc>
      </w:tr>
      <w:tr w14:paraId="0E2A309E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B5643C6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ATCA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2E78E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3FE14932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97E4F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37506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3C77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7466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B44C5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</w:tr>
      <w:tr w14:paraId="17EFAA8E">
        <w:trPr>
          <w:trHeight w:val="265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C1E7B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E34E8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8F60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3219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AFD714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96)</w:t>
            </w:r>
          </w:p>
        </w:tc>
      </w:tr>
      <w:tr w14:paraId="59F336D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6EC38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4F155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3610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E5E5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CD6727E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94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39)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>*</w:t>
            </w:r>
          </w:p>
        </w:tc>
      </w:tr>
      <w:tr w14:paraId="6046AE4D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28BEBF6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SBMA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820FF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78259FAD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99ADB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CAB2FD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6E81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59)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3129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1BD59A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77)</w:t>
            </w:r>
          </w:p>
        </w:tc>
      </w:tr>
      <w:tr w14:paraId="3082281C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6BB6A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4AA91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5A65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ACFB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04)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D05CB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64)</w:t>
            </w:r>
          </w:p>
        </w:tc>
      </w:tr>
      <w:tr w14:paraId="11660510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497A2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E0556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845F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1.02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061B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13)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111BD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12)</w:t>
            </w:r>
          </w:p>
        </w:tc>
      </w:tr>
      <w:tr w14:paraId="3A0CB210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DCF741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CEMA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6342E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5E7041E0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17D22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E4E5F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6A5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(0.90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2.42)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9E44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(0.78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2.32)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F6F70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88)</w:t>
            </w:r>
          </w:p>
        </w:tc>
      </w:tr>
      <w:tr w14:paraId="5F6335A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9C294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E79E9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D04D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(0.82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2.35)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F861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78265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82)</w:t>
            </w:r>
          </w:p>
        </w:tc>
      </w:tr>
      <w:tr w14:paraId="465A4D7E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0E89B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C6B60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133E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08)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21D0E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47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1.90)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*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D19BFF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19)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>*</w:t>
            </w:r>
          </w:p>
        </w:tc>
      </w:tr>
      <w:tr w14:paraId="228B3852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15BBC09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CYMA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94FE8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729DB13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FC6EB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C31376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7561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(0.98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42)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E8AD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DC250A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0.7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92)</w:t>
            </w:r>
          </w:p>
        </w:tc>
      </w:tr>
      <w:tr w14:paraId="0DD660F2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A4B04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0B3BE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5076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71)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993A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A2E92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20)</w:t>
            </w:r>
          </w:p>
        </w:tc>
      </w:tr>
      <w:tr w14:paraId="65B17C6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51E21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5BF68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CA4D4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86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 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09)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C3D6C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49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 4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66)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6D1AF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21)</w:t>
            </w:r>
          </w:p>
        </w:tc>
      </w:tr>
      <w:tr w14:paraId="37FCB78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FE7E77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DHBMA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68F86">
            <w:pPr>
              <w:ind w:firstLine="400"/>
              <w:jc w:val="center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</w:tr>
      <w:tr w14:paraId="06C21805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1AC56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142C8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D19B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0B08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410776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19)</w:t>
            </w:r>
          </w:p>
        </w:tc>
      </w:tr>
      <w:tr w14:paraId="7A50C347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202A9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0FCF1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830B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2DA3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56)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3B419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(1.02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77)</w:t>
            </w:r>
          </w:p>
        </w:tc>
      </w:tr>
      <w:tr w14:paraId="57FEDA55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60712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E2CB4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C326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72)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vertAlign w:val="superscript"/>
              </w:rPr>
              <w:t xml:space="preserve"> 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6D00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29)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vertAlign w:val="superscript"/>
              </w:rPr>
              <w:t xml:space="preserve"> 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A71C8B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06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07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94)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>*</w:t>
            </w:r>
          </w:p>
        </w:tc>
      </w:tr>
      <w:tr w14:paraId="259CAF4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0AE6E9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2HPMA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97866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3F6400AB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FD28E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9173E9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A3AA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2,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8A07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70A48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35)</w:t>
            </w:r>
          </w:p>
        </w:tc>
      </w:tr>
      <w:tr w14:paraId="1E500BA3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7A7A1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AB63C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FC0C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29)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46DC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16)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65894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11)</w:t>
            </w:r>
          </w:p>
        </w:tc>
      </w:tr>
      <w:tr w14:paraId="2BC488F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DB317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04DC5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5240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341F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48)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C7318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83)</w:t>
            </w:r>
          </w:p>
        </w:tc>
      </w:tr>
      <w:tr w14:paraId="3981D92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C78C61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3HPMA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1297F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27BEFC32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575B71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FFCDC9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78FC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61)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2C57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.6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9E44B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62)</w:t>
            </w:r>
          </w:p>
        </w:tc>
      </w:tr>
      <w:tr w14:paraId="227CDE1E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DDCA3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BA3F88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2044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AB1D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B6739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49)</w:t>
            </w:r>
          </w:p>
        </w:tc>
      </w:tr>
      <w:tr w14:paraId="62FC0B2A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B61E75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F592A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90A6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77)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01E08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27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 1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74)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>*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2ECD6D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84 (1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05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>21)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</w:tr>
      <w:tr w14:paraId="2718605E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454882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BA5E7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0155221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35BAA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45B37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1C0C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C89A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61)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488CF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 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47)</w:t>
            </w:r>
          </w:p>
        </w:tc>
      </w:tr>
      <w:tr w14:paraId="0F68CDF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A09D34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FC0FF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E01C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6F0D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A2D8E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36)</w:t>
            </w:r>
          </w:p>
        </w:tc>
      </w:tr>
      <w:tr w14:paraId="00A8091D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B377A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01BDC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A1DB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94)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1AAC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F2475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27)</w:t>
            </w:r>
          </w:p>
        </w:tc>
      </w:tr>
      <w:tr w14:paraId="1065D4A4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72409A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MHBMA3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52E16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52438138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9B587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B9DB29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9DB4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EB72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31)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85CE2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17)</w:t>
            </w:r>
          </w:p>
        </w:tc>
      </w:tr>
      <w:tr w14:paraId="59E76E99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C1184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CC90C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B760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C5A9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3D11F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</w:tr>
      <w:tr w14:paraId="6BD64484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8AC83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2F974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B92E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19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96)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06BE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C88D0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0.9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33)</w:t>
            </w:r>
          </w:p>
        </w:tc>
      </w:tr>
      <w:tr w14:paraId="55EF281A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0F5E0A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PGA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75044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69A06BC6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2E260C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A6E13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B0D0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20)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F2CF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1.3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FCE9C2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34)</w:t>
            </w:r>
          </w:p>
        </w:tc>
      </w:tr>
      <w:tr w14:paraId="1FC6A7DC">
        <w:trPr>
          <w:trHeight w:val="310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5382E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0D13741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1649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D0CF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32)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A7146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23)</w:t>
            </w:r>
          </w:p>
        </w:tc>
      </w:tr>
      <w:tr w14:paraId="3053546A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32260B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E606E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2C5D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16)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DD7A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78)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96DAC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88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80)</w:t>
            </w:r>
          </w:p>
        </w:tc>
      </w:tr>
      <w:tr w14:paraId="4D794D94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DA3DBA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HMPMA</w:t>
            </w:r>
          </w:p>
        </w:tc>
        <w:tc>
          <w:tcPr>
            <w:tcW w:w="40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ECC87">
            <w:pPr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14:paraId="578DB5AF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A20E3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Unadjusted Model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09347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DBDA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94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59)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25B8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 xml:space="preserve">, 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25)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0E52D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1.2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7)</w:t>
            </w:r>
          </w:p>
        </w:tc>
      </w:tr>
      <w:tr w14:paraId="6B0B4A6A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7FECC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1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AB052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17D0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86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49)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5BFB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2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10)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A9CC3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09)</w:t>
            </w:r>
          </w:p>
        </w:tc>
      </w:tr>
      <w:tr w14:paraId="2F5B6DFD">
        <w:trPr>
          <w:trHeight w:val="278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B32C3D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Adjusted Model 2</w:t>
            </w: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8ECD6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Reference</w:t>
            </w:r>
          </w:p>
        </w:tc>
        <w:tc>
          <w:tcPr>
            <w:tcW w:w="9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B46F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0.73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43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25)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DEA9D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11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67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83)</w:t>
            </w:r>
          </w:p>
        </w:tc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6E5910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93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ab/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(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55</w:t>
            </w:r>
            <w:r>
              <w:rPr>
                <w:rFonts w:ascii="Times New Roman" w:hAnsi="Times New Roman"/>
                <w:color w:val="000000" w:themeColor="text1"/>
                <w:kern w:val="0"/>
              </w:rPr>
              <w:t>, 1.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56)</w:t>
            </w:r>
          </w:p>
        </w:tc>
      </w:tr>
    </w:tbl>
    <w:p w14:paraId="61975F12">
      <w:pPr>
        <w:pStyle w:val="2"/>
        <w:rPr>
          <w:color w:val="000000" w:themeColor="text1"/>
          <w:sz w:val="21"/>
          <w:szCs w:val="21"/>
        </w:rPr>
      </w:pPr>
      <w:bookmarkStart w:id="20" w:name="_Hlk169041145"/>
      <w:r>
        <w:rPr>
          <w:color w:val="000000" w:themeColor="text1"/>
          <w:sz w:val="21"/>
          <w:szCs w:val="21"/>
        </w:rPr>
        <w:t>*P value &lt; 0.05.</w:t>
      </w:r>
    </w:p>
    <w:p w14:paraId="07271F6B">
      <w:pPr>
        <w:pStyle w:val="2"/>
        <w:rPr>
          <w:color w:val="000000" w:themeColor="text1"/>
          <w:sz w:val="21"/>
          <w:szCs w:val="21"/>
        </w:rPr>
      </w:pPr>
    </w:p>
    <w:p w14:paraId="02ECF23D">
      <w:pPr>
        <w:pStyle w:val="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Model 1: adjusted for sociodemographic data (age, sex, race, education level, family income)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5715C1A3">
      <w:pPr>
        <w:pStyle w:val="2"/>
        <w:rPr>
          <w:color w:val="000000" w:themeColor="text1"/>
          <w:sz w:val="21"/>
          <w:szCs w:val="21"/>
        </w:rPr>
      </w:pPr>
    </w:p>
    <w:p w14:paraId="78B25BE3">
      <w:pPr>
        <w:pStyle w:val="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Model 2: further adjusted for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comorbidities (hypertension, diabetes, cardiovascular disease, cancer, chronic kidney disease), and lipid profile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6D7C03DB">
      <w:pPr>
        <w:pStyle w:val="2"/>
        <w:rPr>
          <w:color w:val="000000" w:themeColor="text1"/>
          <w:sz w:val="21"/>
          <w:szCs w:val="21"/>
        </w:rPr>
      </w:pPr>
    </w:p>
    <w:p w14:paraId="49ACD415">
      <w:pPr>
        <w:pStyle w:val="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mVOCs, metabolites of volatile organic compounds;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bookmarkEnd w:id="20"/>
      <w:r>
        <w:rPr>
          <w:color w:val="000000" w:themeColor="text1"/>
          <w:sz w:val="21"/>
          <w:szCs w:val="21"/>
        </w:rPr>
        <w:t>OR, odds ratio; CI, confidence interval; 2MHA，2-Methylhippuric acid; 3,4MHA，3- and 4-Methylhippuric acid; AAMA，N-Acetyl-S-(2-carbamoylethyl)-L-cysteine; AMCC，N-Acetyl-S-(N-methylcarbamoyl)-L-cysteine; ATCA, 2-Aminothiazoline-4-carboxylic acid; SAMA，N-Acetyl-S-(benzyl)-L-cysteine;  CEMA，N-Acetyl-S-(2-carboxyethyl)-L-cysteine; CYMA，N-Acetyl-S-(2-cyanoethyl)-L-cysteine; DHBMA，N-Acetyl-S-(3,4-dihydroxybutyl)-L-cysteine; 2HPMA，N-Acetyl-S-(2-hydroxypropyl)-L-cysteine; 3HPMA，N-Acetyl-S-(3-hydroxypropyl)-L-cysteine; MA， Mandelic acid; MHBMA3，N-Acetyl-S-(4-hydroxy-2-butenyl)-L-cysteine; PGA，Phenylglyoxylic acid； HPMMA，N-Acetyl-S-(3-hydroxypropyl-1-methyl)-L-cysteine.</w:t>
      </w:r>
    </w:p>
    <w:p w14:paraId="0650F649">
      <w:pPr>
        <w:pStyle w:val="2"/>
        <w:spacing w:after="312"/>
        <w:rPr>
          <w:color w:val="000000" w:themeColor="text1"/>
        </w:rPr>
      </w:pPr>
    </w:p>
    <w:p w14:paraId="6B04FB06">
      <w:pPr>
        <w:ind w:firstLine="480"/>
        <w:rPr>
          <w:rFonts w:hint="eastAsia"/>
          <w:color w:val="000000" w:themeColor="text1"/>
        </w:rPr>
      </w:pPr>
    </w:p>
    <w:p w14:paraId="391F1156">
      <w:pPr>
        <w:ind w:firstLine="480"/>
        <w:rPr>
          <w:rFonts w:hint="eastAsia"/>
          <w:color w:val="000000" w:themeColor="text1"/>
        </w:rPr>
      </w:pPr>
    </w:p>
    <w:p w14:paraId="77E8E954">
      <w:pPr>
        <w:ind w:firstLine="480"/>
        <w:rPr>
          <w:rFonts w:hint="eastAsia"/>
          <w:color w:val="000000" w:themeColor="text1"/>
        </w:rPr>
      </w:pPr>
    </w:p>
    <w:p w14:paraId="3D4C3A98">
      <w:pPr>
        <w:ind w:firstLine="480"/>
        <w:rPr>
          <w:rFonts w:hint="eastAsia"/>
          <w:color w:val="000000" w:themeColor="text1"/>
        </w:rPr>
      </w:pPr>
    </w:p>
    <w:p w14:paraId="3070B575">
      <w:pPr>
        <w:rPr>
          <w:rStyle w:val="8"/>
          <w:rFonts w:eastAsia="等线"/>
          <w:color w:val="000000" w:themeColor="text1"/>
        </w:rPr>
      </w:pPr>
      <w:r>
        <w:rPr>
          <w:rStyle w:val="8"/>
          <w:rFonts w:eastAsia="等线"/>
          <w:color w:val="000000" w:themeColor="text1"/>
        </w:rPr>
        <w:t>Table</w:t>
      </w:r>
      <w:r>
        <w:rPr>
          <w:rStyle w:val="8"/>
          <w:rFonts w:hint="eastAsia" w:eastAsia="等线"/>
          <w:color w:val="000000" w:themeColor="text1"/>
        </w:rPr>
        <w:t xml:space="preserve"> </w:t>
      </w:r>
      <w:r>
        <w:rPr>
          <w:rStyle w:val="8"/>
          <w:rFonts w:eastAsia="等线"/>
          <w:color w:val="000000" w:themeColor="text1"/>
        </w:rPr>
        <w:t>S</w:t>
      </w:r>
      <w:r>
        <w:rPr>
          <w:rStyle w:val="8"/>
          <w:rFonts w:hint="eastAsia" w:eastAsia="等线"/>
          <w:color w:val="000000" w:themeColor="text1"/>
        </w:rPr>
        <w:t>6</w:t>
      </w:r>
      <w:r>
        <w:rPr>
          <w:rStyle w:val="8"/>
          <w:rFonts w:eastAsia="等线"/>
          <w:color w:val="000000" w:themeColor="text1"/>
        </w:rPr>
        <w:t>.</w:t>
      </w:r>
      <w:r>
        <w:rPr>
          <w:rStyle w:val="8"/>
          <w:rFonts w:hint="eastAsia" w:eastAsia="等线"/>
          <w:color w:val="000000" w:themeColor="text1"/>
        </w:rPr>
        <w:t xml:space="preserve"> </w:t>
      </w:r>
      <w:r>
        <w:rPr>
          <w:rStyle w:val="8"/>
          <w:rFonts w:eastAsia="等线"/>
          <w:color w:val="000000" w:themeColor="text1"/>
        </w:rPr>
        <w:t xml:space="preserve">Combined association of mVOCs mixtures with sarcopenia in LASSO-based </w:t>
      </w:r>
      <w:r>
        <w:rPr>
          <w:rStyle w:val="8"/>
          <w:rFonts w:hint="eastAsia" w:eastAsia="等线"/>
          <w:color w:val="000000" w:themeColor="text1"/>
        </w:rPr>
        <w:t>qgcomp</w:t>
      </w:r>
      <w:r>
        <w:rPr>
          <w:rStyle w:val="8"/>
          <w:rFonts w:eastAsia="等线"/>
          <w:color w:val="000000" w:themeColor="text1"/>
        </w:rPr>
        <w:t xml:space="preserve"> regression models (positive and negative directions).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2444"/>
        <w:gridCol w:w="2433"/>
        <w:gridCol w:w="2402"/>
      </w:tblGrid>
      <w:tr w14:paraId="2CF2E664">
        <w:trPr>
          <w:trHeight w:val="278" w:hRule="atLeast"/>
          <w:jc w:val="center"/>
        </w:trPr>
        <w:tc>
          <w:tcPr>
            <w:tcW w:w="2444" w:type="dxa"/>
          </w:tcPr>
          <w:p w14:paraId="4B5F8229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0"/>
              </w:rPr>
              <w:t>Mixture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 xml:space="preserve"> OR (95%CI)</w:t>
            </w:r>
          </w:p>
        </w:tc>
        <w:tc>
          <w:tcPr>
            <w:tcW w:w="2444" w:type="dxa"/>
          </w:tcPr>
          <w:p w14:paraId="2A114A1E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Direction</w:t>
            </w:r>
          </w:p>
        </w:tc>
        <w:tc>
          <w:tcPr>
            <w:tcW w:w="2433" w:type="dxa"/>
          </w:tcPr>
          <w:p w14:paraId="745537F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mVOCs</w:t>
            </w:r>
          </w:p>
        </w:tc>
        <w:tc>
          <w:tcPr>
            <w:tcW w:w="2402" w:type="dxa"/>
          </w:tcPr>
          <w:p w14:paraId="0450DB1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Weight (%)</w:t>
            </w:r>
          </w:p>
        </w:tc>
      </w:tr>
      <w:tr w14:paraId="32F7008E">
        <w:trPr>
          <w:trHeight w:val="278" w:hRule="atLeast"/>
          <w:jc w:val="center"/>
        </w:trPr>
        <w:tc>
          <w:tcPr>
            <w:tcW w:w="2444" w:type="dxa"/>
            <w:vMerge w:val="restart"/>
            <w:vAlign w:val="center"/>
          </w:tcPr>
          <w:p w14:paraId="7D7D51A8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sz w:val="20"/>
              </w:rPr>
              <w:t>1.47 (1.14,1.91)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  <w:vertAlign w:val="superscript"/>
              </w:rPr>
              <w:t xml:space="preserve"> *</w:t>
            </w:r>
          </w:p>
        </w:tc>
        <w:tc>
          <w:tcPr>
            <w:tcW w:w="2444" w:type="dxa"/>
          </w:tcPr>
          <w:p w14:paraId="4BB2973C">
            <w:pP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  <w:t>Positive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kern w:val="0"/>
              </w:rPr>
              <w:t xml:space="preserve"> direction</w:t>
            </w:r>
          </w:p>
        </w:tc>
        <w:tc>
          <w:tcPr>
            <w:tcW w:w="2433" w:type="dxa"/>
          </w:tcPr>
          <w:p w14:paraId="1D60C6B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>DHBMA</w:t>
            </w:r>
          </w:p>
        </w:tc>
        <w:tc>
          <w:tcPr>
            <w:tcW w:w="2402" w:type="dxa"/>
          </w:tcPr>
          <w:p w14:paraId="24B4463B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31.7%</w:t>
            </w:r>
          </w:p>
        </w:tc>
      </w:tr>
      <w:tr w14:paraId="1AE8292C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48DD0720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26731A9">
            <w:pPr>
              <w:ind w:firstLine="105" w:firstLineChars="50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  <w:tc>
          <w:tcPr>
            <w:tcW w:w="2433" w:type="dxa"/>
          </w:tcPr>
          <w:p w14:paraId="2BE914D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3HPMA</w:t>
            </w:r>
          </w:p>
        </w:tc>
        <w:tc>
          <w:tcPr>
            <w:tcW w:w="2402" w:type="dxa"/>
          </w:tcPr>
          <w:p w14:paraId="27D1138F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26.1%</w:t>
            </w:r>
          </w:p>
        </w:tc>
      </w:tr>
      <w:tr w14:paraId="2A04E3E7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578036C1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CC165AC">
            <w:pPr>
              <w:ind w:firstLine="105" w:firstLineChars="50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  <w:tc>
          <w:tcPr>
            <w:tcW w:w="2433" w:type="dxa"/>
          </w:tcPr>
          <w:p w14:paraId="52667656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ATCA</w:t>
            </w:r>
          </w:p>
        </w:tc>
        <w:tc>
          <w:tcPr>
            <w:tcW w:w="2402" w:type="dxa"/>
          </w:tcPr>
          <w:p w14:paraId="3FD6AF03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18.0%</w:t>
            </w:r>
          </w:p>
        </w:tc>
      </w:tr>
      <w:tr w14:paraId="7744C640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18A7D848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7A2100F1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33" w:type="dxa"/>
          </w:tcPr>
          <w:p w14:paraId="5F2E25FE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3,4MHA</w:t>
            </w:r>
          </w:p>
        </w:tc>
        <w:tc>
          <w:tcPr>
            <w:tcW w:w="2402" w:type="dxa"/>
          </w:tcPr>
          <w:p w14:paraId="087478A3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>14.0%</w:t>
            </w:r>
          </w:p>
        </w:tc>
      </w:tr>
      <w:tr w14:paraId="6C8A4AE0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24767891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FFC1B21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33" w:type="dxa"/>
          </w:tcPr>
          <w:p w14:paraId="35A9B3A1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>AMCC</w:t>
            </w:r>
          </w:p>
        </w:tc>
        <w:tc>
          <w:tcPr>
            <w:tcW w:w="2402" w:type="dxa"/>
          </w:tcPr>
          <w:p w14:paraId="4A5CFE08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>10.2%</w:t>
            </w:r>
          </w:p>
        </w:tc>
      </w:tr>
      <w:tr w14:paraId="7C5BB2DA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106768A4">
            <w:pPr>
              <w:ind w:firstLine="40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A261964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Negative</w:t>
            </w: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 xml:space="preserve"> direction</w:t>
            </w:r>
          </w:p>
        </w:tc>
        <w:tc>
          <w:tcPr>
            <w:tcW w:w="2433" w:type="dxa"/>
          </w:tcPr>
          <w:p w14:paraId="52A90BE9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0"/>
              </w:rPr>
              <w:t>MHBMA3</w:t>
            </w:r>
          </w:p>
        </w:tc>
        <w:tc>
          <w:tcPr>
            <w:tcW w:w="2402" w:type="dxa"/>
          </w:tcPr>
          <w:p w14:paraId="3A3AC9C7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34.3%</w:t>
            </w:r>
          </w:p>
        </w:tc>
      </w:tr>
      <w:tr w14:paraId="5FEC3C88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64E9540C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64A3E21">
            <w:pPr>
              <w:ind w:firstLine="105" w:firstLineChars="50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  <w:tc>
          <w:tcPr>
            <w:tcW w:w="2433" w:type="dxa"/>
          </w:tcPr>
          <w:p w14:paraId="493E55CC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SBMA</w:t>
            </w:r>
          </w:p>
        </w:tc>
        <w:tc>
          <w:tcPr>
            <w:tcW w:w="2402" w:type="dxa"/>
          </w:tcPr>
          <w:p w14:paraId="776E5CD5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22.0%</w:t>
            </w:r>
          </w:p>
        </w:tc>
      </w:tr>
      <w:tr w14:paraId="0CCDCB76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04DB0FA4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2F3BF12">
            <w:pPr>
              <w:ind w:firstLine="105" w:firstLineChars="50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  <w:tc>
          <w:tcPr>
            <w:tcW w:w="2433" w:type="dxa"/>
          </w:tcPr>
          <w:p w14:paraId="3BF61418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AAMA</w:t>
            </w:r>
          </w:p>
        </w:tc>
        <w:tc>
          <w:tcPr>
            <w:tcW w:w="2402" w:type="dxa"/>
          </w:tcPr>
          <w:p w14:paraId="6A6DAE8A">
            <w:pPr>
              <w:rPr>
                <w:rFonts w:ascii="Times New Roman" w:hAnsi="Times New Roman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</w:rPr>
              <w:t>21.8%</w:t>
            </w:r>
          </w:p>
        </w:tc>
      </w:tr>
      <w:tr w14:paraId="0F7CBBB0">
        <w:trPr>
          <w:trHeight w:val="278" w:hRule="atLeast"/>
          <w:jc w:val="center"/>
        </w:trPr>
        <w:tc>
          <w:tcPr>
            <w:tcW w:w="2444" w:type="dxa"/>
            <w:vMerge w:val="continue"/>
          </w:tcPr>
          <w:p w14:paraId="4E0333DA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44" w:type="dxa"/>
          </w:tcPr>
          <w:p w14:paraId="6BE8FEB2">
            <w:pPr>
              <w:ind w:firstLine="100" w:firstLineChars="50"/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</w:p>
        </w:tc>
        <w:tc>
          <w:tcPr>
            <w:tcW w:w="2433" w:type="dxa"/>
          </w:tcPr>
          <w:p w14:paraId="647FDDF6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</w:rPr>
              <w:t>2HPMA</w:t>
            </w:r>
          </w:p>
        </w:tc>
        <w:tc>
          <w:tcPr>
            <w:tcW w:w="2402" w:type="dxa"/>
          </w:tcPr>
          <w:p w14:paraId="18730468">
            <w:pPr>
              <w:rPr>
                <w:rFonts w:ascii="Times New Roman" w:hAnsi="Times New Roman"/>
                <w:color w:val="000000" w:themeColor="text1"/>
                <w:kern w:val="0"/>
                <w:sz w:val="20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0"/>
              </w:rPr>
              <w:t>21.8%</w:t>
            </w:r>
          </w:p>
        </w:tc>
      </w:tr>
    </w:tbl>
    <w:p w14:paraId="121CB1BF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*P value &lt; 0.05.</w:t>
      </w:r>
    </w:p>
    <w:p w14:paraId="71DB9705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Covariates included sociodemographic data (age, sex, race, education level, family income), lifestyle characteristics (body mass index, sedentary behavior,</w:t>
      </w:r>
      <w:r>
        <w:rPr>
          <w:color w:val="000000" w:themeColor="text1"/>
          <w:sz w:val="22"/>
          <w:szCs w:val="24"/>
        </w:rPr>
        <w:t xml:space="preserve">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 xml:space="preserve">smoking status, alcohol consumption), presence of comorbidities (hypertension, diabetes, cardiovascular disease, cancer, chronic kidney disease), and lipid profile. </w:t>
      </w:r>
    </w:p>
    <w:p w14:paraId="103D8238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LASSO, least absolute shrinkage and selection operator; qgcomp: quantileg computation; mVOCs, metabolites of volatile organic compounds; OR, odds ratio; CI, confidence interval; 3,4MHA，3- and 4-Methylhippuric acid; AAMA，N-Acetyl-S-(2-carbamoylethyl)-L-cysteine; AMCC，N-Acetyl-S-(N-methylcarbamoyl)-L-cysteine; ATCA, 2-Aminothiazoline-4-carboxylic acid; SAMA，N-Acetyl-S-(benzyl)-L-cysteine; DHBMA，N-Acetyl-S-(3,4-dihydroxybutyl)-L-cysteine; 2HPMA，N-Acetyl-S-(2-hydroxypropyl)-L-cysteine; 3HPMA，N-Acetyl-S-(3-hydroxypropyl)-L-cysteine; MHBMA3，N-Acetyl-S-(4-hydroxy-2-butenyl)-L-cysteine.</w:t>
      </w:r>
    </w:p>
    <w:p w14:paraId="22B96B4C">
      <w:pPr>
        <w:pStyle w:val="2"/>
        <w:spacing w:after="312"/>
        <w:rPr>
          <w:color w:val="000000" w:themeColor="text1"/>
        </w:rPr>
      </w:pPr>
    </w:p>
    <w:p w14:paraId="3E560AFE">
      <w:pPr>
        <w:ind w:firstLine="480"/>
        <w:rPr>
          <w:rFonts w:hint="eastAsia"/>
          <w:color w:val="000000" w:themeColor="text1"/>
        </w:rPr>
      </w:pPr>
    </w:p>
    <w:p w14:paraId="05F07796">
      <w:pPr>
        <w:ind w:firstLine="480"/>
        <w:rPr>
          <w:rFonts w:hint="eastAsia"/>
          <w:color w:val="000000" w:themeColor="text1"/>
        </w:rPr>
      </w:pPr>
    </w:p>
    <w:p w14:paraId="752869A4">
      <w:pPr>
        <w:ind w:firstLine="480"/>
        <w:rPr>
          <w:rFonts w:hint="eastAsia"/>
          <w:color w:val="000000" w:themeColor="text1"/>
        </w:rPr>
      </w:pPr>
    </w:p>
    <w:p w14:paraId="2A69A29A">
      <w:pPr>
        <w:pStyle w:val="4"/>
        <w:spacing w:before="0" w:beforeAutospacing="0" w:after="0" w:afterAutospacing="0"/>
        <w:rPr>
          <w:rStyle w:val="8"/>
          <w:rFonts w:eastAsia="等线"/>
          <w:color w:val="000000" w:themeColor="text1"/>
        </w:rPr>
      </w:pPr>
      <w:r>
        <w:rPr>
          <w:rStyle w:val="8"/>
          <w:rFonts w:hint="eastAsia" w:eastAsia="等线"/>
          <w:color w:val="000000" w:themeColor="text1"/>
        </w:rPr>
        <w:t>Table S7. The relationship between 3,4MHA exposure and the prevalence of sarcopenia according to different subgroups.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1"/>
        <w:gridCol w:w="3925"/>
        <w:gridCol w:w="2236"/>
      </w:tblGrid>
      <w:tr w14:paraId="604FED08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318FC8A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3,4MHA subgroups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7412BA2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OR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(95CI)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0D7BC56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 for interaction</w:t>
            </w:r>
          </w:p>
        </w:tc>
      </w:tr>
      <w:tr w14:paraId="6A426A49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7545411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Age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7CDF12D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14E32D02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08</w:t>
            </w:r>
          </w:p>
        </w:tc>
      </w:tr>
      <w:tr w14:paraId="1A22DE49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10F4541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&lt;40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084A49C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24FD07D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ED96808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46B650D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&gt;=40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5B47218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1.3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52DE8D2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CCC6853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3578DF7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Sex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7921829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159AC035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</w:p>
        </w:tc>
      </w:tr>
      <w:tr w14:paraId="4751DDBB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78CB256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male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24668D9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0D5314C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4991BF8A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2AB41FE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female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5B39D4D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1.3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,1.6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54A7EF3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312EAB8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776DFCC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BMI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5188455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73D9515A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</w:p>
        </w:tc>
      </w:tr>
      <w:tr w14:paraId="2C6918D4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37C38CF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&lt;30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64034D1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(0.8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6DB0A2F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DBE3821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56EA45E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&gt;=30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74893E7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0)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502DF28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F41111F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557C12F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Sedentary time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13F08AC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0E0920EE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</w:t>
            </w:r>
          </w:p>
        </w:tc>
      </w:tr>
      <w:tr w14:paraId="11668E1A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4E3A90C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&lt;6h/day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37D0025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41F5E53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182C49C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2666343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&gt;=6h/day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39EEFC3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,1.7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204EFE6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C25D04F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60BD4C9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Hypertension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592F43D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054AA843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</w:p>
        </w:tc>
      </w:tr>
      <w:tr w14:paraId="285A8CDC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71B5227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4CF913A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0A743D2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0917378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34DA944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40778F7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4)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45C84F2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72DF18D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5707967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Diabetes mellitus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59232A5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351C3BC6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</w:p>
        </w:tc>
      </w:tr>
      <w:tr w14:paraId="607039A9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589860C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68C6634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1DDA72B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245A5304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4C60FE6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400CB8D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,1.4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431C00D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CB93B69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382F786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CVD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102BBB6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78C01A2D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</w:p>
        </w:tc>
      </w:tr>
      <w:tr w14:paraId="358E135B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6929302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6C28BEC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2.64(0.46,32.9)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722CA3A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BBF2CE1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268968F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008DB77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57C2EB0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ACF3738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2029A80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CKD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791FEAC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587EFD7B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0.9</w:t>
            </w:r>
          </w:p>
        </w:tc>
      </w:tr>
      <w:tr w14:paraId="5BE89723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1A86298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27F3CCC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4F03B2A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494C3255">
        <w:trPr>
          <w:trHeight w:val="270" w:hRule="atLeast"/>
        </w:trPr>
        <w:tc>
          <w:tcPr>
            <w:tcW w:w="1908" w:type="pct"/>
            <w:shd w:val="clear" w:color="auto" w:fill="auto"/>
            <w:noWrap/>
            <w:vAlign w:val="center"/>
          </w:tcPr>
          <w:p w14:paraId="04FB12F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70" w:type="pct"/>
            <w:shd w:val="clear" w:color="auto" w:fill="auto"/>
            <w:noWrap/>
            <w:vAlign w:val="center"/>
          </w:tcPr>
          <w:p w14:paraId="2F12CA1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22" w:type="pct"/>
            <w:shd w:val="clear" w:color="auto" w:fill="auto"/>
            <w:noWrap/>
            <w:vAlign w:val="center"/>
          </w:tcPr>
          <w:p w14:paraId="7EDEED8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</w:tbl>
    <w:p w14:paraId="0B33C751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Significant exposure contaminant interactions with covariates are highlighted in bold.</w:t>
      </w:r>
    </w:p>
    <w:p w14:paraId="5C721922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Covariates included sociodemographic data (age, sex, race, education level, family income),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presence of comorbidities (hypertension, diabetes, cardiovascular disease, cancer, chronic kidney disease), and lipid profile.</w:t>
      </w:r>
    </w:p>
    <w:p w14:paraId="203B1BB9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rFonts w:eastAsia="宋体"/>
          <w:color w:val="000000" w:themeColor="text1"/>
          <w:kern w:val="0"/>
          <w:sz w:val="21"/>
          <w:szCs w:val="21"/>
        </w:rPr>
        <w:t>3,4MHA</w:t>
      </w:r>
      <w:r>
        <w:rPr>
          <w:rFonts w:hint="eastAsia"/>
          <w:color w:val="000000" w:themeColor="text1"/>
          <w:sz w:val="21"/>
          <w:szCs w:val="21"/>
        </w:rPr>
        <w:t>：</w:t>
      </w:r>
      <w:r>
        <w:rPr>
          <w:color w:val="000000" w:themeColor="text1"/>
          <w:sz w:val="21"/>
          <w:szCs w:val="21"/>
        </w:rPr>
        <w:t>3- and 4-Methylhippuric acid</w:t>
      </w:r>
      <w:r>
        <w:rPr>
          <w:rFonts w:hint="eastAsia"/>
          <w:color w:val="000000" w:themeColor="text1"/>
          <w:sz w:val="21"/>
          <w:szCs w:val="21"/>
        </w:rPr>
        <w:t>;</w:t>
      </w:r>
      <w:r>
        <w:rPr>
          <w:color w:val="000000" w:themeColor="text1"/>
          <w:sz w:val="21"/>
          <w:szCs w:val="21"/>
        </w:rPr>
        <w:t xml:space="preserve"> OR, odds ratio; CI, confidence interval;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BMI, body mass index; CVD, cardiovascular disease; CKD, chronic kidney disease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16A3510A">
      <w:pPr>
        <w:ind w:firstLine="480"/>
        <w:rPr>
          <w:rFonts w:hint="eastAsia"/>
          <w:color w:val="000000" w:themeColor="text1"/>
        </w:rPr>
      </w:pPr>
    </w:p>
    <w:p w14:paraId="1268B564">
      <w:pPr>
        <w:pStyle w:val="4"/>
        <w:spacing w:before="0" w:beforeAutospacing="0" w:after="0" w:afterAutospacing="0"/>
        <w:rPr>
          <w:rStyle w:val="8"/>
          <w:rFonts w:eastAsia="等线"/>
          <w:color w:val="000000" w:themeColor="text1"/>
        </w:rPr>
      </w:pPr>
    </w:p>
    <w:p w14:paraId="56037F1D">
      <w:pPr>
        <w:pStyle w:val="4"/>
        <w:spacing w:before="0" w:beforeAutospacing="0" w:after="0" w:afterAutospacing="0"/>
        <w:rPr>
          <w:rStyle w:val="8"/>
          <w:rFonts w:eastAsia="等线"/>
          <w:color w:val="000000" w:themeColor="text1"/>
        </w:rPr>
      </w:pPr>
      <w:r>
        <w:rPr>
          <w:rStyle w:val="8"/>
          <w:rFonts w:hint="eastAsia" w:eastAsia="等线"/>
          <w:color w:val="000000" w:themeColor="text1"/>
        </w:rPr>
        <w:t>Table S8. The relationship between ATCA exposure and the prevalence of sarcopenia according to different subgroups.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9"/>
        <w:gridCol w:w="3907"/>
        <w:gridCol w:w="2596"/>
      </w:tblGrid>
      <w:tr w14:paraId="7E46F85A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5F3067C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ATCA subgroups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5F0B35B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OR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(95CI)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4C19365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 for interaction</w:t>
            </w:r>
          </w:p>
        </w:tc>
      </w:tr>
      <w:tr w14:paraId="32966342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03B296D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Age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7551C9F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5DBCE47C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0.9</w:t>
            </w:r>
          </w:p>
        </w:tc>
      </w:tr>
      <w:tr w14:paraId="2735AE6E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E6A984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&lt;40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A6058D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,1.6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D3E39A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1A925D9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51717CB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&gt;=40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09CB432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1.64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55DB85C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E9622AD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311DD2E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Sex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030659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3BB66038">
            <w:pPr>
              <w:widowControl/>
              <w:ind w:firstLine="482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b/>
                <w:bCs/>
                <w:color w:val="000000" w:themeColor="text1"/>
                <w:kern w:val="0"/>
              </w:rPr>
              <w:t>0.02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kern w:val="0"/>
              </w:rPr>
              <w:t>3</w:t>
            </w:r>
          </w:p>
        </w:tc>
      </w:tr>
      <w:tr w14:paraId="121A5636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0BD3AF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male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368CC43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(0.8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,1.3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515056A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90843D9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176A18E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female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5C4A341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1.5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25BDAFA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CE9AEEF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D1FE62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BMI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5BCD25A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68298BEB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</w:p>
        </w:tc>
      </w:tr>
      <w:tr w14:paraId="0361B213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BE8C44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&lt;30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3BBE3C7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(0.8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,1.5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C21AFC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02A0F7E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55F946A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&gt;=30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5717BCD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(1.02,1.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4)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44B49E4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28F326D4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8A149F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Sedentary time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E9F3F8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6E54093C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</w:p>
        </w:tc>
      </w:tr>
      <w:tr w14:paraId="15F2FF29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1325596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&lt;6h/day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1AE280D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(0.8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,1.3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7E76283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D2E105D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26338E8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&gt;=6h/day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22F09C1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1.4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3A0717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5688983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2B369EB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Hypertension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973D80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1C326C11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</w:p>
        </w:tc>
      </w:tr>
      <w:tr w14:paraId="1EFD164E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26704F6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3DA373C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429D136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E4C40CB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6E4D6C4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2B40A82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,1.5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6A7ED20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CD77A85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6E5E74F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Diabetes mellitus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38B979E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3E8559EC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</w:p>
        </w:tc>
      </w:tr>
      <w:tr w14:paraId="4C5277C8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1183F43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0E3DC3A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7287519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3758014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12CA10C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CF30D1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434B1BC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428009F6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3DBF507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CVD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F7FA15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E5DE0A6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</w:p>
        </w:tc>
      </w:tr>
      <w:tr w14:paraId="2CD8D234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450AEB0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4EE80C8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2.31(0.24,130)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3735FA8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A25895D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1504E17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774A847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0C9D60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BC7F15E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6D138A0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CKD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21A4152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2ECC3988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0.4</w:t>
            </w:r>
          </w:p>
        </w:tc>
      </w:tr>
      <w:tr w14:paraId="714EB36D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7083909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024FE5C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(0.6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5,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1.7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4E2EB7D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265600E">
        <w:trPr>
          <w:trHeight w:val="270" w:hRule="atLeast"/>
        </w:trPr>
        <w:tc>
          <w:tcPr>
            <w:tcW w:w="1736" w:type="pct"/>
            <w:shd w:val="clear" w:color="auto" w:fill="auto"/>
            <w:noWrap/>
            <w:vAlign w:val="center"/>
          </w:tcPr>
          <w:p w14:paraId="7346600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961" w:type="pct"/>
            <w:shd w:val="clear" w:color="auto" w:fill="auto"/>
            <w:noWrap/>
            <w:vAlign w:val="center"/>
          </w:tcPr>
          <w:p w14:paraId="6DDE90B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14:paraId="0E634BF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</w:tbl>
    <w:p w14:paraId="5622A418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Significant exposure contaminant interactions with covariates are highlighted in bold.</w:t>
      </w:r>
    </w:p>
    <w:p w14:paraId="09FE109A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Covariates included sociodemographic data (age, sex, race, education level, family income),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presence of comorbidities (hypertension, diabetes, cardiovascular disease, cancer, chronic kidney disease), and lipid profile.</w:t>
      </w:r>
    </w:p>
    <w:p w14:paraId="72CF9C4A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rFonts w:eastAsia="宋体"/>
          <w:color w:val="000000" w:themeColor="text1"/>
          <w:kern w:val="0"/>
          <w:sz w:val="21"/>
          <w:szCs w:val="21"/>
        </w:rPr>
        <w:t>ATCA</w:t>
      </w:r>
      <w:r>
        <w:rPr>
          <w:rFonts w:hint="eastAsia"/>
          <w:color w:val="000000" w:themeColor="text1"/>
          <w:sz w:val="21"/>
          <w:szCs w:val="21"/>
        </w:rPr>
        <w:t>：</w:t>
      </w:r>
      <w:r>
        <w:rPr>
          <w:color w:val="000000" w:themeColor="text1"/>
          <w:sz w:val="21"/>
          <w:szCs w:val="21"/>
        </w:rPr>
        <w:t>2-Aminothiazoline-4-carboxylic acid</w:t>
      </w:r>
      <w:r>
        <w:rPr>
          <w:rFonts w:hint="eastAsia"/>
          <w:color w:val="000000" w:themeColor="text1"/>
          <w:sz w:val="21"/>
          <w:szCs w:val="21"/>
        </w:rPr>
        <w:t>;</w:t>
      </w:r>
      <w:r>
        <w:rPr>
          <w:color w:val="000000" w:themeColor="text1"/>
          <w:sz w:val="21"/>
          <w:szCs w:val="21"/>
        </w:rPr>
        <w:t xml:space="preserve"> OR, odds ratio; CI, confidence interval;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BMI, body mass index; CVD, cardiovascular disease; CKD, chronic kidney disease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21ABB381">
      <w:pPr>
        <w:ind w:firstLine="480"/>
        <w:rPr>
          <w:rFonts w:hint="eastAsia"/>
          <w:color w:val="000000" w:themeColor="text1"/>
        </w:rPr>
      </w:pPr>
    </w:p>
    <w:p w14:paraId="53120FA3">
      <w:pPr>
        <w:ind w:firstLine="480"/>
        <w:jc w:val="center"/>
        <w:rPr>
          <w:rFonts w:hint="eastAsia"/>
          <w:color w:val="000000" w:themeColor="text1"/>
        </w:rPr>
      </w:pPr>
    </w:p>
    <w:p w14:paraId="76EECDC2">
      <w:pPr>
        <w:pStyle w:val="4"/>
        <w:spacing w:before="0" w:beforeAutospacing="0" w:after="0" w:afterAutospacing="0"/>
        <w:rPr>
          <w:rStyle w:val="8"/>
          <w:rFonts w:eastAsia="宋体"/>
          <w:color w:val="000000" w:themeColor="text1"/>
        </w:rPr>
      </w:pPr>
      <w:r>
        <w:rPr>
          <w:rStyle w:val="8"/>
          <w:rFonts w:hint="eastAsia" w:eastAsia="等线"/>
          <w:color w:val="000000" w:themeColor="text1"/>
        </w:rPr>
        <w:t xml:space="preserve">Table S9. The relationship between </w:t>
      </w:r>
      <w:r>
        <w:rPr>
          <w:rStyle w:val="8"/>
          <w:rFonts w:eastAsia="宋体"/>
          <w:color w:val="000000" w:themeColor="text1"/>
        </w:rPr>
        <w:t>DHBMA</w:t>
      </w:r>
      <w:r>
        <w:rPr>
          <w:rStyle w:val="8"/>
          <w:rFonts w:hint="eastAsia" w:eastAsia="等线"/>
          <w:color w:val="000000" w:themeColor="text1"/>
        </w:rPr>
        <w:t xml:space="preserve"> exposure and the prevalence of sarcopenia according to different subgroups.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4258"/>
        <w:gridCol w:w="2445"/>
      </w:tblGrid>
      <w:tr w14:paraId="1C598211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42587AB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DHBMA subgroups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5769C12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OR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(95CI)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0F25131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 for interaction</w:t>
            </w:r>
          </w:p>
        </w:tc>
      </w:tr>
      <w:tr w14:paraId="0A8C6C37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30DF889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Age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0A86D39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7170AC3C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</w:p>
        </w:tc>
      </w:tr>
      <w:tr w14:paraId="41CB6D01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48203B8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&lt;40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17991AD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67A8622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499E008C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3421A79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&gt;=40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0A2718B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,3.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18ECA5B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8BA7BFC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4D87D4F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Sex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6F03282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67295BFA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</w:p>
        </w:tc>
      </w:tr>
      <w:tr w14:paraId="5817684D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6533372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male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78D8C83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F868E8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B258407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5092AD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female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1BBD3DE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45FD229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06A2D78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0946D3B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BMI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7D34DEC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70538D8C">
            <w:pPr>
              <w:widowControl/>
              <w:ind w:firstLine="482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b/>
                <w:bCs/>
                <w:color w:val="000000" w:themeColor="text1"/>
                <w:kern w:val="0"/>
              </w:rPr>
              <w:t>0.0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b/>
                <w:bCs/>
                <w:color w:val="000000" w:themeColor="text1"/>
                <w:kern w:val="0"/>
              </w:rPr>
              <w:t>8</w:t>
            </w:r>
          </w:p>
        </w:tc>
      </w:tr>
      <w:tr w14:paraId="47FD877E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45F26F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&lt;30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2165B6E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(0.6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562797F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173B134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6443BF6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&gt;=30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1613532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4,3.3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7E68B1A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4B6912AB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E61DC7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Sedentary time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2B53095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B99EEC0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</w:p>
        </w:tc>
      </w:tr>
      <w:tr w14:paraId="1CADE096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8FDF89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&lt;6h/day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6235D9B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46ED67A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9B0BE47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558DA47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&gt;=6h/day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35EA8DF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5,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025533C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62BFC1C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2C8060D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Hypertension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5411028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B9B0C1A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</w:p>
        </w:tc>
      </w:tr>
      <w:tr w14:paraId="561FCE93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073C6F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44A5CBD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,4.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789376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296299E6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D44BAE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70C370D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14CD773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D611F76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46B6D32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Diabetes mellitus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6ECEC39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0D32B547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</w:p>
        </w:tc>
      </w:tr>
      <w:tr w14:paraId="795A793B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4200D45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34DE41B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4,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4D8B702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891ECB9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1EE9D04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0AE9348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6(1.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F91D48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3C45D02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61332DD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CVD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0372EA54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6A943BBB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</w:p>
        </w:tc>
      </w:tr>
      <w:tr w14:paraId="366A2075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2F30FB0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051B2B9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3.69(0.18,157)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7E62FBF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40C3CBD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206BF29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684716C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0A427EE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8A9ACC7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5482F50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CKD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3EFFDE1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78F92266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</w:t>
            </w:r>
          </w:p>
        </w:tc>
      </w:tr>
      <w:tr w14:paraId="7D2B5D96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7055FC5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2DBFBD8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2FD7999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6DB46ACE">
        <w:trPr>
          <w:trHeight w:val="270" w:hRule="atLeast"/>
        </w:trPr>
        <w:tc>
          <w:tcPr>
            <w:tcW w:w="1636" w:type="pct"/>
            <w:shd w:val="clear" w:color="auto" w:fill="auto"/>
            <w:noWrap/>
            <w:vAlign w:val="center"/>
          </w:tcPr>
          <w:p w14:paraId="03B244B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2137" w:type="pct"/>
            <w:shd w:val="clear" w:color="auto" w:fill="auto"/>
            <w:noWrap/>
            <w:vAlign w:val="center"/>
          </w:tcPr>
          <w:p w14:paraId="6904139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,2.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227" w:type="pct"/>
            <w:shd w:val="clear" w:color="auto" w:fill="auto"/>
            <w:noWrap/>
            <w:vAlign w:val="center"/>
          </w:tcPr>
          <w:p w14:paraId="5C70C7F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</w:tbl>
    <w:p w14:paraId="3D724863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Significant exposure contaminant interactions with covariates are highlighted in bold.</w:t>
      </w:r>
    </w:p>
    <w:p w14:paraId="644FD900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Covariates included sociodemographic data (age, sex, race, education level, family income),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presence of comorbidities (hypertension, diabetes, cardiovascular disease, cancer, chronic kidney disease), and lipid profile.</w:t>
      </w:r>
    </w:p>
    <w:p w14:paraId="6644C970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DHBMA</w:t>
      </w:r>
      <w:r>
        <w:rPr>
          <w:rFonts w:hint="eastAsia"/>
          <w:color w:val="000000" w:themeColor="text1"/>
          <w:sz w:val="21"/>
          <w:szCs w:val="21"/>
        </w:rPr>
        <w:t>：</w:t>
      </w:r>
      <w:r>
        <w:rPr>
          <w:color w:val="000000" w:themeColor="text1"/>
          <w:sz w:val="21"/>
          <w:szCs w:val="21"/>
        </w:rPr>
        <w:t>N-Acetyl-S-(3,4-dihydroxybutyl)-L-cysteine</w:t>
      </w:r>
      <w:r>
        <w:rPr>
          <w:rFonts w:hint="eastAsia"/>
          <w:color w:val="000000" w:themeColor="text1"/>
          <w:sz w:val="21"/>
          <w:szCs w:val="21"/>
        </w:rPr>
        <w:t>;</w:t>
      </w:r>
      <w:r>
        <w:rPr>
          <w:color w:val="000000" w:themeColor="text1"/>
          <w:sz w:val="21"/>
          <w:szCs w:val="21"/>
        </w:rPr>
        <w:t xml:space="preserve"> OR, odds ratio; CI, confidence interval;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BMI, body mass index; CVD, cardiovascular disease; CKD, chronic kidney disease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77F0B1DD">
      <w:pPr>
        <w:ind w:firstLine="480"/>
        <w:jc w:val="center"/>
        <w:rPr>
          <w:rFonts w:hint="eastAsia"/>
          <w:color w:val="000000" w:themeColor="text1"/>
        </w:rPr>
      </w:pPr>
    </w:p>
    <w:p w14:paraId="67E465DE">
      <w:pPr>
        <w:ind w:firstLine="480"/>
        <w:jc w:val="center"/>
        <w:rPr>
          <w:rFonts w:hint="eastAsia"/>
          <w:color w:val="000000" w:themeColor="text1"/>
        </w:rPr>
      </w:pPr>
    </w:p>
    <w:p w14:paraId="4024D5C8">
      <w:pPr>
        <w:pStyle w:val="4"/>
        <w:spacing w:before="0" w:beforeAutospacing="0" w:after="0" w:afterAutospacing="0"/>
        <w:rPr>
          <w:rStyle w:val="8"/>
          <w:rFonts w:eastAsia="等线"/>
          <w:color w:val="000000" w:themeColor="text1"/>
        </w:rPr>
      </w:pPr>
      <w:r>
        <w:rPr>
          <w:rStyle w:val="8"/>
          <w:rFonts w:hint="eastAsia" w:eastAsia="等线"/>
          <w:color w:val="000000" w:themeColor="text1"/>
        </w:rPr>
        <w:t>Table S10 The relationship between 3HPMA exposure and the prevalence of sarcopenia according to different subgroups.</w:t>
      </w:r>
    </w:p>
    <w:p w14:paraId="602A3538">
      <w:pPr>
        <w:pStyle w:val="4"/>
        <w:spacing w:before="0" w:beforeAutospacing="0" w:after="0" w:afterAutospacing="0"/>
        <w:rPr>
          <w:rStyle w:val="8"/>
          <w:rFonts w:eastAsia="等线"/>
          <w:color w:val="000000" w:themeColor="text1"/>
        </w:rPr>
      </w:pPr>
      <w:r>
        <w:rPr>
          <w:rStyle w:val="8"/>
          <w:rFonts w:hint="eastAsia" w:eastAsia="等线"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7"/>
        <w:gridCol w:w="3475"/>
        <w:gridCol w:w="2210"/>
      </w:tblGrid>
      <w:tr w14:paraId="4D53CBDE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4E487DD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3HPMA subgroups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4E10421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OR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 xml:space="preserve"> 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(95CI)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60C3A9B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P for interaction</w:t>
            </w:r>
          </w:p>
        </w:tc>
      </w:tr>
      <w:tr w14:paraId="7C87F4A4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2C0E86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Age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5DA1833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1833210F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</w:p>
        </w:tc>
      </w:tr>
      <w:tr w14:paraId="38D2F453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6C140A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&lt;40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ED8F62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2467AFE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84EEDE5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FF3E6B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&gt;=40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1AE7277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30E2CFE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2B738FB4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5709324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Sex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16DA773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561CD711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0.9</w:t>
            </w:r>
          </w:p>
        </w:tc>
      </w:tr>
      <w:tr w14:paraId="282E234A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B5CAEC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male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7DA9DF9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78F3486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75A8885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D0C8F73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female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5E7DFC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,1.6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1B80CD8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1652B7F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734182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BMI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1490699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032F8746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</w:p>
        </w:tc>
      </w:tr>
      <w:tr w14:paraId="12ED4DBB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3142814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&lt;30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5F665EF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7556830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A9F5B3A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34CBBC9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&gt;=30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070F263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6B3A6771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088148F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E7B9F9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Sedentary time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7A6C77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143FD982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0.1</w:t>
            </w:r>
          </w:p>
        </w:tc>
      </w:tr>
      <w:tr w14:paraId="2B007491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F89A4F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&lt;6h/day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4E8A6AAD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9)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2F2B4B9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7103B14A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4B84B0C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&gt;=6h/day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C7F5EF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7D6A45C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25083340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35B5678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Hypertension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0B51ABC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573846FD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</w:p>
        </w:tc>
      </w:tr>
      <w:tr w14:paraId="4499FFD4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46A2E1D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71BEA26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08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396A786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52E0222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62F83DE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686AE71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(0.95,1.74)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6830049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AE15C73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11498F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Diabetes mellitus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2E3BE6B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4B0E9E72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0.7</w:t>
            </w:r>
          </w:p>
        </w:tc>
      </w:tr>
      <w:tr w14:paraId="0888EA45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2A463E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77982F6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1.51(1.07,2.03)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245FC157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4A2848D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7900D5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C5DA0B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20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(0.9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,1.4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6EEC91CE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3218D82B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69C3BA4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CVD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14CF6588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7376DD68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8</w:t>
            </w:r>
          </w:p>
        </w:tc>
      </w:tr>
      <w:tr w14:paraId="2AB2EF99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7E29A6F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1EF808A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2(0.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.3)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2C71F43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5D36771E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D9E7F99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491E135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4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(1.03,1.5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5B7972D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13AE59CC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0D84A6C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CKD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4FEAA7C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28DF2580">
            <w:pPr>
              <w:widowControl/>
              <w:ind w:firstLine="480"/>
              <w:jc w:val="righ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7</w:t>
            </w:r>
          </w:p>
        </w:tc>
      </w:tr>
      <w:tr w14:paraId="7C753173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22B7A6BA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Yes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7A83E936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69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(0.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37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,1.2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5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)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3196ACF0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  <w:tr w14:paraId="0FCD3E68">
        <w:trPr>
          <w:trHeight w:val="270" w:hRule="atLeast"/>
        </w:trPr>
        <w:tc>
          <w:tcPr>
            <w:tcW w:w="2147" w:type="pct"/>
            <w:shd w:val="clear" w:color="auto" w:fill="auto"/>
            <w:noWrap/>
            <w:vAlign w:val="center"/>
          </w:tcPr>
          <w:p w14:paraId="36F706CF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No</w:t>
            </w:r>
          </w:p>
        </w:tc>
        <w:tc>
          <w:tcPr>
            <w:tcW w:w="1744" w:type="pct"/>
            <w:shd w:val="clear" w:color="auto" w:fill="auto"/>
            <w:noWrap/>
            <w:vAlign w:val="center"/>
          </w:tcPr>
          <w:p w14:paraId="3DCCFAC2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3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4(1.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10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>,1.</w:t>
            </w:r>
            <w:r>
              <w:rPr>
                <w:rFonts w:hint="eastAsia" w:ascii="Times New Roman" w:hAnsi="Times New Roman" w:eastAsia="宋体"/>
                <w:color w:val="000000" w:themeColor="text1"/>
                <w:kern w:val="0"/>
              </w:rPr>
              <w:t>62</w:t>
            </w:r>
            <w:r>
              <w:rPr>
                <w:rFonts w:ascii="Times New Roman" w:hAnsi="Times New Roman" w:eastAsia="宋体"/>
                <w:color w:val="000000" w:themeColor="text1"/>
                <w:kern w:val="0"/>
              </w:rPr>
              <w:t xml:space="preserve">) </w:t>
            </w:r>
          </w:p>
        </w:tc>
        <w:tc>
          <w:tcPr>
            <w:tcW w:w="1109" w:type="pct"/>
            <w:shd w:val="clear" w:color="auto" w:fill="auto"/>
            <w:noWrap/>
            <w:vAlign w:val="center"/>
          </w:tcPr>
          <w:p w14:paraId="7BBCA9DB">
            <w:pPr>
              <w:widowControl/>
              <w:ind w:firstLine="480"/>
              <w:jc w:val="left"/>
              <w:rPr>
                <w:rFonts w:ascii="Times New Roman" w:hAnsi="Times New Roman" w:eastAsia="宋体"/>
                <w:color w:val="000000" w:themeColor="text1"/>
                <w:kern w:val="0"/>
              </w:rPr>
            </w:pPr>
          </w:p>
        </w:tc>
      </w:tr>
    </w:tbl>
    <w:p w14:paraId="4FDFDB65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Significant exposure contaminant interactions with covariates are highlighted in bold.</w:t>
      </w:r>
    </w:p>
    <w:p w14:paraId="59F093B2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Covariates included sociodemographic data (age, sex, race, education level, family income),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presence of comorbidities (hypertension, diabetes, cardiovascular disease, cancer, chronic kidney disease), and lipid profile.</w:t>
      </w:r>
    </w:p>
    <w:p w14:paraId="7D5F03FA">
      <w:pPr>
        <w:pStyle w:val="2"/>
        <w:spacing w:after="312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3HPMA</w:t>
      </w:r>
      <w:r>
        <w:rPr>
          <w:rFonts w:hint="eastAsia"/>
          <w:color w:val="000000" w:themeColor="text1"/>
          <w:sz w:val="21"/>
          <w:szCs w:val="21"/>
        </w:rPr>
        <w:t>：</w:t>
      </w:r>
      <w:r>
        <w:rPr>
          <w:color w:val="000000" w:themeColor="text1"/>
          <w:sz w:val="21"/>
          <w:szCs w:val="21"/>
        </w:rPr>
        <w:t>N-Acetyl-S-(3-hydroxypropyl)-L-cysteine</w:t>
      </w:r>
      <w:r>
        <w:rPr>
          <w:rFonts w:hint="eastAsia"/>
          <w:color w:val="000000" w:themeColor="text1"/>
          <w:sz w:val="21"/>
          <w:szCs w:val="21"/>
        </w:rPr>
        <w:t>;</w:t>
      </w:r>
      <w:r>
        <w:rPr>
          <w:color w:val="000000" w:themeColor="text1"/>
          <w:sz w:val="21"/>
          <w:szCs w:val="21"/>
        </w:rPr>
        <w:t xml:space="preserve"> OR, odds ratio; CI, confidence interval;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BMI, body mass index; CVD, cardiovascular disease; CKD, chronic kidney disease</w:t>
      </w:r>
      <w:r>
        <w:rPr>
          <w:rFonts w:hint="eastAsia"/>
          <w:color w:val="000000" w:themeColor="text1"/>
          <w:sz w:val="21"/>
          <w:szCs w:val="21"/>
        </w:rPr>
        <w:t>.</w:t>
      </w:r>
    </w:p>
    <w:p w14:paraId="412898BD">
      <w:pPr>
        <w:ind w:firstLine="480"/>
        <w:jc w:val="center"/>
        <w:rPr>
          <w:rFonts w:hint="eastAsia"/>
          <w:color w:val="000000" w:themeColor="text1"/>
        </w:rPr>
      </w:pPr>
    </w:p>
    <w:p w14:paraId="4D785B82">
      <w:pPr>
        <w:ind w:firstLine="480"/>
        <w:jc w:val="center"/>
        <w:rPr>
          <w:rFonts w:hint="eastAsia"/>
          <w:color w:val="000000" w:themeColor="text1"/>
        </w:rPr>
      </w:pPr>
    </w:p>
    <w:p w14:paraId="1D5B63B2">
      <w:pPr>
        <w:ind w:firstLine="480"/>
        <w:jc w:val="center"/>
        <w:rPr>
          <w:rFonts w:hint="eastAsia"/>
          <w:color w:val="000000" w:themeColor="text1"/>
        </w:rPr>
      </w:pPr>
    </w:p>
    <w:p w14:paraId="560C527E">
      <w:pPr>
        <w:ind w:firstLine="480"/>
        <w:jc w:val="left"/>
        <w:rPr>
          <w:rFonts w:hint="eastAsia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5800090" cy="2928620"/>
            <wp:effectExtent l="0" t="0" r="0" b="0"/>
            <wp:docPr id="18034127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12707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6096" cy="295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599C5">
      <w:pPr>
        <w:pStyle w:val="2"/>
        <w:spacing w:after="312"/>
        <w:rPr>
          <w:rFonts w:eastAsia="宋体"/>
          <w:color w:val="000000" w:themeColor="text1"/>
          <w:kern w:val="0"/>
          <w:sz w:val="32"/>
          <w:szCs w:val="32"/>
        </w:rPr>
      </w:pPr>
      <w:bookmarkStart w:id="21" w:name="_Hlk171291198"/>
      <w:r>
        <w:rPr>
          <w:color w:val="000000" w:themeColor="text1"/>
          <w:sz w:val="21"/>
          <w:szCs w:val="21"/>
        </w:rPr>
        <w:t>Figure S1. Restricted cubic spline analysis of the dose-response relationship between mVOC</w:t>
      </w:r>
      <w:r>
        <w:rPr>
          <w:rFonts w:hint="eastAsia"/>
          <w:color w:val="000000" w:themeColor="text1"/>
          <w:sz w:val="21"/>
          <w:szCs w:val="21"/>
        </w:rPr>
        <w:t>s</w:t>
      </w:r>
      <w:r>
        <w:rPr>
          <w:color w:val="000000" w:themeColor="text1"/>
          <w:sz w:val="21"/>
          <w:szCs w:val="21"/>
        </w:rPr>
        <w:t xml:space="preserve"> and sarcopenia. The horizontal dashed line indicates OR = 1. The red curve shows the value of the OR. The blue shaded area indicates the 95% confidence interval. All mVOCs were adjusted for urine creatinine and then logarithmized.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 xml:space="preserve">Covariates included sociodemographic data (age, sex, race, education level, family income), lifestyle characteristics (body mass index, sedentary behavior, </w:t>
      </w:r>
      <w:r>
        <w:rPr>
          <w:rFonts w:hint="eastAsia"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>hysical activity, total caloric intake</w:t>
      </w:r>
      <w:r>
        <w:rPr>
          <w:rFonts w:hint="eastAsia"/>
          <w:color w:val="000000" w:themeColor="text1"/>
          <w:sz w:val="21"/>
          <w:szCs w:val="21"/>
        </w:rPr>
        <w:t xml:space="preserve">, </w:t>
      </w:r>
      <w:r>
        <w:rPr>
          <w:color w:val="000000" w:themeColor="text1"/>
          <w:sz w:val="21"/>
          <w:szCs w:val="21"/>
        </w:rPr>
        <w:t>smoking status, alcohol consumption), presence of comorbidities (hypertension, diabetes, cardiovascular disease, cancer, chronic kidney disease), and lipid profile</w:t>
      </w:r>
      <w:r>
        <w:rPr>
          <w:rFonts w:hint="eastAsia"/>
          <w:color w:val="000000" w:themeColor="text1"/>
          <w:sz w:val="21"/>
          <w:szCs w:val="21"/>
        </w:rPr>
        <w:t>.</w:t>
      </w:r>
      <w:r>
        <w:rPr>
          <w:color w:val="000000" w:themeColor="text1"/>
          <w:sz w:val="21"/>
          <w:szCs w:val="21"/>
        </w:rPr>
        <w:t xml:space="preserve"> mVOCs, metabolites of volatile organic compounds; OR, odds ratio; CI, confidence interval; 2MHA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2-Methylhippuric acid; 3,4MHA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3- and 4-Methylhippuric acid; AAMA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N-Acetyl-S-(2-carbamoylethyl)-L-cysteine; AMCC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 xml:space="preserve">N-Acetyl-S-(N-methylcarbamoyl)-L-cysteine; </w:t>
      </w:r>
      <w:r>
        <w:fldChar w:fldCharType="begin"/>
      </w:r>
      <w:r>
        <w:instrText xml:space="preserve"> HYPERLINK "https://www.sciencedirect.com/topics/earth-and-planetary-sciences/carboxylic-acid" </w:instrText>
      </w:r>
      <w:r>
        <w:fldChar w:fldCharType="separate"/>
      </w:r>
      <w:r>
        <w:rPr>
          <w:color w:val="000000" w:themeColor="text1"/>
          <w:sz w:val="21"/>
          <w:szCs w:val="21"/>
        </w:rPr>
        <w:t>ATCA,</w:t>
      </w:r>
      <w:r>
        <w:rPr>
          <w:color w:val="000000" w:themeColor="text1"/>
          <w:sz w:val="21"/>
          <w:szCs w:val="21"/>
        </w:rPr>
        <w:fldChar w:fldCharType="end"/>
      </w:r>
      <w:r>
        <w:rPr>
          <w:color w:val="000000" w:themeColor="text1"/>
          <w:sz w:val="21"/>
          <w:szCs w:val="21"/>
        </w:rPr>
        <w:t xml:space="preserve"> 2-Aminothiazoline-4-carboxylic acid; SAMA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N-Acetyl-S-(benzyl)-L-cysteine;  CEMA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N-Acetyl-S-(2-carboxyethyl)-L-cysteine; CYMA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N-Acetyl-S-(2-cyanoethyl)-L-cysteine; DHBMA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N-Acetyl-S-(3,4-dihydroxybutyl)-L-cysteine; 2HPMA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N-Acetyl-S-(2-hydroxypropyl)-L-cysteine; 3HPMA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N-Acetyl-S-(3-hydroxypropyl)-L-cysteine; MA</w:t>
      </w:r>
      <w:r>
        <w:rPr>
          <w:rFonts w:hint="eastAsia" w:cs="Calibri"/>
          <w:color w:val="000000" w:themeColor="text1"/>
          <w:sz w:val="21"/>
          <w:szCs w:val="21"/>
        </w:rPr>
        <w:t xml:space="preserve">， </w:t>
      </w:r>
      <w:r>
        <w:rPr>
          <w:color w:val="000000" w:themeColor="text1"/>
          <w:sz w:val="21"/>
          <w:szCs w:val="21"/>
        </w:rPr>
        <w:t>Mandelic acid; MHBMA3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N-Acetyl-S-(4-hydroxy-2-butenyl)-L-cysteine; PGA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Phenylglyoxylic acid</w:t>
      </w:r>
      <w:r>
        <w:rPr>
          <w:rFonts w:hint="eastAsia" w:cs="Calibri"/>
          <w:color w:val="000000" w:themeColor="text1"/>
          <w:sz w:val="21"/>
          <w:szCs w:val="21"/>
        </w:rPr>
        <w:t>；</w:t>
      </w:r>
      <w:r>
        <w:rPr>
          <w:color w:val="000000" w:themeColor="text1"/>
          <w:sz w:val="21"/>
          <w:szCs w:val="21"/>
        </w:rPr>
        <w:t> HPMMA</w:t>
      </w:r>
      <w:r>
        <w:rPr>
          <w:rFonts w:hint="eastAsia" w:cs="Calibri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N-Acetyl-S-(3-hydroxypropyl-1-methyl)-L-cysteine.</w:t>
      </w:r>
    </w:p>
    <w:bookmarkEnd w:id="21"/>
    <w:p w14:paraId="04A8E6EC">
      <w:pPr>
        <w:ind w:firstLine="480"/>
        <w:rPr>
          <w:rFonts w:hint="eastAsia"/>
          <w:color w:val="000000" w:themeColor="text1"/>
        </w:rPr>
      </w:pPr>
    </w:p>
    <w:p w14:paraId="5EAFA2BB">
      <w:pPr>
        <w:ind w:firstLine="480"/>
        <w:rPr>
          <w:rFonts w:ascii="Times New Roman" w:hAnsi="Times New Roman"/>
          <w:color w:val="000000" w:themeColor="text1"/>
        </w:rPr>
      </w:pPr>
    </w:p>
    <w:p w14:paraId="1302C637">
      <w:pPr>
        <w:ind w:firstLine="480"/>
        <w:rPr>
          <w:rFonts w:ascii="Times New Roman" w:hAnsi="Times New Roman"/>
          <w:color w:val="000000" w:themeColor="text1"/>
        </w:rPr>
      </w:pPr>
    </w:p>
    <w:p w14:paraId="6C7ADD22">
      <w:pPr>
        <w:ind w:firstLine="480"/>
        <w:rPr>
          <w:rFonts w:ascii="Times New Roman" w:hAnsi="Times New Roman"/>
          <w:color w:val="000000" w:themeColor="text1"/>
        </w:rPr>
      </w:pPr>
    </w:p>
    <w:p w14:paraId="4082412F">
      <w:pPr>
        <w:ind w:firstLine="480"/>
        <w:jc w:val="center"/>
        <w:rPr>
          <w:rFonts w:hint="eastAsia"/>
          <w:color w:val="000000" w:themeColor="text1"/>
        </w:rPr>
      </w:pPr>
      <w:r>
        <w:rPr>
          <w:rFonts w:hint="eastAsia" w:eastAsiaTheme="minorEastAsia"/>
          <w:color w:val="000000" w:themeColor="text1"/>
        </w:rPr>
        <w:drawing>
          <wp:inline distT="0" distB="0" distL="114300" distR="114300">
            <wp:extent cx="5430520" cy="4208780"/>
            <wp:effectExtent l="0" t="0" r="8255" b="1270"/>
            <wp:docPr id="5" name="图片 5" descr="1736457595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364575955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052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8E33">
      <w:pPr>
        <w:pStyle w:val="2"/>
        <w:spacing w:after="312"/>
        <w:rPr>
          <w:color w:val="000000" w:themeColor="text1"/>
          <w:sz w:val="21"/>
          <w:szCs w:val="21"/>
        </w:rPr>
      </w:pPr>
      <w:bookmarkStart w:id="22" w:name="_Hlk171291410"/>
      <w:r>
        <w:rPr>
          <w:color w:val="000000" w:themeColor="text1"/>
          <w:sz w:val="21"/>
          <w:szCs w:val="21"/>
        </w:rPr>
        <w:t xml:space="preserve">Figure S2. </w:t>
      </w:r>
      <w:r>
        <w:rPr>
          <w:rFonts w:hint="eastAsia"/>
          <w:color w:val="000000" w:themeColor="text1"/>
          <w:sz w:val="21"/>
          <w:szCs w:val="21"/>
        </w:rPr>
        <w:t>S</w:t>
      </w:r>
      <w:r>
        <w:rPr>
          <w:color w:val="000000" w:themeColor="text1"/>
          <w:sz w:val="21"/>
          <w:szCs w:val="21"/>
        </w:rPr>
        <w:t>pearman correlation of mVOCs in urine, NHANES 2011-2018. mVOCs, metabolites of volatile organic compounds;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2MHA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2-Methylhippuric acid; 3,4MHA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3- and 4-Methylhippuric acid; AAMA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N-Acetyl-S-(2-carbamoylethyl)-L-cysteine; AMCC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 xml:space="preserve">N-Acetyl-S-(N-methylcarbamoyl)-L-cysteine; </w:t>
      </w:r>
      <w:r>
        <w:fldChar w:fldCharType="begin"/>
      </w:r>
      <w:r>
        <w:instrText xml:space="preserve"> HYPERLINK "https://www.sciencedirect.com/topics/earth-and-planetary-sciences/carboxylic-acid" </w:instrText>
      </w:r>
      <w:r>
        <w:fldChar w:fldCharType="separate"/>
      </w:r>
      <w:r>
        <w:rPr>
          <w:color w:val="000000" w:themeColor="text1"/>
          <w:sz w:val="21"/>
          <w:szCs w:val="21"/>
        </w:rPr>
        <w:t>ATCA,</w:t>
      </w:r>
      <w:r>
        <w:rPr>
          <w:color w:val="000000" w:themeColor="text1"/>
          <w:sz w:val="21"/>
          <w:szCs w:val="21"/>
        </w:rPr>
        <w:fldChar w:fldCharType="end"/>
      </w:r>
      <w:r>
        <w:rPr>
          <w:color w:val="000000" w:themeColor="text1"/>
          <w:sz w:val="21"/>
          <w:szCs w:val="21"/>
        </w:rPr>
        <w:t xml:space="preserve"> 2-Aminothiazoline-4-carboxylic acid; SAMA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N-Acetyl-S-(benzyl)-L-cysteine;  CEMA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N-Acetyl-S-(2-carboxyethyl)-L-cysteine; CYMA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N-Acetyl-S-(2-cyanoethyl)-L-cysteine; DHBMA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N-Acetyl-S-(3,4-dihydroxybutyl)-L-cysteine; 2HPMA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N-Acetyl-S-(2-hydroxypropyl)-L-cysteine; 3HPMA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N-Acetyl-S-(3-hydroxypropyl)-L-cysteine; MA</w:t>
      </w:r>
      <w:r>
        <w:rPr>
          <w:rFonts w:hint="eastAsia"/>
          <w:color w:val="000000" w:themeColor="text1"/>
          <w:sz w:val="21"/>
          <w:szCs w:val="21"/>
        </w:rPr>
        <w:t xml:space="preserve">， </w:t>
      </w:r>
      <w:r>
        <w:rPr>
          <w:color w:val="000000" w:themeColor="text1"/>
          <w:sz w:val="21"/>
          <w:szCs w:val="21"/>
        </w:rPr>
        <w:t>Mandelic acid; MHBMA3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N-Acetyl-S-(4-hydroxy-2-butenyl)-L-cysteine; PGA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Phenylglyoxylic acid</w:t>
      </w:r>
      <w:r>
        <w:rPr>
          <w:rFonts w:hint="eastAsia"/>
          <w:color w:val="000000" w:themeColor="text1"/>
          <w:sz w:val="21"/>
          <w:szCs w:val="21"/>
        </w:rPr>
        <w:t>；</w:t>
      </w:r>
      <w:r>
        <w:rPr>
          <w:color w:val="000000" w:themeColor="text1"/>
          <w:sz w:val="21"/>
          <w:szCs w:val="21"/>
        </w:rPr>
        <w:t> HPMMA</w:t>
      </w:r>
      <w:r>
        <w:rPr>
          <w:rFonts w:hint="eastAsia"/>
          <w:color w:val="000000" w:themeColor="text1"/>
          <w:sz w:val="21"/>
          <w:szCs w:val="21"/>
        </w:rPr>
        <w:t>，</w:t>
      </w:r>
      <w:r>
        <w:rPr>
          <w:color w:val="000000" w:themeColor="text1"/>
          <w:sz w:val="21"/>
          <w:szCs w:val="21"/>
        </w:rPr>
        <w:t>N-Acetyl-S-(3-hydroxypropyl-1-methyl)-L-cysteine.</w:t>
      </w:r>
      <w:r>
        <w:rPr>
          <w:rFonts w:hint="eastAsia"/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Correlation coefficient P &lt; 0.05</w:t>
      </w:r>
      <w:r>
        <w:rPr>
          <w:rFonts w:hint="eastAsia"/>
          <w:color w:val="000000" w:themeColor="text1"/>
          <w:sz w:val="21"/>
          <w:szCs w:val="21"/>
        </w:rPr>
        <w:t>.</w:t>
      </w:r>
    </w:p>
    <w:bookmarkEnd w:id="22"/>
    <w:p w14:paraId="365B2A79">
      <w:pPr>
        <w:ind w:firstLine="480"/>
        <w:rPr>
          <w:rFonts w:hint="eastAsia"/>
        </w:rPr>
      </w:pPr>
    </w:p>
    <w:p w14:paraId="627925AB">
      <w:pPr>
        <w:ind w:firstLine="480"/>
        <w:jc w:val="center"/>
        <w:rPr>
          <w:rFonts w:hint="eastAsia"/>
        </w:rPr>
      </w:pPr>
    </w:p>
    <w:p w14:paraId="5CA6F66C">
      <w:pPr>
        <w:ind w:firstLine="480"/>
        <w:rPr>
          <w:rFonts w:hint="eastAsia"/>
        </w:rPr>
      </w:pPr>
    </w:p>
    <w:p w14:paraId="0C487D41">
      <w:pPr>
        <w:ind w:firstLine="480"/>
        <w:rPr>
          <w:rFonts w:hint="eastAsia"/>
        </w:rPr>
      </w:pPr>
    </w:p>
    <w:p w14:paraId="53F9EF4B">
      <w:pPr>
        <w:ind w:firstLine="480"/>
        <w:rPr>
          <w:rFonts w:hint="eastAsia"/>
        </w:rPr>
      </w:pPr>
    </w:p>
    <w:sectPr>
      <w:pgSz w:w="11906" w:h="16838"/>
      <w:pgMar w:top="1440" w:right="1080" w:bottom="1440" w:left="108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Y5M2NhZDk5ZTg1MTc3MzY1ZGM3MzZmYWU5YzdjODYifQ=="/>
  </w:docVars>
  <w:rsids>
    <w:rsidRoot w:val="00E56242"/>
    <w:rsid w:val="00004BB0"/>
    <w:rsid w:val="00007F29"/>
    <w:rsid w:val="000174DE"/>
    <w:rsid w:val="000315B7"/>
    <w:rsid w:val="00042E49"/>
    <w:rsid w:val="00056C5D"/>
    <w:rsid w:val="00070AA8"/>
    <w:rsid w:val="00070B42"/>
    <w:rsid w:val="000842F3"/>
    <w:rsid w:val="00085709"/>
    <w:rsid w:val="000A15FF"/>
    <w:rsid w:val="000A73CF"/>
    <w:rsid w:val="000E1B00"/>
    <w:rsid w:val="001050C9"/>
    <w:rsid w:val="00106B90"/>
    <w:rsid w:val="001838B6"/>
    <w:rsid w:val="00191727"/>
    <w:rsid w:val="001A4537"/>
    <w:rsid w:val="001C1A4D"/>
    <w:rsid w:val="001E39D8"/>
    <w:rsid w:val="001F6236"/>
    <w:rsid w:val="0021070C"/>
    <w:rsid w:val="00231908"/>
    <w:rsid w:val="002409F2"/>
    <w:rsid w:val="002A37C1"/>
    <w:rsid w:val="002B421C"/>
    <w:rsid w:val="003006A5"/>
    <w:rsid w:val="0030611B"/>
    <w:rsid w:val="00310DE6"/>
    <w:rsid w:val="00312808"/>
    <w:rsid w:val="00314F67"/>
    <w:rsid w:val="00322C7A"/>
    <w:rsid w:val="00367155"/>
    <w:rsid w:val="00370D62"/>
    <w:rsid w:val="00371CF9"/>
    <w:rsid w:val="00373067"/>
    <w:rsid w:val="00375B81"/>
    <w:rsid w:val="0037748E"/>
    <w:rsid w:val="0038414B"/>
    <w:rsid w:val="00392BBF"/>
    <w:rsid w:val="0039781C"/>
    <w:rsid w:val="003C098C"/>
    <w:rsid w:val="003C754A"/>
    <w:rsid w:val="003E3BDA"/>
    <w:rsid w:val="004028A9"/>
    <w:rsid w:val="00423CD8"/>
    <w:rsid w:val="00441A60"/>
    <w:rsid w:val="00473321"/>
    <w:rsid w:val="00493B4E"/>
    <w:rsid w:val="004A5D94"/>
    <w:rsid w:val="004D0056"/>
    <w:rsid w:val="004E20FB"/>
    <w:rsid w:val="004E3DF9"/>
    <w:rsid w:val="004F7743"/>
    <w:rsid w:val="005551FF"/>
    <w:rsid w:val="00566739"/>
    <w:rsid w:val="00576447"/>
    <w:rsid w:val="00580538"/>
    <w:rsid w:val="00581A29"/>
    <w:rsid w:val="00581D9A"/>
    <w:rsid w:val="005903A5"/>
    <w:rsid w:val="005A1D89"/>
    <w:rsid w:val="005A34B5"/>
    <w:rsid w:val="005B75E3"/>
    <w:rsid w:val="005C1D81"/>
    <w:rsid w:val="005C7096"/>
    <w:rsid w:val="005D45F5"/>
    <w:rsid w:val="005E22EA"/>
    <w:rsid w:val="005F3292"/>
    <w:rsid w:val="0060091A"/>
    <w:rsid w:val="00606A72"/>
    <w:rsid w:val="0060786B"/>
    <w:rsid w:val="006104F4"/>
    <w:rsid w:val="0061305E"/>
    <w:rsid w:val="006231D3"/>
    <w:rsid w:val="00631D2C"/>
    <w:rsid w:val="006622D2"/>
    <w:rsid w:val="00667F39"/>
    <w:rsid w:val="00696EDE"/>
    <w:rsid w:val="006B72DF"/>
    <w:rsid w:val="006C087A"/>
    <w:rsid w:val="006C0E30"/>
    <w:rsid w:val="006C55DB"/>
    <w:rsid w:val="006F0AEE"/>
    <w:rsid w:val="00702168"/>
    <w:rsid w:val="00702BAC"/>
    <w:rsid w:val="007101C1"/>
    <w:rsid w:val="00714312"/>
    <w:rsid w:val="00714C38"/>
    <w:rsid w:val="00715220"/>
    <w:rsid w:val="007273D5"/>
    <w:rsid w:val="00732AC6"/>
    <w:rsid w:val="007466A8"/>
    <w:rsid w:val="00754549"/>
    <w:rsid w:val="00757A37"/>
    <w:rsid w:val="00775423"/>
    <w:rsid w:val="00797DF7"/>
    <w:rsid w:val="007C1B1A"/>
    <w:rsid w:val="007D62DB"/>
    <w:rsid w:val="007F09C3"/>
    <w:rsid w:val="007F55C1"/>
    <w:rsid w:val="008146B2"/>
    <w:rsid w:val="0082288E"/>
    <w:rsid w:val="00823649"/>
    <w:rsid w:val="0083055E"/>
    <w:rsid w:val="0083499C"/>
    <w:rsid w:val="008437AA"/>
    <w:rsid w:val="00846DB4"/>
    <w:rsid w:val="00854202"/>
    <w:rsid w:val="0085462A"/>
    <w:rsid w:val="008578E4"/>
    <w:rsid w:val="008601FF"/>
    <w:rsid w:val="00870890"/>
    <w:rsid w:val="00871A85"/>
    <w:rsid w:val="00880222"/>
    <w:rsid w:val="0089035C"/>
    <w:rsid w:val="008A28C7"/>
    <w:rsid w:val="008B2913"/>
    <w:rsid w:val="008D36FB"/>
    <w:rsid w:val="0091157D"/>
    <w:rsid w:val="00914356"/>
    <w:rsid w:val="00922EE9"/>
    <w:rsid w:val="00934A41"/>
    <w:rsid w:val="009540FF"/>
    <w:rsid w:val="009621B3"/>
    <w:rsid w:val="00962601"/>
    <w:rsid w:val="0097033B"/>
    <w:rsid w:val="00970DD3"/>
    <w:rsid w:val="009715F0"/>
    <w:rsid w:val="0098472A"/>
    <w:rsid w:val="009A1AF7"/>
    <w:rsid w:val="009D2A82"/>
    <w:rsid w:val="00A05AAE"/>
    <w:rsid w:val="00A2378B"/>
    <w:rsid w:val="00A2773D"/>
    <w:rsid w:val="00A27B60"/>
    <w:rsid w:val="00A3108E"/>
    <w:rsid w:val="00A36908"/>
    <w:rsid w:val="00A410CF"/>
    <w:rsid w:val="00A50C26"/>
    <w:rsid w:val="00A530BD"/>
    <w:rsid w:val="00A57679"/>
    <w:rsid w:val="00A63917"/>
    <w:rsid w:val="00A72A11"/>
    <w:rsid w:val="00AB0516"/>
    <w:rsid w:val="00AB3D22"/>
    <w:rsid w:val="00B16B64"/>
    <w:rsid w:val="00B307D1"/>
    <w:rsid w:val="00B51A58"/>
    <w:rsid w:val="00B859F1"/>
    <w:rsid w:val="00BA7D72"/>
    <w:rsid w:val="00BD1684"/>
    <w:rsid w:val="00BD3EB5"/>
    <w:rsid w:val="00BF25A2"/>
    <w:rsid w:val="00BF7B52"/>
    <w:rsid w:val="00C04041"/>
    <w:rsid w:val="00C22EEB"/>
    <w:rsid w:val="00C34E88"/>
    <w:rsid w:val="00C541B2"/>
    <w:rsid w:val="00C54F6B"/>
    <w:rsid w:val="00C97C9C"/>
    <w:rsid w:val="00CA0B73"/>
    <w:rsid w:val="00CC39BB"/>
    <w:rsid w:val="00CC4DF1"/>
    <w:rsid w:val="00CD1FAF"/>
    <w:rsid w:val="00CF493E"/>
    <w:rsid w:val="00CF691D"/>
    <w:rsid w:val="00D35C18"/>
    <w:rsid w:val="00D5712D"/>
    <w:rsid w:val="00D65587"/>
    <w:rsid w:val="00D77478"/>
    <w:rsid w:val="00D878F9"/>
    <w:rsid w:val="00DD7542"/>
    <w:rsid w:val="00DF435D"/>
    <w:rsid w:val="00E065E9"/>
    <w:rsid w:val="00E20522"/>
    <w:rsid w:val="00E26AE6"/>
    <w:rsid w:val="00E3547D"/>
    <w:rsid w:val="00E56242"/>
    <w:rsid w:val="00E667AB"/>
    <w:rsid w:val="00E75ACF"/>
    <w:rsid w:val="00E77780"/>
    <w:rsid w:val="00E85C38"/>
    <w:rsid w:val="00E946FD"/>
    <w:rsid w:val="00EB6CED"/>
    <w:rsid w:val="00EB7C79"/>
    <w:rsid w:val="00EC75D6"/>
    <w:rsid w:val="00EF7A8F"/>
    <w:rsid w:val="00F1725A"/>
    <w:rsid w:val="00F20C70"/>
    <w:rsid w:val="00F221AC"/>
    <w:rsid w:val="00F43EE8"/>
    <w:rsid w:val="00F4445E"/>
    <w:rsid w:val="00F44560"/>
    <w:rsid w:val="00F53A69"/>
    <w:rsid w:val="00F87828"/>
    <w:rsid w:val="00F96D4B"/>
    <w:rsid w:val="00FA3706"/>
    <w:rsid w:val="00FB53F5"/>
    <w:rsid w:val="00FC28F0"/>
    <w:rsid w:val="00FE3ADD"/>
    <w:rsid w:val="00FF12A1"/>
    <w:rsid w:val="02B0728F"/>
    <w:rsid w:val="0322191F"/>
    <w:rsid w:val="0A5877B1"/>
    <w:rsid w:val="0A6D18E6"/>
    <w:rsid w:val="0F727B9B"/>
    <w:rsid w:val="13495B74"/>
    <w:rsid w:val="152115C5"/>
    <w:rsid w:val="1669150C"/>
    <w:rsid w:val="1C310255"/>
    <w:rsid w:val="20ED3456"/>
    <w:rsid w:val="22635651"/>
    <w:rsid w:val="22E10E00"/>
    <w:rsid w:val="24EB450D"/>
    <w:rsid w:val="251315B0"/>
    <w:rsid w:val="25442591"/>
    <w:rsid w:val="26463773"/>
    <w:rsid w:val="27A75FE0"/>
    <w:rsid w:val="2918169D"/>
    <w:rsid w:val="2B287437"/>
    <w:rsid w:val="2C18486D"/>
    <w:rsid w:val="2EC81912"/>
    <w:rsid w:val="2F1A79DF"/>
    <w:rsid w:val="3FE94F8F"/>
    <w:rsid w:val="41F47C67"/>
    <w:rsid w:val="454F5BAA"/>
    <w:rsid w:val="48081C48"/>
    <w:rsid w:val="570B4076"/>
    <w:rsid w:val="5E037241"/>
    <w:rsid w:val="5F9F4951"/>
    <w:rsid w:val="654D1CCF"/>
    <w:rsid w:val="697B0A9F"/>
    <w:rsid w:val="6A4E001B"/>
    <w:rsid w:val="6A955B90"/>
    <w:rsid w:val="6BED203E"/>
    <w:rsid w:val="76576894"/>
    <w:rsid w:val="7DE033AC"/>
    <w:rsid w:val="F3EBC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rFonts w:ascii="Times New Roman" w:hAnsi="Times New Roman" w:eastAsia="Times New Roman"/>
      <w:b/>
      <w:bCs/>
      <w:sz w:val="24"/>
    </w:rPr>
  </w:style>
  <w:style w:type="character" w:styleId="9">
    <w:name w:val="line number"/>
    <w:basedOn w:val="7"/>
    <w:semiHidden/>
    <w:unhideWhenUsed/>
    <w:qFormat/>
    <w:uiPriority w:val="99"/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rFonts w:eastAsia="等线"/>
      <w:kern w:val="2"/>
      <w:sz w:val="18"/>
      <w:szCs w:val="18"/>
    </w:rPr>
  </w:style>
  <w:style w:type="character" w:customStyle="1" w:styleId="13">
    <w:name w:val="font2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4313</Words>
  <Characters>24590</Characters>
  <Lines>204</Lines>
  <Paragraphs>57</Paragraphs>
  <TotalTime>14</TotalTime>
  <ScaleCrop>false</ScaleCrop>
  <LinksUpToDate>false</LinksUpToDate>
  <CharactersWithSpaces>28846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2024-05-18T15:36:00Z</dcterms:created>
  <dc:creator>Wei Tang</dc:creator>
  <cp:lastModifiedBy>asa</cp:lastModifiedBy>
  <dcterms:modified xsi:type="dcterms:W3CDTF">2025-01-25T03:55:28Z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C7DC3BDEB51348C1B89C6FB15C5FFDD2_12</vt:lpwstr>
  </property>
  <property fmtid="{D5CDD505-2E9C-101B-9397-08002B2CF9AE}" pid="4" name="KSOTemplateDocerSaveRecord">
    <vt:lpwstr>eyJoZGlkIjoiOTY5M2NhZDk5ZTg1MTc3MzY1ZGM3MzZmYWU5YzdjODYiLCJ1c2VySWQiOiIyOTk5MDgzNTcifQ==</vt:lpwstr>
  </property>
</Properties>
</file>