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D9B04" w14:textId="3B26D259" w:rsidR="005B17C1" w:rsidRPr="00154E17" w:rsidRDefault="005B17C1" w:rsidP="005B17C1">
      <w:pPr>
        <w:autoSpaceDE w:val="0"/>
        <w:autoSpaceDN w:val="0"/>
        <w:adjustRightInd w:val="0"/>
        <w:spacing w:line="360" w:lineRule="auto"/>
        <w:jc w:val="both"/>
        <w:rPr>
          <w:lang w:val="en-US"/>
        </w:rPr>
      </w:pPr>
      <w:r w:rsidRPr="00154E17">
        <w:rPr>
          <w:lang w:val="en-US"/>
        </w:rPr>
        <w:t>Supplementary Table 1</w:t>
      </w:r>
      <w:r w:rsidR="00154E17">
        <w:rPr>
          <w:lang w:val="en-US"/>
        </w:rPr>
        <w:t>.</w:t>
      </w:r>
      <w:r w:rsidRPr="00154E17">
        <w:rPr>
          <w:lang w:val="en-US"/>
        </w:rPr>
        <w:t xml:space="preserve"> Time-restricted eating intervention adherence by the study participants. </w:t>
      </w:r>
      <w:r w:rsidRPr="00154E17">
        <w:rPr>
          <w:rFonts w:eastAsia="Arial"/>
          <w:color w:val="000000"/>
          <w:vertAlign w:val="superscript"/>
          <w:lang w:val="en-US"/>
        </w:rPr>
        <w:t>*</w:t>
      </w:r>
      <w:r w:rsidRPr="00154E17">
        <w:rPr>
          <w:lang w:val="en-US"/>
        </w:rPr>
        <w:t xml:space="preserve">Percentage of days with an eating window &lt; 11 hours. </w:t>
      </w:r>
      <w:r w:rsidRPr="00154E17">
        <w:rPr>
          <w:vertAlign w:val="superscript"/>
          <w:lang w:val="en-US"/>
        </w:rPr>
        <w:t>**</w:t>
      </w:r>
      <w:r w:rsidRPr="00154E17">
        <w:rPr>
          <w:lang w:val="en-US"/>
        </w:rPr>
        <w:t xml:space="preserve">Number of participants with an eating window &lt; 11 hours for 80% or more of the days in the given period. Abbreviations: TRE, time-restricted eating. </w:t>
      </w:r>
    </w:p>
    <w:tbl>
      <w:tblPr>
        <w:tblStyle w:val="Gittertabel1-lys"/>
        <w:tblW w:w="0" w:type="auto"/>
        <w:tblLook w:val="0420" w:firstRow="1" w:lastRow="0" w:firstColumn="0" w:lastColumn="0" w:noHBand="0" w:noVBand="1"/>
      </w:tblPr>
      <w:tblGrid>
        <w:gridCol w:w="5097"/>
        <w:gridCol w:w="2632"/>
        <w:gridCol w:w="1899"/>
      </w:tblGrid>
      <w:tr w:rsidR="00154E17" w:rsidRPr="00154E17" w14:paraId="4E49B6F1" w14:textId="77777777" w:rsidTr="00727E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103" w:type="dxa"/>
          </w:tcPr>
          <w:p w14:paraId="3857CB31" w14:textId="77777777" w:rsidR="00154E17" w:rsidRPr="00154E17" w:rsidRDefault="00154E17" w:rsidP="00AA07F3">
            <w:pPr>
              <w:keepNext/>
              <w:ind w:left="100" w:right="100"/>
              <w:rPr>
                <w:b w:val="0"/>
                <w:bCs w:val="0"/>
              </w:rPr>
            </w:pPr>
            <w:r w:rsidRPr="00154E17">
              <w:t>Parameter</w:t>
            </w:r>
          </w:p>
        </w:tc>
        <w:tc>
          <w:tcPr>
            <w:tcW w:w="2634" w:type="dxa"/>
            <w:hideMark/>
          </w:tcPr>
          <w:p w14:paraId="1B1ADC90" w14:textId="2234FD05" w:rsidR="00154E17" w:rsidRPr="00154E17" w:rsidRDefault="00154E17" w:rsidP="00AA07F3">
            <w:pPr>
              <w:keepNext/>
              <w:ind w:left="100" w:right="100"/>
              <w:jc w:val="center"/>
              <w:rPr>
                <w:b w:val="0"/>
                <w:bCs w:val="0"/>
              </w:rPr>
            </w:pPr>
            <w:r w:rsidRPr="00154E17">
              <w:rPr>
                <w:rFonts w:eastAsia="Arial"/>
                <w:color w:val="000000"/>
              </w:rPr>
              <w:t>C</w:t>
            </w:r>
            <w:r>
              <w:rPr>
                <w:rFonts w:eastAsia="Arial"/>
                <w:color w:val="000000"/>
              </w:rPr>
              <w:t>ontrol</w:t>
            </w:r>
            <w:r w:rsidRPr="00154E17">
              <w:rPr>
                <w:rFonts w:eastAsia="Arial"/>
                <w:color w:val="000000"/>
              </w:rPr>
              <w:t xml:space="preserve">, </w:t>
            </w:r>
            <w:r>
              <w:rPr>
                <w:rFonts w:eastAsia="Arial"/>
                <w:color w:val="000000"/>
              </w:rPr>
              <w:t xml:space="preserve">n </w:t>
            </w:r>
            <w:r w:rsidRPr="00154E17">
              <w:rPr>
                <w:rFonts w:eastAsia="Arial"/>
                <w:color w:val="000000"/>
              </w:rPr>
              <w:t>=</w:t>
            </w:r>
            <w:r>
              <w:rPr>
                <w:rFonts w:eastAsia="Arial"/>
                <w:color w:val="000000"/>
              </w:rPr>
              <w:t xml:space="preserve"> </w:t>
            </w:r>
            <w:r w:rsidRPr="00154E17">
              <w:rPr>
                <w:rFonts w:eastAsia="Arial"/>
                <w:color w:val="000000"/>
              </w:rPr>
              <w:t>25</w:t>
            </w:r>
            <w:r w:rsidRPr="00154E17">
              <w:rPr>
                <w:rFonts w:eastAsia="Arial"/>
                <w:color w:val="000000"/>
                <w:vertAlign w:val="superscript"/>
              </w:rPr>
              <w:t>1</w:t>
            </w:r>
          </w:p>
        </w:tc>
        <w:tc>
          <w:tcPr>
            <w:tcW w:w="1901" w:type="dxa"/>
            <w:hideMark/>
          </w:tcPr>
          <w:p w14:paraId="708C37E8" w14:textId="4B0A31DC" w:rsidR="00154E17" w:rsidRPr="00154E17" w:rsidRDefault="00154E17" w:rsidP="00AA07F3">
            <w:pPr>
              <w:keepNext/>
              <w:ind w:left="100" w:right="100"/>
              <w:jc w:val="center"/>
              <w:rPr>
                <w:b w:val="0"/>
                <w:bCs w:val="0"/>
              </w:rPr>
            </w:pPr>
            <w:r w:rsidRPr="00154E17">
              <w:rPr>
                <w:rFonts w:eastAsia="Arial"/>
                <w:color w:val="000000"/>
              </w:rPr>
              <w:t xml:space="preserve">TRE, </w:t>
            </w:r>
            <w:r>
              <w:rPr>
                <w:rFonts w:eastAsia="Arial"/>
                <w:color w:val="000000"/>
              </w:rPr>
              <w:t>n</w:t>
            </w:r>
            <w:r w:rsidRPr="00154E17">
              <w:rPr>
                <w:rFonts w:eastAsia="Arial"/>
                <w:color w:val="000000"/>
              </w:rPr>
              <w:t xml:space="preserve"> = 23</w:t>
            </w:r>
            <w:r w:rsidRPr="00154E17">
              <w:rPr>
                <w:rFonts w:eastAsia="Arial"/>
                <w:color w:val="000000"/>
                <w:vertAlign w:val="superscript"/>
              </w:rPr>
              <w:t>1</w:t>
            </w:r>
          </w:p>
        </w:tc>
      </w:tr>
      <w:tr w:rsidR="00154E17" w:rsidRPr="00154E17" w14:paraId="13C0EF26" w14:textId="77777777" w:rsidTr="00727E4C">
        <w:tc>
          <w:tcPr>
            <w:tcW w:w="5103" w:type="dxa"/>
            <w:hideMark/>
          </w:tcPr>
          <w:p w14:paraId="7CFC1889" w14:textId="77777777" w:rsidR="00154E17" w:rsidRPr="00154E17" w:rsidRDefault="00154E17" w:rsidP="00AA07F3">
            <w:pPr>
              <w:keepNext/>
              <w:ind w:left="100" w:right="100"/>
            </w:pPr>
            <w:r w:rsidRPr="00154E17">
              <w:rPr>
                <w:rFonts w:eastAsia="Arial"/>
                <w:color w:val="000000"/>
              </w:rPr>
              <w:t>Intervention duration, days</w:t>
            </w:r>
          </w:p>
        </w:tc>
        <w:tc>
          <w:tcPr>
            <w:tcW w:w="2634" w:type="dxa"/>
            <w:hideMark/>
          </w:tcPr>
          <w:p w14:paraId="6E462991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83 (83, 86)</w:t>
            </w:r>
          </w:p>
        </w:tc>
        <w:tc>
          <w:tcPr>
            <w:tcW w:w="1901" w:type="dxa"/>
            <w:hideMark/>
          </w:tcPr>
          <w:p w14:paraId="14B58BCD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83 (83, 84)</w:t>
            </w:r>
          </w:p>
        </w:tc>
      </w:tr>
      <w:tr w:rsidR="00154E17" w:rsidRPr="00154E17" w14:paraId="726DE0B1" w14:textId="77777777" w:rsidTr="00727E4C">
        <w:tc>
          <w:tcPr>
            <w:tcW w:w="5103" w:type="dxa"/>
            <w:hideMark/>
          </w:tcPr>
          <w:p w14:paraId="6BA336B4" w14:textId="77777777" w:rsidR="00154E17" w:rsidRPr="00154E17" w:rsidRDefault="00154E17" w:rsidP="00AA07F3">
            <w:pPr>
              <w:keepNext/>
              <w:ind w:left="100" w:right="100"/>
            </w:pPr>
            <w:r w:rsidRPr="00154E17">
              <w:rPr>
                <w:rFonts w:eastAsia="Arial"/>
                <w:color w:val="000000"/>
              </w:rPr>
              <w:t>First caloric event, hours</w:t>
            </w:r>
          </w:p>
        </w:tc>
        <w:tc>
          <w:tcPr>
            <w:tcW w:w="2634" w:type="dxa"/>
            <w:hideMark/>
          </w:tcPr>
          <w:p w14:paraId="6F76968B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7.5 (6.8, 8.8)</w:t>
            </w:r>
          </w:p>
        </w:tc>
        <w:tc>
          <w:tcPr>
            <w:tcW w:w="1901" w:type="dxa"/>
            <w:hideMark/>
          </w:tcPr>
          <w:p w14:paraId="337A35C7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9.6 (9.1, 10.0)</w:t>
            </w:r>
          </w:p>
        </w:tc>
      </w:tr>
      <w:tr w:rsidR="00154E17" w:rsidRPr="00154E17" w14:paraId="5F72CE25" w14:textId="77777777" w:rsidTr="00727E4C">
        <w:tc>
          <w:tcPr>
            <w:tcW w:w="5103" w:type="dxa"/>
            <w:hideMark/>
          </w:tcPr>
          <w:p w14:paraId="7C51D87D" w14:textId="77777777" w:rsidR="00154E17" w:rsidRPr="00F11A33" w:rsidRDefault="00154E17" w:rsidP="00AA07F3">
            <w:pPr>
              <w:keepNext/>
              <w:ind w:left="100" w:right="100"/>
              <w:rPr>
                <w:lang w:val="en-US"/>
              </w:rPr>
            </w:pPr>
            <w:r w:rsidRPr="00F11A33">
              <w:rPr>
                <w:rFonts w:eastAsia="Arial"/>
                <w:color w:val="000000"/>
                <w:lang w:val="en-US"/>
              </w:rPr>
              <w:t>Change in timing of first caloric event, hours</w:t>
            </w:r>
          </w:p>
        </w:tc>
        <w:tc>
          <w:tcPr>
            <w:tcW w:w="2634" w:type="dxa"/>
            <w:hideMark/>
          </w:tcPr>
          <w:p w14:paraId="6AEB2CB7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0.0 (-0.3, 0.3)</w:t>
            </w:r>
          </w:p>
        </w:tc>
        <w:tc>
          <w:tcPr>
            <w:tcW w:w="1901" w:type="dxa"/>
            <w:hideMark/>
          </w:tcPr>
          <w:p w14:paraId="5B1F6BAE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1.0 (0.2, 2.1)</w:t>
            </w:r>
          </w:p>
        </w:tc>
      </w:tr>
      <w:tr w:rsidR="00154E17" w:rsidRPr="00154E17" w14:paraId="36DDAEA5" w14:textId="77777777" w:rsidTr="00727E4C">
        <w:tc>
          <w:tcPr>
            <w:tcW w:w="5103" w:type="dxa"/>
            <w:hideMark/>
          </w:tcPr>
          <w:p w14:paraId="525B5CC6" w14:textId="77777777" w:rsidR="00154E17" w:rsidRPr="00F11A33" w:rsidRDefault="00154E17" w:rsidP="00AA07F3">
            <w:pPr>
              <w:keepNext/>
              <w:ind w:left="100" w:right="100"/>
              <w:rPr>
                <w:lang w:val="en-US"/>
              </w:rPr>
            </w:pPr>
            <w:r w:rsidRPr="00F11A33">
              <w:rPr>
                <w:rFonts w:eastAsia="Arial"/>
                <w:color w:val="000000"/>
                <w:lang w:val="en-US"/>
              </w:rPr>
              <w:t>End of last caloric event, hours</w:t>
            </w:r>
          </w:p>
        </w:tc>
        <w:tc>
          <w:tcPr>
            <w:tcW w:w="2634" w:type="dxa"/>
            <w:hideMark/>
          </w:tcPr>
          <w:p w14:paraId="1602F106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21.5 (20.8, 21.9)</w:t>
            </w:r>
          </w:p>
        </w:tc>
        <w:tc>
          <w:tcPr>
            <w:tcW w:w="1901" w:type="dxa"/>
            <w:hideMark/>
          </w:tcPr>
          <w:p w14:paraId="09E52589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19.4 (18.9, 19.9)</w:t>
            </w:r>
          </w:p>
        </w:tc>
      </w:tr>
      <w:tr w:rsidR="00154E17" w:rsidRPr="00154E17" w14:paraId="7F1912CE" w14:textId="77777777" w:rsidTr="00727E4C">
        <w:tc>
          <w:tcPr>
            <w:tcW w:w="5103" w:type="dxa"/>
            <w:hideMark/>
          </w:tcPr>
          <w:p w14:paraId="7181BA6B" w14:textId="77777777" w:rsidR="00154E17" w:rsidRPr="00F11A33" w:rsidRDefault="00154E17" w:rsidP="00AA07F3">
            <w:pPr>
              <w:keepNext/>
              <w:ind w:left="100" w:right="100"/>
              <w:rPr>
                <w:lang w:val="en-US"/>
              </w:rPr>
            </w:pPr>
            <w:r w:rsidRPr="00F11A33">
              <w:rPr>
                <w:rFonts w:eastAsia="Arial"/>
                <w:color w:val="000000"/>
                <w:lang w:val="en-US"/>
              </w:rPr>
              <w:t>Change in timing of last caloric event, hours</w:t>
            </w:r>
          </w:p>
        </w:tc>
        <w:tc>
          <w:tcPr>
            <w:tcW w:w="2634" w:type="dxa"/>
            <w:hideMark/>
          </w:tcPr>
          <w:p w14:paraId="18D989D8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0.3 (-0.1, 0.6)</w:t>
            </w:r>
          </w:p>
        </w:tc>
        <w:tc>
          <w:tcPr>
            <w:tcW w:w="1901" w:type="dxa"/>
            <w:hideMark/>
          </w:tcPr>
          <w:p w14:paraId="6C89D764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-1.8 (-3.4, -1.2)</w:t>
            </w:r>
          </w:p>
        </w:tc>
      </w:tr>
      <w:tr w:rsidR="00154E17" w:rsidRPr="00154E17" w14:paraId="3DFC863E" w14:textId="77777777" w:rsidTr="00727E4C">
        <w:tc>
          <w:tcPr>
            <w:tcW w:w="5103" w:type="dxa"/>
            <w:hideMark/>
          </w:tcPr>
          <w:p w14:paraId="7FF37639" w14:textId="77777777" w:rsidR="00154E17" w:rsidRPr="00154E17" w:rsidRDefault="00154E17" w:rsidP="00AA07F3">
            <w:pPr>
              <w:keepNext/>
              <w:ind w:left="100" w:right="100"/>
            </w:pPr>
            <w:r w:rsidRPr="00154E17">
              <w:rPr>
                <w:rFonts w:eastAsia="Arial"/>
                <w:color w:val="000000"/>
              </w:rPr>
              <w:t>Daily eating duration, hours</w:t>
            </w:r>
          </w:p>
        </w:tc>
        <w:tc>
          <w:tcPr>
            <w:tcW w:w="2634" w:type="dxa"/>
            <w:hideMark/>
          </w:tcPr>
          <w:p w14:paraId="3A0B5F9E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13.6 (12.9, 14.4)</w:t>
            </w:r>
          </w:p>
        </w:tc>
        <w:tc>
          <w:tcPr>
            <w:tcW w:w="1901" w:type="dxa"/>
            <w:hideMark/>
          </w:tcPr>
          <w:p w14:paraId="6160146D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9.8 (9.5, 10.0)</w:t>
            </w:r>
          </w:p>
        </w:tc>
      </w:tr>
      <w:tr w:rsidR="00154E17" w:rsidRPr="00154E17" w14:paraId="7393C6C0" w14:textId="77777777" w:rsidTr="00727E4C">
        <w:tc>
          <w:tcPr>
            <w:tcW w:w="5103" w:type="dxa"/>
            <w:hideMark/>
          </w:tcPr>
          <w:p w14:paraId="1BB6E0E7" w14:textId="77777777" w:rsidR="00154E17" w:rsidRPr="00F11A33" w:rsidRDefault="00154E17" w:rsidP="00AA07F3">
            <w:pPr>
              <w:keepNext/>
              <w:ind w:left="100" w:right="100"/>
              <w:rPr>
                <w:lang w:val="en-US"/>
              </w:rPr>
            </w:pPr>
            <w:r w:rsidRPr="00F11A33">
              <w:rPr>
                <w:rFonts w:eastAsia="Arial"/>
                <w:color w:val="000000"/>
                <w:lang w:val="en-US"/>
              </w:rPr>
              <w:t>Difference in daily eating duration, hours</w:t>
            </w:r>
          </w:p>
        </w:tc>
        <w:tc>
          <w:tcPr>
            <w:tcW w:w="2634" w:type="dxa"/>
            <w:hideMark/>
          </w:tcPr>
          <w:p w14:paraId="51DEB25E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0.3 (-0.2, 0.6)</w:t>
            </w:r>
          </w:p>
        </w:tc>
        <w:tc>
          <w:tcPr>
            <w:tcW w:w="1901" w:type="dxa"/>
            <w:hideMark/>
          </w:tcPr>
          <w:p w14:paraId="676D9FAE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-3.8 (-4.3, -3.1)</w:t>
            </w:r>
          </w:p>
        </w:tc>
      </w:tr>
      <w:tr w:rsidR="00154E17" w:rsidRPr="00154E17" w14:paraId="6E819701" w14:textId="77777777" w:rsidTr="00727E4C">
        <w:tc>
          <w:tcPr>
            <w:tcW w:w="5103" w:type="dxa"/>
            <w:hideMark/>
          </w:tcPr>
          <w:p w14:paraId="073CAD36" w14:textId="77777777" w:rsidR="00154E17" w:rsidRPr="00F11A33" w:rsidRDefault="00154E17" w:rsidP="00AA07F3">
            <w:pPr>
              <w:keepNext/>
              <w:ind w:left="100" w:right="100"/>
              <w:rPr>
                <w:lang w:val="en-US"/>
              </w:rPr>
            </w:pPr>
            <w:r w:rsidRPr="00F11A33">
              <w:rPr>
                <w:rFonts w:eastAsia="Arial"/>
                <w:color w:val="000000"/>
                <w:lang w:val="en-US"/>
              </w:rPr>
              <w:t>Adherence to TRE, percent of days*</w:t>
            </w:r>
          </w:p>
        </w:tc>
        <w:tc>
          <w:tcPr>
            <w:tcW w:w="2634" w:type="dxa"/>
            <w:hideMark/>
          </w:tcPr>
          <w:p w14:paraId="3DCDB507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5 (1, 9)</w:t>
            </w:r>
          </w:p>
        </w:tc>
        <w:tc>
          <w:tcPr>
            <w:tcW w:w="1901" w:type="dxa"/>
            <w:hideMark/>
          </w:tcPr>
          <w:p w14:paraId="17A6A12A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92 (87, 96)</w:t>
            </w:r>
          </w:p>
        </w:tc>
      </w:tr>
      <w:tr w:rsidR="00154E17" w:rsidRPr="00154E17" w14:paraId="2F94E53A" w14:textId="77777777" w:rsidTr="00727E4C">
        <w:tc>
          <w:tcPr>
            <w:tcW w:w="5103" w:type="dxa"/>
            <w:hideMark/>
          </w:tcPr>
          <w:p w14:paraId="7C8AFDE4" w14:textId="77777777" w:rsidR="00154E17" w:rsidRPr="00154E17" w:rsidRDefault="00154E17" w:rsidP="00AA07F3">
            <w:pPr>
              <w:keepNext/>
              <w:ind w:left="100" w:right="100"/>
            </w:pPr>
            <w:r w:rsidRPr="00154E17">
              <w:rPr>
                <w:rFonts w:eastAsia="Arial"/>
                <w:color w:val="000000"/>
              </w:rPr>
              <w:t>Strict TRE, n**</w:t>
            </w:r>
          </w:p>
        </w:tc>
        <w:tc>
          <w:tcPr>
            <w:tcW w:w="2634" w:type="dxa"/>
            <w:hideMark/>
          </w:tcPr>
          <w:p w14:paraId="7B3B0FD5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0 (0%)</w:t>
            </w:r>
          </w:p>
        </w:tc>
        <w:tc>
          <w:tcPr>
            <w:tcW w:w="1901" w:type="dxa"/>
            <w:hideMark/>
          </w:tcPr>
          <w:p w14:paraId="23DB4FE6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19 (83%)</w:t>
            </w:r>
          </w:p>
        </w:tc>
      </w:tr>
      <w:tr w:rsidR="00154E17" w:rsidRPr="00154E17" w14:paraId="5F866E86" w14:textId="77777777" w:rsidTr="00727E4C">
        <w:tc>
          <w:tcPr>
            <w:tcW w:w="5103" w:type="dxa"/>
            <w:hideMark/>
          </w:tcPr>
          <w:p w14:paraId="7E2A9E29" w14:textId="77777777" w:rsidR="00154E17" w:rsidRPr="00154E17" w:rsidRDefault="00154E17" w:rsidP="00AA07F3">
            <w:pPr>
              <w:keepNext/>
              <w:ind w:left="100" w:right="100"/>
            </w:pPr>
            <w:r w:rsidRPr="00154E17">
              <w:rPr>
                <w:rFonts w:eastAsia="Arial"/>
                <w:color w:val="000000"/>
              </w:rPr>
              <w:t>Missing, percent</w:t>
            </w:r>
          </w:p>
        </w:tc>
        <w:tc>
          <w:tcPr>
            <w:tcW w:w="2634" w:type="dxa"/>
            <w:hideMark/>
          </w:tcPr>
          <w:p w14:paraId="44027EA9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0.00 (0.00, 0.00)</w:t>
            </w:r>
          </w:p>
        </w:tc>
        <w:tc>
          <w:tcPr>
            <w:tcW w:w="1901" w:type="dxa"/>
            <w:hideMark/>
          </w:tcPr>
          <w:p w14:paraId="2EC1E54C" w14:textId="77777777" w:rsidR="00154E17" w:rsidRPr="00154E17" w:rsidRDefault="00154E17" w:rsidP="00AA07F3">
            <w:pPr>
              <w:keepNext/>
              <w:ind w:left="100" w:right="100"/>
              <w:jc w:val="center"/>
            </w:pPr>
            <w:r w:rsidRPr="00154E17">
              <w:rPr>
                <w:rFonts w:eastAsia="Arial"/>
                <w:color w:val="000000"/>
              </w:rPr>
              <w:t>0.00 (0.00, 0.60)</w:t>
            </w:r>
          </w:p>
        </w:tc>
      </w:tr>
      <w:tr w:rsidR="00154E17" w:rsidRPr="00A260DF" w14:paraId="2AFF960F" w14:textId="77777777" w:rsidTr="00727E4C">
        <w:tc>
          <w:tcPr>
            <w:tcW w:w="9638" w:type="dxa"/>
            <w:gridSpan w:val="3"/>
            <w:hideMark/>
          </w:tcPr>
          <w:p w14:paraId="434AE352" w14:textId="6A97EFDA" w:rsidR="00154E17" w:rsidRPr="00F11A33" w:rsidRDefault="00154E17" w:rsidP="00AA07F3">
            <w:pPr>
              <w:keepNext/>
              <w:ind w:left="100" w:right="100"/>
              <w:rPr>
                <w:lang w:val="en-US"/>
              </w:rPr>
            </w:pPr>
            <w:r w:rsidRPr="00F11A33">
              <w:rPr>
                <w:rFonts w:eastAsia="Arial"/>
                <w:color w:val="000000"/>
                <w:vertAlign w:val="superscript"/>
                <w:lang w:val="en-US"/>
              </w:rPr>
              <w:t>1</w:t>
            </w:r>
            <w:r w:rsidRPr="00F11A33">
              <w:rPr>
                <w:rFonts w:eastAsia="Arial"/>
                <w:color w:val="000000"/>
                <w:lang w:val="en-US"/>
              </w:rPr>
              <w:t>Median (IQR); n (%), TRE, time-restricted eating.</w:t>
            </w:r>
          </w:p>
        </w:tc>
      </w:tr>
    </w:tbl>
    <w:p w14:paraId="7C7AF510" w14:textId="77777777" w:rsidR="008808C8" w:rsidRPr="00154E17" w:rsidRDefault="008808C8" w:rsidP="005B17C1">
      <w:pPr>
        <w:rPr>
          <w:lang w:val="en-US"/>
        </w:rPr>
      </w:pPr>
    </w:p>
    <w:p w14:paraId="66CCD4C8" w14:textId="20258E7B" w:rsidR="005D02E1" w:rsidRDefault="005D02E1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48947B3F" w14:textId="5F710B7C" w:rsidR="00154E17" w:rsidRPr="00154E17" w:rsidRDefault="00154E17" w:rsidP="00154E17">
      <w:pPr>
        <w:autoSpaceDE w:val="0"/>
        <w:autoSpaceDN w:val="0"/>
        <w:adjustRightInd w:val="0"/>
        <w:spacing w:line="360" w:lineRule="auto"/>
        <w:jc w:val="both"/>
        <w:rPr>
          <w:lang w:val="en-US"/>
        </w:rPr>
      </w:pPr>
      <w:r w:rsidRPr="00154E17">
        <w:rPr>
          <w:lang w:val="en-US"/>
        </w:rPr>
        <w:lastRenderedPageBreak/>
        <w:t>Supplementary Table 2</w:t>
      </w:r>
      <w:r>
        <w:rPr>
          <w:lang w:val="en-US"/>
        </w:rPr>
        <w:t>.</w:t>
      </w:r>
      <w:r w:rsidRPr="00154E17">
        <w:rPr>
          <w:lang w:val="en-US"/>
        </w:rPr>
        <w:t xml:space="preserve"> Complete cell count in blood samples and PBMC</w:t>
      </w:r>
      <w:r w:rsidR="00613223">
        <w:rPr>
          <w:lang w:val="en-US"/>
        </w:rPr>
        <w:t>/platelet fraction</w:t>
      </w:r>
      <w:r w:rsidRPr="00154E17">
        <w:rPr>
          <w:lang w:val="en-US"/>
        </w:rPr>
        <w:t xml:space="preserve"> used for Seahorse analysis from all participants and visits. Values are mean (SD) of 10</w:t>
      </w:r>
      <w:r w:rsidRPr="00154E17">
        <w:rPr>
          <w:vertAlign w:val="superscript"/>
          <w:lang w:val="en-US"/>
        </w:rPr>
        <w:t>9</w:t>
      </w:r>
      <w:r w:rsidRPr="00154E17">
        <w:rPr>
          <w:lang w:val="en-US"/>
        </w:rPr>
        <w:t xml:space="preserve"> cells/L for all cell types (except platelets, where values are 10</w:t>
      </w:r>
      <w:r w:rsidRPr="00154E17">
        <w:rPr>
          <w:vertAlign w:val="superscript"/>
          <w:lang w:val="en-US"/>
        </w:rPr>
        <w:t>12</w:t>
      </w:r>
      <w:r w:rsidRPr="00154E17">
        <w:rPr>
          <w:lang w:val="en-US"/>
        </w:rPr>
        <w:t xml:space="preserve"> cells/L).</w:t>
      </w:r>
    </w:p>
    <w:tbl>
      <w:tblPr>
        <w:tblStyle w:val="Gittertabel1-lys"/>
        <w:tblW w:w="9639" w:type="dxa"/>
        <w:tblLook w:val="0420" w:firstRow="1" w:lastRow="0" w:firstColumn="0" w:lastColumn="0" w:noHBand="0" w:noVBand="1"/>
      </w:tblPr>
      <w:tblGrid>
        <w:gridCol w:w="1657"/>
        <w:gridCol w:w="1745"/>
        <w:gridCol w:w="1403"/>
        <w:gridCol w:w="1646"/>
        <w:gridCol w:w="1598"/>
        <w:gridCol w:w="1590"/>
      </w:tblGrid>
      <w:tr w:rsidR="00727E4C" w:rsidRPr="00154E17" w14:paraId="2DD06DA9" w14:textId="77777777" w:rsidTr="00727E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tcW w:w="1657" w:type="dxa"/>
          </w:tcPr>
          <w:p w14:paraId="2E0D98E9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  <w:tc>
          <w:tcPr>
            <w:tcW w:w="1745" w:type="dxa"/>
            <w:hideMark/>
          </w:tcPr>
          <w:p w14:paraId="5AAFDC90" w14:textId="0590274A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lang w:val="en-US"/>
              </w:rPr>
            </w:pPr>
            <w:r w:rsidRPr="00154E17">
              <w:rPr>
                <w:lang w:val="en-US"/>
              </w:rPr>
              <w:t xml:space="preserve">Red </w:t>
            </w:r>
            <w:r w:rsidR="005B17C1" w:rsidRPr="00154E17">
              <w:rPr>
                <w:lang w:val="en-US"/>
              </w:rPr>
              <w:t>b</w:t>
            </w:r>
            <w:r w:rsidRPr="00154E17">
              <w:rPr>
                <w:lang w:val="en-US"/>
              </w:rPr>
              <w:t>lood cells</w:t>
            </w:r>
          </w:p>
        </w:tc>
        <w:tc>
          <w:tcPr>
            <w:tcW w:w="1403" w:type="dxa"/>
            <w:hideMark/>
          </w:tcPr>
          <w:p w14:paraId="27AD69D0" w14:textId="5D647C22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lang w:val="en-US"/>
              </w:rPr>
            </w:pPr>
            <w:r w:rsidRPr="00154E17">
              <w:rPr>
                <w:lang w:val="en-US"/>
              </w:rPr>
              <w:t>Platelets</w:t>
            </w:r>
          </w:p>
        </w:tc>
        <w:tc>
          <w:tcPr>
            <w:tcW w:w="1646" w:type="dxa"/>
            <w:hideMark/>
          </w:tcPr>
          <w:p w14:paraId="42C120D0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lang w:val="en-US"/>
              </w:rPr>
            </w:pPr>
            <w:r w:rsidRPr="00154E17">
              <w:rPr>
                <w:lang w:val="en-US"/>
              </w:rPr>
              <w:t>Neutrophils</w:t>
            </w:r>
          </w:p>
        </w:tc>
        <w:tc>
          <w:tcPr>
            <w:tcW w:w="1598" w:type="dxa"/>
            <w:hideMark/>
          </w:tcPr>
          <w:p w14:paraId="061493A6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lang w:val="en-US"/>
              </w:rPr>
            </w:pPr>
            <w:r w:rsidRPr="00154E17">
              <w:rPr>
                <w:lang w:val="en-US"/>
              </w:rPr>
              <w:t>Monocytes</w:t>
            </w:r>
          </w:p>
        </w:tc>
        <w:tc>
          <w:tcPr>
            <w:tcW w:w="1590" w:type="dxa"/>
            <w:hideMark/>
          </w:tcPr>
          <w:p w14:paraId="5E70F0BD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lang w:val="en-US"/>
              </w:rPr>
            </w:pPr>
            <w:r w:rsidRPr="00154E17">
              <w:rPr>
                <w:lang w:val="en-US"/>
              </w:rPr>
              <w:t>Lymphocytes</w:t>
            </w:r>
          </w:p>
        </w:tc>
      </w:tr>
      <w:tr w:rsidR="00727E4C" w:rsidRPr="00154E17" w14:paraId="4D98F372" w14:textId="77777777" w:rsidTr="00727E4C">
        <w:trPr>
          <w:trHeight w:val="235"/>
        </w:trPr>
        <w:tc>
          <w:tcPr>
            <w:tcW w:w="1657" w:type="dxa"/>
            <w:hideMark/>
          </w:tcPr>
          <w:p w14:paraId="4D657787" w14:textId="44BFDEC3" w:rsidR="00154E17" w:rsidRDefault="00397CB1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lang w:val="en-US"/>
              </w:rPr>
              <w:t>Whole b</w:t>
            </w:r>
            <w:r w:rsidR="000F4FFF" w:rsidRPr="00154E17">
              <w:rPr>
                <w:lang w:val="en-US"/>
              </w:rPr>
              <w:t xml:space="preserve">lood </w:t>
            </w:r>
          </w:p>
          <w:p w14:paraId="300BAE8F" w14:textId="364342C6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(n</w:t>
            </w:r>
            <w:r w:rsidR="00154E17">
              <w:rPr>
                <w:lang w:val="en-US"/>
              </w:rPr>
              <w:t xml:space="preserve"> </w:t>
            </w:r>
            <w:r w:rsidRPr="00154E17">
              <w:rPr>
                <w:lang w:val="en-US"/>
              </w:rPr>
              <w:t>=</w:t>
            </w:r>
            <w:r w:rsidR="00154E17">
              <w:rPr>
                <w:lang w:val="en-US"/>
              </w:rPr>
              <w:t xml:space="preserve"> </w:t>
            </w:r>
            <w:r w:rsidRPr="00154E17">
              <w:rPr>
                <w:lang w:val="en-US"/>
              </w:rPr>
              <w:t>101)</w:t>
            </w:r>
          </w:p>
        </w:tc>
        <w:tc>
          <w:tcPr>
            <w:tcW w:w="1745" w:type="dxa"/>
            <w:hideMark/>
          </w:tcPr>
          <w:p w14:paraId="4B346656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6,199 (1,242)</w:t>
            </w:r>
          </w:p>
        </w:tc>
        <w:tc>
          <w:tcPr>
            <w:tcW w:w="1403" w:type="dxa"/>
            <w:hideMark/>
          </w:tcPr>
          <w:p w14:paraId="3446C889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213,867 (104,224)</w:t>
            </w:r>
          </w:p>
        </w:tc>
        <w:tc>
          <w:tcPr>
            <w:tcW w:w="1646" w:type="dxa"/>
            <w:hideMark/>
          </w:tcPr>
          <w:p w14:paraId="1A87FAB3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4,382 (1,298)</w:t>
            </w:r>
          </w:p>
        </w:tc>
        <w:tc>
          <w:tcPr>
            <w:tcW w:w="1598" w:type="dxa"/>
            <w:hideMark/>
          </w:tcPr>
          <w:p w14:paraId="6DA97114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0,506 (0,195)</w:t>
            </w:r>
          </w:p>
        </w:tc>
        <w:tc>
          <w:tcPr>
            <w:tcW w:w="1590" w:type="dxa"/>
            <w:hideMark/>
          </w:tcPr>
          <w:p w14:paraId="1863F41E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2,207 (0,738)</w:t>
            </w:r>
          </w:p>
        </w:tc>
      </w:tr>
      <w:tr w:rsidR="00727E4C" w:rsidRPr="00154E17" w14:paraId="3C045F33" w14:textId="77777777" w:rsidTr="00727E4C">
        <w:trPr>
          <w:trHeight w:val="268"/>
        </w:trPr>
        <w:tc>
          <w:tcPr>
            <w:tcW w:w="1657" w:type="dxa"/>
            <w:hideMark/>
          </w:tcPr>
          <w:p w14:paraId="209D56F1" w14:textId="1AA2B4ED" w:rsid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PBMC</w:t>
            </w:r>
            <w:r w:rsidR="00397CB1">
              <w:rPr>
                <w:lang w:val="en-US"/>
              </w:rPr>
              <w:t>/platelet fraction</w:t>
            </w:r>
            <w:r w:rsidRPr="00154E17">
              <w:rPr>
                <w:lang w:val="en-US"/>
              </w:rPr>
              <w:t xml:space="preserve"> </w:t>
            </w:r>
          </w:p>
          <w:p w14:paraId="7FC0405D" w14:textId="458F2C25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(n</w:t>
            </w:r>
            <w:r w:rsidR="00154E17">
              <w:rPr>
                <w:lang w:val="en-US"/>
              </w:rPr>
              <w:t xml:space="preserve"> </w:t>
            </w:r>
            <w:r w:rsidRPr="00154E17">
              <w:rPr>
                <w:lang w:val="en-US"/>
              </w:rPr>
              <w:t>=</w:t>
            </w:r>
            <w:r w:rsidR="00154E17">
              <w:rPr>
                <w:lang w:val="en-US"/>
              </w:rPr>
              <w:t xml:space="preserve"> </w:t>
            </w:r>
            <w:r w:rsidRPr="00154E17">
              <w:rPr>
                <w:lang w:val="en-US"/>
              </w:rPr>
              <w:t>101)</w:t>
            </w:r>
          </w:p>
        </w:tc>
        <w:tc>
          <w:tcPr>
            <w:tcW w:w="1745" w:type="dxa"/>
            <w:hideMark/>
          </w:tcPr>
          <w:p w14:paraId="0D723BD4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0,011 (0,003)</w:t>
            </w:r>
          </w:p>
        </w:tc>
        <w:tc>
          <w:tcPr>
            <w:tcW w:w="1403" w:type="dxa"/>
            <w:hideMark/>
          </w:tcPr>
          <w:p w14:paraId="726DFA38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5,776 (3,809)</w:t>
            </w:r>
          </w:p>
        </w:tc>
        <w:tc>
          <w:tcPr>
            <w:tcW w:w="1646" w:type="dxa"/>
            <w:hideMark/>
          </w:tcPr>
          <w:p w14:paraId="00253E1E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0,296 (0,3791)</w:t>
            </w:r>
          </w:p>
        </w:tc>
        <w:tc>
          <w:tcPr>
            <w:tcW w:w="1598" w:type="dxa"/>
            <w:hideMark/>
          </w:tcPr>
          <w:p w14:paraId="2FCCBD78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0,662 (0,383)</w:t>
            </w:r>
          </w:p>
        </w:tc>
        <w:tc>
          <w:tcPr>
            <w:tcW w:w="1590" w:type="dxa"/>
            <w:hideMark/>
          </w:tcPr>
          <w:p w14:paraId="5C8D83C1" w14:textId="77777777" w:rsidR="000F4FFF" w:rsidRPr="00154E17" w:rsidRDefault="000F4FFF" w:rsidP="005F75E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154E17">
              <w:rPr>
                <w:lang w:val="en-US"/>
              </w:rPr>
              <w:t>3,018 (0,877)</w:t>
            </w:r>
          </w:p>
        </w:tc>
      </w:tr>
    </w:tbl>
    <w:p w14:paraId="05FE642C" w14:textId="444A6B4A" w:rsidR="005D02E1" w:rsidRDefault="005D02E1" w:rsidP="000F4FFF">
      <w:pPr>
        <w:autoSpaceDE w:val="0"/>
        <w:autoSpaceDN w:val="0"/>
        <w:adjustRightInd w:val="0"/>
        <w:spacing w:line="360" w:lineRule="auto"/>
        <w:jc w:val="both"/>
        <w:rPr>
          <w:i/>
          <w:iCs/>
          <w:lang w:val="en-US"/>
        </w:rPr>
      </w:pPr>
    </w:p>
    <w:p w14:paraId="7EF05F36" w14:textId="26D38539" w:rsidR="00544928" w:rsidRPr="00474A0C" w:rsidRDefault="005D02E1" w:rsidP="00A92636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  <w:lang w:val="en-US"/>
        </w:rPr>
      </w:pPr>
      <w:r>
        <w:rPr>
          <w:i/>
          <w:iCs/>
          <w:lang w:val="en-US"/>
        </w:rPr>
        <w:br w:type="page"/>
      </w:r>
      <w:r w:rsidR="00B05A14" w:rsidRPr="00154E17">
        <w:rPr>
          <w:lang w:val="en-US"/>
        </w:rPr>
        <w:lastRenderedPageBreak/>
        <w:t xml:space="preserve">Supplementary Table </w:t>
      </w:r>
      <w:r w:rsidR="00B05A14">
        <w:rPr>
          <w:lang w:val="en-US"/>
        </w:rPr>
        <w:t xml:space="preserve">3. </w:t>
      </w:r>
      <w:r w:rsidR="00544928" w:rsidRPr="00474A0C">
        <w:rPr>
          <w:color w:val="000000" w:themeColor="text1"/>
          <w:lang w:val="en-US"/>
        </w:rPr>
        <w:t>Mitochondrial respiratory parameters calculated using the OCR readings produced by the Seahorse extracellular flux analyzer.</w:t>
      </w:r>
    </w:p>
    <w:tbl>
      <w:tblPr>
        <w:tblStyle w:val="Gittertabel1-lys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5517"/>
      </w:tblGrid>
      <w:tr w:rsidR="00544928" w:rsidRPr="00F90E7E" w14:paraId="11AF38D2" w14:textId="77777777" w:rsidTr="00AB55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6819E1D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rPr>
                <w:b w:val="0"/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Seahorse mitochondrial respiration parameter</w:t>
            </w:r>
          </w:p>
        </w:tc>
        <w:tc>
          <w:tcPr>
            <w:tcW w:w="5517" w:type="dxa"/>
          </w:tcPr>
          <w:p w14:paraId="159BB659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Calculation</w:t>
            </w:r>
          </w:p>
        </w:tc>
      </w:tr>
      <w:tr w:rsidR="00544928" w:rsidRPr="00A260DF" w14:paraId="75FAD8AB" w14:textId="77777777" w:rsidTr="00AB55F6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0A238485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Basal Respiration</w:t>
            </w:r>
          </w:p>
        </w:tc>
        <w:tc>
          <w:tcPr>
            <w:tcW w:w="5517" w:type="dxa"/>
          </w:tcPr>
          <w:p w14:paraId="0F9F8696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Difference between the average of all three OCR measurements per well before first injection and Non-Mitochondrial Respiration</w:t>
            </w:r>
          </w:p>
        </w:tc>
      </w:tr>
      <w:tr w:rsidR="00544928" w:rsidRPr="00A260DF" w14:paraId="7C3D3E43" w14:textId="77777777" w:rsidTr="00AB5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33571075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ATP-linked respiration</w:t>
            </w:r>
          </w:p>
        </w:tc>
        <w:tc>
          <w:tcPr>
            <w:tcW w:w="5517" w:type="dxa"/>
          </w:tcPr>
          <w:p w14:paraId="2E1F278E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Difference in OCR between Basal Respiration and Proton Leak</w:t>
            </w:r>
          </w:p>
        </w:tc>
      </w:tr>
      <w:tr w:rsidR="00544928" w:rsidRPr="00A260DF" w14:paraId="51978B47" w14:textId="77777777" w:rsidTr="00AB5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548A7BB6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Proton Leak</w:t>
            </w:r>
          </w:p>
        </w:tc>
        <w:tc>
          <w:tcPr>
            <w:tcW w:w="5517" w:type="dxa"/>
          </w:tcPr>
          <w:p w14:paraId="5FB8DA32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Average of all four OCR measurements per well after oligomycin injection, after Non-Mitochondrial Respiration subtraction</w:t>
            </w:r>
          </w:p>
        </w:tc>
      </w:tr>
      <w:tr w:rsidR="00544928" w:rsidRPr="00A260DF" w14:paraId="54D80911" w14:textId="77777777" w:rsidTr="00AB5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3DC6F7D6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Maximum Respiration</w:t>
            </w:r>
          </w:p>
        </w:tc>
        <w:tc>
          <w:tcPr>
            <w:tcW w:w="5517" w:type="dxa"/>
          </w:tcPr>
          <w:p w14:paraId="151EACCE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Average of all four OCR measurements per well after FCCP injection, after Non-Mitochondrial Respiration subtraction</w:t>
            </w:r>
          </w:p>
        </w:tc>
      </w:tr>
      <w:tr w:rsidR="00544928" w:rsidRPr="00A260DF" w14:paraId="6EA6150B" w14:textId="77777777" w:rsidTr="00AB5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7EE0ADC9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Spare Respiratory Capacity</w:t>
            </w:r>
          </w:p>
        </w:tc>
        <w:tc>
          <w:tcPr>
            <w:tcW w:w="5517" w:type="dxa"/>
          </w:tcPr>
          <w:p w14:paraId="0C77E558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Difference in OCR between Maximum Respiration and Basal Respiration</w:t>
            </w:r>
          </w:p>
        </w:tc>
      </w:tr>
      <w:tr w:rsidR="00544928" w:rsidRPr="00A260DF" w14:paraId="0BC2F345" w14:textId="77777777" w:rsidTr="00AB5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74822A0C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Non-mitochondrial Respiration</w:t>
            </w:r>
          </w:p>
        </w:tc>
        <w:tc>
          <w:tcPr>
            <w:tcW w:w="5517" w:type="dxa"/>
          </w:tcPr>
          <w:p w14:paraId="409413A8" w14:textId="77777777" w:rsidR="00544928" w:rsidRPr="00F90E7E" w:rsidRDefault="00544928" w:rsidP="00AB55F6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en-US"/>
              </w:rPr>
            </w:pPr>
            <w:r w:rsidRPr="00F90E7E">
              <w:rPr>
                <w:color w:val="000000" w:themeColor="text1"/>
                <w:sz w:val="20"/>
                <w:szCs w:val="20"/>
                <w:lang w:val="en-US"/>
              </w:rPr>
              <w:t>Average of last two OCR measurements per well after rotenone/antimycin A injection</w:t>
            </w:r>
          </w:p>
        </w:tc>
      </w:tr>
    </w:tbl>
    <w:p w14:paraId="7602BF4F" w14:textId="50FB4C5F" w:rsidR="00544928" w:rsidRDefault="00544928">
      <w:pPr>
        <w:spacing w:after="160" w:line="259" w:lineRule="auto"/>
        <w:rPr>
          <w:i/>
          <w:iCs/>
          <w:lang w:val="en-US"/>
        </w:rPr>
      </w:pPr>
    </w:p>
    <w:p w14:paraId="64384B4E" w14:textId="49386BE3" w:rsidR="00F11A33" w:rsidRDefault="00B05A14">
      <w:pPr>
        <w:spacing w:after="160" w:line="259" w:lineRule="auto"/>
        <w:rPr>
          <w:i/>
          <w:iCs/>
          <w:lang w:val="en-US"/>
        </w:rPr>
      </w:pPr>
      <w:r>
        <w:rPr>
          <w:i/>
          <w:iCs/>
          <w:lang w:val="en-US"/>
        </w:rPr>
        <w:br w:type="page"/>
      </w:r>
    </w:p>
    <w:p w14:paraId="151925FF" w14:textId="4A33AC9B" w:rsidR="00292234" w:rsidRPr="00A260DF" w:rsidRDefault="00C00043" w:rsidP="005D02E1">
      <w:pPr>
        <w:pStyle w:val="Billedtekst"/>
        <w:spacing w:line="360" w:lineRule="auto"/>
        <w:jc w:val="both"/>
        <w:rPr>
          <w:rFonts w:ascii="Times New Roman" w:hAnsi="Times New Roman"/>
          <w:i w:val="0"/>
          <w:iCs w:val="0"/>
          <w:color w:val="FF0000"/>
          <w:sz w:val="24"/>
          <w:szCs w:val="24"/>
          <w:lang w:val="en-US"/>
        </w:rPr>
      </w:pPr>
      <w:r w:rsidRPr="00C00043">
        <w:rPr>
          <w:rFonts w:ascii="Times New Roman" w:hAnsi="Times New Roman"/>
          <w:i w:val="0"/>
          <w:iCs w:val="0"/>
          <w:color w:val="FF0000"/>
          <w:sz w:val="24"/>
          <w:szCs w:val="24"/>
        </w:rPr>
        <w:lastRenderedPageBreak/>
        <w:drawing>
          <wp:inline distT="0" distB="0" distL="0" distR="0" wp14:anchorId="3B71A534" wp14:editId="51401565">
            <wp:extent cx="6120130" cy="2554605"/>
            <wp:effectExtent l="0" t="0" r="0" b="0"/>
            <wp:docPr id="2" name="Billede 1">
              <a:extLst xmlns:a="http://schemas.openxmlformats.org/drawingml/2006/main">
                <a:ext uri="{FF2B5EF4-FFF2-40B4-BE49-F238E27FC236}">
                  <a16:creationId xmlns:a16="http://schemas.microsoft.com/office/drawing/2014/main" id="{8CEF71B9-976C-D975-E311-E392929AE3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1">
                      <a:extLst>
                        <a:ext uri="{FF2B5EF4-FFF2-40B4-BE49-F238E27FC236}">
                          <a16:creationId xmlns:a16="http://schemas.microsoft.com/office/drawing/2014/main" id="{8CEF71B9-976C-D975-E311-E392929AE3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383DD" w14:textId="181913CC" w:rsidR="00F11A33" w:rsidRPr="00097CC5" w:rsidRDefault="00F11A33" w:rsidP="005D02E1">
      <w:pPr>
        <w:pStyle w:val="Billedtekst"/>
        <w:spacing w:line="360" w:lineRule="auto"/>
        <w:jc w:val="both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Supplementary Figure 1:</w:t>
      </w:r>
      <w:r w:rsidR="00600F4F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  <w:r w:rsidR="00361121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Relative g</w:t>
      </w:r>
      <w:r w:rsidR="00600F4F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ene expression</w:t>
      </w:r>
      <w:r w:rsidR="00C13E65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of </w:t>
      </w:r>
      <w:bookmarkStart w:id="0" w:name="OLE_LINK1"/>
      <w:r w:rsidR="00C13E65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hexokinase 1 (</w:t>
      </w:r>
      <w:r w:rsidR="00C13E65" w:rsidRPr="00097CC5">
        <w:rPr>
          <w:rFonts w:ascii="Times New Roman" w:hAnsi="Times New Roman"/>
          <w:sz w:val="24"/>
          <w:szCs w:val="24"/>
          <w:lang w:val="en-US"/>
        </w:rPr>
        <w:t>HK1</w:t>
      </w:r>
      <w:r w:rsidR="00C13E65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), </w:t>
      </w:r>
      <w:r w:rsidR="006C751B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carnitine palmitoyltransferase </w:t>
      </w:r>
      <w:r w:rsidR="00162725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1</w:t>
      </w:r>
      <w:r w:rsidR="006C751B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A</w:t>
      </w:r>
      <w:r w:rsidR="00162725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(</w:t>
      </w:r>
      <w:r w:rsidR="00162725" w:rsidRPr="00097CC5">
        <w:rPr>
          <w:rFonts w:ascii="Times New Roman" w:hAnsi="Times New Roman"/>
          <w:sz w:val="24"/>
          <w:szCs w:val="24"/>
          <w:lang w:val="en-US"/>
        </w:rPr>
        <w:t>CPT1A</w:t>
      </w:r>
      <w:r w:rsidR="00162725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), and</w:t>
      </w:r>
      <w:r w:rsidR="00487419" w:rsidRPr="00097CC5">
        <w:rPr>
          <w:lang w:val="en-US"/>
        </w:rPr>
        <w:t xml:space="preserve"> </w:t>
      </w:r>
      <w:r w:rsidR="00487419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ubiquinol-cytochrome C reductase hinge protein like</w:t>
      </w:r>
      <w:r w:rsidR="00162725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(</w:t>
      </w:r>
      <w:r w:rsidR="00162725" w:rsidRPr="00097CC5">
        <w:rPr>
          <w:rFonts w:ascii="Times New Roman" w:hAnsi="Times New Roman"/>
          <w:sz w:val="24"/>
          <w:szCs w:val="24"/>
          <w:lang w:val="en-US"/>
        </w:rPr>
        <w:t>UQ</w:t>
      </w:r>
      <w:r w:rsidR="00986143" w:rsidRPr="00097CC5">
        <w:rPr>
          <w:rFonts w:ascii="Times New Roman" w:hAnsi="Times New Roman"/>
          <w:sz w:val="24"/>
          <w:szCs w:val="24"/>
          <w:lang w:val="en-US"/>
        </w:rPr>
        <w:t>C</w:t>
      </w:r>
      <w:r w:rsidR="00162725" w:rsidRPr="00097CC5">
        <w:rPr>
          <w:rFonts w:ascii="Times New Roman" w:hAnsi="Times New Roman"/>
          <w:sz w:val="24"/>
          <w:szCs w:val="24"/>
          <w:lang w:val="en-US"/>
        </w:rPr>
        <w:t>RHL</w:t>
      </w:r>
      <w:r w:rsidR="00162725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)</w:t>
      </w:r>
      <w:r w:rsidR="00487419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  <w:bookmarkEnd w:id="0"/>
      <w:r w:rsidR="00487419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in PBMCs/platelets</w:t>
      </w:r>
      <w:r w:rsidR="00137ADF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at visit 3 (end-of-study).</w:t>
      </w:r>
      <w:r w:rsidR="008C4303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  <w:r w:rsidR="00344171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Gene expression was </w:t>
      </w:r>
      <w:r w:rsidR="009041C7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measured</w:t>
      </w:r>
      <w:r w:rsidR="00344171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by </w:t>
      </w:r>
      <w:r w:rsidR="006E1329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quantitative PCR using TaqMan assays.</w:t>
      </w:r>
      <w:r w:rsidR="002A363C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Target gene </w:t>
      </w:r>
      <w:r w:rsidR="00DF7775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expression was normalized to the geometric mean of the housekeeping genes </w:t>
      </w:r>
      <w:r w:rsidR="00EF5FBA" w:rsidRPr="00097CC5">
        <w:rPr>
          <w:rFonts w:ascii="Times New Roman" w:hAnsi="Times New Roman"/>
          <w:sz w:val="24"/>
          <w:szCs w:val="24"/>
          <w:lang w:val="en-US"/>
        </w:rPr>
        <w:t>ACTB</w:t>
      </w:r>
      <w:r w:rsidR="00EF5FBA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and </w:t>
      </w:r>
      <w:r w:rsidR="00EF5FBA" w:rsidRPr="00097CC5">
        <w:rPr>
          <w:rFonts w:ascii="Times New Roman" w:hAnsi="Times New Roman"/>
          <w:sz w:val="24"/>
          <w:szCs w:val="24"/>
          <w:lang w:val="en-US"/>
        </w:rPr>
        <w:t>HPRT1</w:t>
      </w:r>
      <w:r w:rsidR="00EF5FBA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.</w:t>
      </w:r>
      <w:r w:rsidR="003711AB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  <w:r w:rsidR="00C237D4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Outliers were identif</w:t>
      </w:r>
      <w:r w:rsidR="00F46DB2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ied by </w:t>
      </w:r>
      <w:r w:rsidR="005609FF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the </w:t>
      </w:r>
      <w:r w:rsidR="00F46DB2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ROUT</w:t>
      </w:r>
      <w:r w:rsidR="005609FF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method and excluded before data analysis and </w:t>
      </w:r>
      <w:r w:rsidR="000F45F9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graph presentation in GraphPad software</w:t>
      </w:r>
      <w:r w:rsidR="005609FF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.</w:t>
      </w:r>
      <w:r w:rsidR="00F46DB2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  <w:r w:rsidR="003711AB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Fold change from visit 1 to visit 3 </w:t>
      </w:r>
      <w:r w:rsidR="00CF1074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within </w:t>
      </w:r>
      <w:r w:rsidR="00C05F4C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each group </w:t>
      </w:r>
      <w:r w:rsidR="00CF1074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was calculated by the delta-delta method</w:t>
      </w:r>
      <w:r w:rsidR="00C05F4C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.</w:t>
      </w:r>
      <w:r w:rsidR="00155D51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  <w:r w:rsidR="00681FDF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Individual data points are shown </w:t>
      </w:r>
      <w:r w:rsidR="005D531D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with</w:t>
      </w:r>
      <w:r w:rsidR="00681FDF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mean </w:t>
      </w:r>
      <w:r w:rsidR="005D531D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± SD.</w:t>
      </w:r>
      <w:r w:rsidR="00681FDF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  <w:r w:rsidR="00C05F4C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Unpaired </w:t>
      </w:r>
      <w:r w:rsidR="00C05F4C" w:rsidRPr="00097CC5">
        <w:rPr>
          <w:rFonts w:ascii="Times New Roman" w:hAnsi="Times New Roman"/>
          <w:sz w:val="24"/>
          <w:szCs w:val="24"/>
          <w:lang w:val="en-US"/>
        </w:rPr>
        <w:t>t</w:t>
      </w:r>
      <w:r w:rsidR="00C05F4C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>-test was used to</w:t>
      </w:r>
      <w:r w:rsidR="00446A42" w:rsidRPr="00097CC5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examine differences between groups. P-values are indicated.</w:t>
      </w:r>
    </w:p>
    <w:p w14:paraId="3A559453" w14:textId="77777777" w:rsidR="00F11A33" w:rsidRDefault="00F11A33" w:rsidP="005D02E1">
      <w:pPr>
        <w:pStyle w:val="Billedtekst"/>
        <w:spacing w:line="360" w:lineRule="auto"/>
        <w:jc w:val="both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p w14:paraId="18C23C93" w14:textId="77777777" w:rsidR="00F11A33" w:rsidRDefault="00F11A33">
      <w:pPr>
        <w:spacing w:after="160" w:line="259" w:lineRule="auto"/>
        <w:rPr>
          <w:lang w:val="en-US"/>
        </w:rPr>
      </w:pPr>
      <w:r>
        <w:rPr>
          <w:i/>
          <w:iCs/>
          <w:lang w:val="en-US"/>
        </w:rPr>
        <w:br w:type="page"/>
      </w:r>
    </w:p>
    <w:p w14:paraId="5846252B" w14:textId="74D331CB" w:rsidR="009959FF" w:rsidRPr="00154E17" w:rsidRDefault="009959FF" w:rsidP="001D5A94">
      <w:pPr>
        <w:jc w:val="center"/>
        <w:rPr>
          <w:lang w:val="en-US"/>
        </w:rPr>
      </w:pPr>
      <w:r w:rsidRPr="00154E17">
        <w:rPr>
          <w:noProof/>
          <w:lang w:val="en-GB" w:eastAsia="en-GB"/>
        </w:rPr>
        <w:lastRenderedPageBreak/>
        <w:drawing>
          <wp:inline distT="0" distB="0" distL="0" distR="0" wp14:anchorId="388F1BEF" wp14:editId="161467E9">
            <wp:extent cx="2872930" cy="3161665"/>
            <wp:effectExtent l="0" t="0" r="381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643" t="9127" r="18049" b="-1"/>
                    <a:stretch/>
                  </pic:blipFill>
                  <pic:spPr bwMode="auto">
                    <a:xfrm>
                      <a:off x="0" y="0"/>
                      <a:ext cx="2880530" cy="3170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19C75F" w14:textId="32022F26" w:rsidR="009959FF" w:rsidRPr="00154E17" w:rsidRDefault="009959FF">
      <w:pPr>
        <w:rPr>
          <w:lang w:val="en-US"/>
        </w:rPr>
      </w:pPr>
    </w:p>
    <w:p w14:paraId="3B092638" w14:textId="77777777" w:rsidR="0001113A" w:rsidRPr="005D02E1" w:rsidRDefault="0001113A" w:rsidP="0001113A">
      <w:pPr>
        <w:pStyle w:val="Billedtekst"/>
        <w:spacing w:line="360" w:lineRule="auto"/>
        <w:jc w:val="both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5D02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Supplementary Figure </w:t>
      </w:r>
      <w:r w:rsidRPr="00F11A33">
        <w:rPr>
          <w:rFonts w:ascii="Times New Roman" w:hAnsi="Times New Roman"/>
          <w:i w:val="0"/>
          <w:iCs w:val="0"/>
          <w:sz w:val="24"/>
          <w:szCs w:val="24"/>
          <w:lang w:val="en-US"/>
        </w:rPr>
        <w:t>2</w:t>
      </w:r>
      <w:r w:rsidRPr="005D02E1">
        <w:rPr>
          <w:rFonts w:ascii="Times New Roman" w:hAnsi="Times New Roman"/>
          <w:i w:val="0"/>
          <w:iCs w:val="0"/>
          <w:sz w:val="24"/>
          <w:szCs w:val="24"/>
          <w:lang w:val="en-US"/>
        </w:rPr>
        <w:t>: Graphical representation of Spearman correlation of Seahorse measurements</w:t>
      </w:r>
      <w:r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at visit 1 (baseline) and visit 3 (end-of-study)</w:t>
      </w:r>
      <w:r w:rsidRPr="005D02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. A relatively large degree of absence of association between measurements </w:t>
      </w:r>
      <w:r>
        <w:rPr>
          <w:rFonts w:ascii="Times New Roman" w:hAnsi="Times New Roman"/>
          <w:i w:val="0"/>
          <w:iCs w:val="0"/>
          <w:sz w:val="24"/>
          <w:szCs w:val="24"/>
          <w:lang w:val="en-US"/>
        </w:rPr>
        <w:t>between the visits</w:t>
      </w:r>
      <w:r w:rsidRPr="005D02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for the same participants is observed. </w:t>
      </w:r>
    </w:p>
    <w:p w14:paraId="62723A33" w14:textId="77777777" w:rsidR="005D02E1" w:rsidRPr="005D02E1" w:rsidRDefault="005D02E1">
      <w:pPr>
        <w:pStyle w:val="Billedtekst"/>
        <w:spacing w:line="360" w:lineRule="auto"/>
        <w:jc w:val="both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sectPr w:rsidR="005D02E1" w:rsidRPr="005D02E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8019E" w14:textId="77777777" w:rsidR="00875F8B" w:rsidRDefault="00875F8B" w:rsidP="00F66807">
      <w:r>
        <w:separator/>
      </w:r>
    </w:p>
  </w:endnote>
  <w:endnote w:type="continuationSeparator" w:id="0">
    <w:p w14:paraId="6AF9A590" w14:textId="77777777" w:rsidR="00875F8B" w:rsidRDefault="00875F8B" w:rsidP="00F66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1038D" w14:textId="77777777" w:rsidR="00875F8B" w:rsidRDefault="00875F8B" w:rsidP="00F66807">
      <w:r>
        <w:separator/>
      </w:r>
    </w:p>
  </w:footnote>
  <w:footnote w:type="continuationSeparator" w:id="0">
    <w:p w14:paraId="1A8938A3" w14:textId="77777777" w:rsidR="00875F8B" w:rsidRDefault="00875F8B" w:rsidP="00F66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FF"/>
    <w:rsid w:val="000000D5"/>
    <w:rsid w:val="000019FB"/>
    <w:rsid w:val="0001113A"/>
    <w:rsid w:val="000345B8"/>
    <w:rsid w:val="00047781"/>
    <w:rsid w:val="00097BF3"/>
    <w:rsid w:val="00097CC5"/>
    <w:rsid w:val="000A7CF5"/>
    <w:rsid w:val="000F45F9"/>
    <w:rsid w:val="000F4FFF"/>
    <w:rsid w:val="00137ADF"/>
    <w:rsid w:val="00154E17"/>
    <w:rsid w:val="00155D51"/>
    <w:rsid w:val="00162725"/>
    <w:rsid w:val="001D44FC"/>
    <w:rsid w:val="001D5A94"/>
    <w:rsid w:val="00292234"/>
    <w:rsid w:val="002A363C"/>
    <w:rsid w:val="002D51D7"/>
    <w:rsid w:val="00344171"/>
    <w:rsid w:val="00353661"/>
    <w:rsid w:val="00361121"/>
    <w:rsid w:val="003711AB"/>
    <w:rsid w:val="00397CB1"/>
    <w:rsid w:val="003B7CF0"/>
    <w:rsid w:val="004266EC"/>
    <w:rsid w:val="00446A42"/>
    <w:rsid w:val="00487419"/>
    <w:rsid w:val="004F601E"/>
    <w:rsid w:val="00503691"/>
    <w:rsid w:val="00544928"/>
    <w:rsid w:val="00544C22"/>
    <w:rsid w:val="005609FF"/>
    <w:rsid w:val="005B17C1"/>
    <w:rsid w:val="005B523B"/>
    <w:rsid w:val="005C3A5E"/>
    <w:rsid w:val="005D02E1"/>
    <w:rsid w:val="005D531D"/>
    <w:rsid w:val="005F75E5"/>
    <w:rsid w:val="00600F4F"/>
    <w:rsid w:val="00613223"/>
    <w:rsid w:val="00681FDF"/>
    <w:rsid w:val="006C751B"/>
    <w:rsid w:val="006E1329"/>
    <w:rsid w:val="007117A5"/>
    <w:rsid w:val="00727E4C"/>
    <w:rsid w:val="00875F8B"/>
    <w:rsid w:val="008808C8"/>
    <w:rsid w:val="008B2DC3"/>
    <w:rsid w:val="008B3DFE"/>
    <w:rsid w:val="008C4303"/>
    <w:rsid w:val="008E03FF"/>
    <w:rsid w:val="009041C7"/>
    <w:rsid w:val="00986143"/>
    <w:rsid w:val="009959FF"/>
    <w:rsid w:val="00A260DF"/>
    <w:rsid w:val="00A52D30"/>
    <w:rsid w:val="00A92636"/>
    <w:rsid w:val="00B05A14"/>
    <w:rsid w:val="00B31D92"/>
    <w:rsid w:val="00BA5B84"/>
    <w:rsid w:val="00BC60D2"/>
    <w:rsid w:val="00C00043"/>
    <w:rsid w:val="00C05F4C"/>
    <w:rsid w:val="00C13E65"/>
    <w:rsid w:val="00C175C0"/>
    <w:rsid w:val="00C237D4"/>
    <w:rsid w:val="00CF1074"/>
    <w:rsid w:val="00D00620"/>
    <w:rsid w:val="00DB6434"/>
    <w:rsid w:val="00DF7775"/>
    <w:rsid w:val="00E3283F"/>
    <w:rsid w:val="00E85906"/>
    <w:rsid w:val="00EF5FBA"/>
    <w:rsid w:val="00F11A33"/>
    <w:rsid w:val="00F46DB2"/>
    <w:rsid w:val="00F66807"/>
    <w:rsid w:val="00F905C9"/>
    <w:rsid w:val="00FC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D5DFE"/>
  <w15:chartTrackingRefBased/>
  <w15:docId w15:val="{2D0FDBCE-BCF5-4CC3-A88D-18A53BFB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uiPriority w:val="35"/>
    <w:unhideWhenUsed/>
    <w:qFormat/>
    <w:rsid w:val="000F4FFF"/>
    <w:pPr>
      <w:spacing w:after="200"/>
    </w:pPr>
    <w:rPr>
      <w:rFonts w:asciiTheme="minorHAnsi" w:hAnsiTheme="minorHAnsi"/>
      <w:i/>
      <w:iCs/>
      <w:sz w:val="20"/>
      <w:szCs w:val="18"/>
    </w:rPr>
  </w:style>
  <w:style w:type="table" w:styleId="Almindeligtabel2">
    <w:name w:val="Plain Table 2"/>
    <w:basedOn w:val="Tabel-Normal"/>
    <w:uiPriority w:val="42"/>
    <w:rsid w:val="000F4F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">
    <w:name w:val="Table"/>
    <w:semiHidden/>
    <w:unhideWhenUsed/>
    <w:qFormat/>
    <w:rsid w:val="005B17C1"/>
    <w:pPr>
      <w:spacing w:after="200" w:line="240" w:lineRule="auto"/>
    </w:pPr>
    <w:rPr>
      <w:sz w:val="24"/>
      <w:szCs w:val="24"/>
      <w:lang w:val="en-US" w:eastAsia="da-DK" w:bidi="he-I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0A7CF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A7CF5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A7CF5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A7CF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A7CF5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F6680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66807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F66807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66807"/>
    <w:rPr>
      <w:rFonts w:ascii="Times New Roman" w:eastAsia="Times New Roman" w:hAnsi="Times New Roman" w:cs="Times New Roman"/>
      <w:sz w:val="24"/>
      <w:szCs w:val="24"/>
      <w:lang w:eastAsia="da-DK"/>
    </w:rPr>
  </w:style>
  <w:style w:type="table" w:styleId="Gittertabel1-lys">
    <w:name w:val="Grid Table 1 Light"/>
    <w:basedOn w:val="Tabel-Normal"/>
    <w:uiPriority w:val="46"/>
    <w:rsid w:val="00727E4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5</Pages>
  <Words>494</Words>
  <Characters>3018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 Hovedstaden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Størling</dc:creator>
  <cp:keywords/>
  <dc:description/>
  <cp:lastModifiedBy>Joachim Størling</cp:lastModifiedBy>
  <cp:revision>42</cp:revision>
  <dcterms:created xsi:type="dcterms:W3CDTF">2025-01-21T11:41:00Z</dcterms:created>
  <dcterms:modified xsi:type="dcterms:W3CDTF">2025-02-04T08:51:00Z</dcterms:modified>
</cp:coreProperties>
</file>