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F47" w:rsidRPr="0043756F" w:rsidRDefault="005D4F47" w:rsidP="0043756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56F">
        <w:rPr>
          <w:rFonts w:ascii="Times New Roman" w:hAnsi="Times New Roman" w:cs="Times New Roman"/>
          <w:b/>
          <w:bCs/>
          <w:sz w:val="24"/>
          <w:szCs w:val="24"/>
        </w:rPr>
        <w:t>Hepatotoxicity Evaluation Method Through Multiple-factor Analysis Using Human Pluripotent Stem Cell (hPSC)-derived Hepatic Organoids</w:t>
      </w:r>
    </w:p>
    <w:p w:rsidR="005D4F47" w:rsidRPr="00E91678" w:rsidRDefault="005D4F47" w:rsidP="0043756F">
      <w:pPr>
        <w:spacing w:line="480" w:lineRule="auto"/>
        <w:jc w:val="both"/>
        <w:rPr>
          <w:rFonts w:ascii="Times New Roman" w:eastAsia="맑은 고딕" w:hAnsi="Times New Roman" w:cs="Times New Roman"/>
        </w:rPr>
      </w:pPr>
    </w:p>
    <w:p w:rsidR="005D4F47" w:rsidRPr="00E91678" w:rsidRDefault="005D4F47" w:rsidP="0043756F">
      <w:pPr>
        <w:spacing w:line="480" w:lineRule="auto"/>
        <w:jc w:val="both"/>
        <w:rPr>
          <w:rFonts w:ascii="Times New Roman" w:eastAsia="AdvOTce71c481.I" w:hAnsi="Times New Roman" w:cs="Times New Roman"/>
        </w:rPr>
      </w:pPr>
      <w:r w:rsidRPr="00E91678">
        <w:rPr>
          <w:rFonts w:ascii="Times New Roman" w:eastAsia="맑은 고딕" w:hAnsi="Times New Roman" w:cs="Times New Roman"/>
        </w:rPr>
        <w:t>Dae-Seop Shin</w:t>
      </w:r>
      <w:r w:rsidRPr="00E91678">
        <w:rPr>
          <w:rFonts w:ascii="Times New Roman" w:eastAsia="맑은 고딕" w:hAnsi="Times New Roman" w:cs="Times New Roman"/>
          <w:vertAlign w:val="superscript"/>
        </w:rPr>
        <w:t xml:space="preserve"> </w:t>
      </w:r>
      <w:r w:rsidRPr="00E91678">
        <w:rPr>
          <w:rFonts w:ascii="Times New Roman" w:eastAsia="맑은 고딕" w:hAnsi="Times New Roman" w:cs="Times New Roman"/>
        </w:rPr>
        <w:t>, Jeong-Yoon</w:t>
      </w:r>
      <w:r w:rsidRPr="00E91678">
        <w:rPr>
          <w:rFonts w:ascii="Times New Roman" w:eastAsia="맑은 고딕" w:hAnsi="Times New Roman" w:cs="Times New Roman"/>
          <w:vertAlign w:val="superscript"/>
        </w:rPr>
        <w:t xml:space="preserve"> </w:t>
      </w:r>
      <w:r w:rsidRPr="00E91678">
        <w:rPr>
          <w:rFonts w:ascii="Times New Roman" w:eastAsia="맑은 고딕" w:hAnsi="Times New Roman" w:cs="Times New Roman"/>
        </w:rPr>
        <w:t>Yang</w:t>
      </w:r>
      <w:r w:rsidRPr="00E91678">
        <w:rPr>
          <w:rFonts w:ascii="Times New Roman" w:eastAsia="AdvOTce71c481.I" w:hAnsi="Times New Roman" w:cs="Times New Roman"/>
        </w:rPr>
        <w:t xml:space="preserve">, </w:t>
      </w:r>
      <w:r w:rsidRPr="00E91678">
        <w:rPr>
          <w:rFonts w:ascii="Times New Roman" w:eastAsia="맑은 고딕" w:hAnsi="Times New Roman" w:cs="Times New Roman"/>
        </w:rPr>
        <w:t xml:space="preserve">Ha Neul Jeong </w:t>
      </w:r>
      <w:r w:rsidRPr="00E91678">
        <w:rPr>
          <w:rFonts w:ascii="Times New Roman" w:hAnsi="Times New Roman" w:cs="Times New Roman"/>
        </w:rPr>
        <w:t xml:space="preserve">, </w:t>
      </w:r>
      <w:r w:rsidRPr="00E91678">
        <w:rPr>
          <w:rFonts w:ascii="Times New Roman" w:eastAsia="AdvOTce71c481.I" w:hAnsi="Times New Roman" w:cs="Times New Roman"/>
        </w:rPr>
        <w:t>Seon Ju Mun, Hyunwoo Kim, Myung Jin Son, Myung Ae Bae</w:t>
      </w:r>
    </w:p>
    <w:p w:rsidR="00BB099C" w:rsidRPr="00E91678" w:rsidRDefault="00BB099C" w:rsidP="0043756F">
      <w:pPr>
        <w:spacing w:line="480" w:lineRule="auto"/>
        <w:rPr>
          <w:rFonts w:ascii="Times New Roman" w:hAnsi="Times New Roman" w:cs="Times New Roman"/>
        </w:rPr>
      </w:pPr>
    </w:p>
    <w:p w:rsidR="005D4F47" w:rsidRPr="00E91678" w:rsidRDefault="005D4F47" w:rsidP="0043756F">
      <w:pPr>
        <w:pStyle w:val="Default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:rsidR="005D4F47" w:rsidRPr="00421445" w:rsidRDefault="005D4F47" w:rsidP="0043756F">
      <w:pPr>
        <w:pStyle w:val="Default"/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421445">
        <w:rPr>
          <w:rFonts w:ascii="Times New Roman" w:hAnsi="Times New Roman" w:cs="Times New Roman"/>
          <w:b/>
          <w:sz w:val="22"/>
          <w:szCs w:val="22"/>
        </w:rPr>
        <w:t xml:space="preserve">Table of contents </w:t>
      </w:r>
    </w:p>
    <w:p w:rsidR="005D4F47" w:rsidRPr="00E91678" w:rsidRDefault="005D4F47" w:rsidP="0043756F">
      <w:pPr>
        <w:pStyle w:val="Default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E91678">
        <w:rPr>
          <w:rFonts w:ascii="Times New Roman" w:hAnsi="Times New Roman" w:cs="Times New Roman"/>
          <w:sz w:val="22"/>
          <w:szCs w:val="22"/>
        </w:rPr>
        <w:t>Supplementary materials and methods------------------------------------------------</w:t>
      </w:r>
      <w:r w:rsidR="00BC7DC7" w:rsidRPr="00E91678">
        <w:rPr>
          <w:rFonts w:ascii="Times New Roman" w:hAnsi="Times New Roman" w:cs="Times New Roman"/>
          <w:sz w:val="22"/>
          <w:szCs w:val="22"/>
        </w:rPr>
        <w:t>-------</w:t>
      </w:r>
      <w:r w:rsidRPr="00E91678">
        <w:rPr>
          <w:rFonts w:ascii="Times New Roman" w:hAnsi="Times New Roman" w:cs="Times New Roman"/>
          <w:sz w:val="22"/>
          <w:szCs w:val="22"/>
        </w:rPr>
        <w:t>-------</w:t>
      </w:r>
      <w:r w:rsidRPr="00E91678">
        <w:rPr>
          <w:rFonts w:ascii="Times New Roman" w:hAnsi="Times New Roman" w:cs="Times New Roman"/>
          <w:color w:val="FFFFFF"/>
          <w:sz w:val="22"/>
          <w:szCs w:val="22"/>
        </w:rPr>
        <w:t>-</w:t>
      </w:r>
      <w:r w:rsidR="00BC7DC7">
        <w:rPr>
          <w:rFonts w:ascii="Times New Roman" w:hAnsi="Times New Roman" w:cs="Times New Roman"/>
          <w:sz w:val="22"/>
          <w:szCs w:val="22"/>
        </w:rPr>
        <w:t>2</w:t>
      </w:r>
      <w:r w:rsidRPr="00E9167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D4F47" w:rsidRPr="00E91678" w:rsidRDefault="005D4F47" w:rsidP="0043756F">
      <w:pPr>
        <w:pStyle w:val="Default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E91678">
        <w:rPr>
          <w:rFonts w:ascii="Times New Roman" w:hAnsi="Times New Roman" w:cs="Times New Roman"/>
          <w:sz w:val="22"/>
          <w:szCs w:val="22"/>
        </w:rPr>
        <w:t>Fig. S1---------------------------------------------------------------------------------------------------</w:t>
      </w:r>
      <w:r w:rsidR="00071E08">
        <w:rPr>
          <w:rFonts w:ascii="Times New Roman" w:hAnsi="Times New Roman" w:cs="Times New Roman"/>
          <w:sz w:val="22"/>
          <w:szCs w:val="22"/>
        </w:rPr>
        <w:t xml:space="preserve"> 3</w:t>
      </w:r>
      <w:r w:rsidRPr="00E9167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95F00" w:rsidRDefault="005D4F47" w:rsidP="00695F00">
      <w:pPr>
        <w:pStyle w:val="Default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E91678">
        <w:rPr>
          <w:rFonts w:ascii="Times New Roman" w:hAnsi="Times New Roman" w:cs="Times New Roman"/>
          <w:sz w:val="22"/>
          <w:szCs w:val="22"/>
        </w:rPr>
        <w:t>Fig. S2---------------------------------------------------------------------</w:t>
      </w:r>
      <w:r w:rsidR="00071E08">
        <w:rPr>
          <w:rFonts w:ascii="Times New Roman" w:hAnsi="Times New Roman" w:cs="Times New Roman"/>
          <w:sz w:val="22"/>
          <w:szCs w:val="22"/>
        </w:rPr>
        <w:t>------------------------------ 3</w:t>
      </w:r>
      <w:r w:rsidRPr="00E9167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C7DC7" w:rsidRDefault="00E91678" w:rsidP="00695F00">
      <w:pPr>
        <w:pStyle w:val="Default"/>
        <w:spacing w:line="480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</w:rPr>
        <w:br w:type="page"/>
      </w:r>
      <w:r w:rsidR="00BC7DC7" w:rsidRPr="0043756F">
        <w:rPr>
          <w:rFonts w:ascii="Times New Roman" w:hAnsi="Times New Roman" w:cs="Times New Roman"/>
          <w:b/>
          <w:bCs/>
        </w:rPr>
        <w:lastRenderedPageBreak/>
        <w:t>Supplementary materials and methods</w:t>
      </w:r>
    </w:p>
    <w:p w:rsidR="003E2891" w:rsidRPr="0043756F" w:rsidRDefault="003E2891" w:rsidP="00695F00">
      <w:pPr>
        <w:pStyle w:val="Default"/>
        <w:spacing w:line="480" w:lineRule="auto"/>
        <w:rPr>
          <w:rFonts w:ascii="Times New Roman" w:hAnsi="Times New Roman" w:cs="Times New Roman"/>
        </w:rPr>
      </w:pPr>
    </w:p>
    <w:p w:rsidR="00BC7DC7" w:rsidRPr="0043756F" w:rsidRDefault="00BC7DC7" w:rsidP="0043756F">
      <w:pPr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56F">
        <w:rPr>
          <w:rFonts w:ascii="Times New Roman" w:hAnsi="Times New Roman" w:cs="Times New Roman"/>
          <w:b/>
          <w:sz w:val="24"/>
          <w:szCs w:val="24"/>
        </w:rPr>
        <w:t xml:space="preserve">Cell staining. </w:t>
      </w:r>
      <w:r w:rsidRPr="0043756F">
        <w:rPr>
          <w:rFonts w:ascii="Times New Roman" w:hAnsi="Times New Roman" w:cs="Times New Roman"/>
          <w:sz w:val="24"/>
          <w:szCs w:val="24"/>
        </w:rPr>
        <w:t xml:space="preserve">Before seeding cells into the matrigel dome, HO, HSC stellate cell, and THP-1 were stained with CellTracker™ Blue CMAC dye (C2110, Invitrogen), </w:t>
      </w:r>
      <w:r w:rsidR="00D22DB3" w:rsidRPr="0043756F">
        <w:rPr>
          <w:rFonts w:ascii="Times New Roman" w:hAnsi="Times New Roman" w:cs="Times New Roman"/>
          <w:sz w:val="24"/>
          <w:szCs w:val="24"/>
        </w:rPr>
        <w:t>Green CMFDA dye (C2925, Invitrogen)</w:t>
      </w:r>
      <w:r w:rsidR="00D22DB3" w:rsidRPr="0043756F">
        <w:rPr>
          <w:rFonts w:ascii="Times New Roman" w:hAnsi="Times New Roman" w:cs="Times New Roman"/>
          <w:sz w:val="24"/>
          <w:szCs w:val="24"/>
        </w:rPr>
        <w:t xml:space="preserve">, and </w:t>
      </w:r>
      <w:r w:rsidRPr="0043756F">
        <w:rPr>
          <w:rFonts w:ascii="Times New Roman" w:hAnsi="Times New Roman" w:cs="Times New Roman"/>
          <w:sz w:val="24"/>
          <w:szCs w:val="24"/>
        </w:rPr>
        <w:t xml:space="preserve">Orange CMTMR dye (C2927, Invitrogen), respectively. All procedures were performed according to the manufacturer’s recommendations. Stained cells were imaged by Lionheart FX Automated Microscope (BioTek Instruments, Winooski, VT, USA). </w:t>
      </w:r>
    </w:p>
    <w:p w:rsidR="00546C04" w:rsidRPr="0043756F" w:rsidRDefault="00546C04" w:rsidP="0043756F">
      <w:pPr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50C2" w:rsidRPr="0043756F" w:rsidRDefault="00F554B2" w:rsidP="00695F00">
      <w:pPr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56F">
        <w:rPr>
          <w:rFonts w:ascii="Times New Roman" w:hAnsi="Times New Roman" w:cs="Times New Roman"/>
          <w:b/>
          <w:bCs/>
          <w:sz w:val="24"/>
          <w:szCs w:val="24"/>
        </w:rPr>
        <w:t xml:space="preserve">Reagents. </w:t>
      </w:r>
      <w:r w:rsidR="00783E3C" w:rsidRPr="0043756F">
        <w:rPr>
          <w:rFonts w:ascii="Times New Roman" w:hAnsi="Times New Roman" w:cs="Times New Roman"/>
          <w:sz w:val="24"/>
          <w:szCs w:val="24"/>
        </w:rPr>
        <w:t>Ambrisentan</w:t>
      </w:r>
      <w:r w:rsidRPr="0043756F">
        <w:rPr>
          <w:rFonts w:ascii="Times New Roman" w:hAnsi="Times New Roman" w:cs="Times New Roman"/>
          <w:sz w:val="24"/>
          <w:szCs w:val="24"/>
        </w:rPr>
        <w:t xml:space="preserve"> (Sigma</w:t>
      </w:r>
      <w:r w:rsidR="00783E3C" w:rsidRPr="0043756F">
        <w:rPr>
          <w:rFonts w:ascii="Times New Roman" w:hAnsi="Times New Roman" w:cs="Times New Roman"/>
          <w:sz w:val="24"/>
          <w:szCs w:val="24"/>
        </w:rPr>
        <w:t>-Aldrich</w:t>
      </w:r>
      <w:r w:rsidRPr="0043756F">
        <w:rPr>
          <w:rFonts w:ascii="Times New Roman" w:hAnsi="Times New Roman" w:cs="Times New Roman"/>
          <w:sz w:val="24"/>
          <w:szCs w:val="24"/>
        </w:rPr>
        <w:t xml:space="preserve">; </w:t>
      </w:r>
      <w:r w:rsidR="00783E3C" w:rsidRPr="0043756F">
        <w:rPr>
          <w:rFonts w:ascii="Times New Roman" w:hAnsi="Times New Roman" w:cs="Times New Roman"/>
          <w:sz w:val="24"/>
          <w:szCs w:val="24"/>
        </w:rPr>
        <w:t>A5130</w:t>
      </w:r>
      <w:r w:rsidRPr="0043756F">
        <w:rPr>
          <w:rFonts w:ascii="Times New Roman" w:hAnsi="Times New Roman" w:cs="Times New Roman"/>
          <w:sz w:val="24"/>
          <w:szCs w:val="24"/>
        </w:rPr>
        <w:t xml:space="preserve">), </w:t>
      </w:r>
      <w:r w:rsidR="00783E3C" w:rsidRPr="0043756F">
        <w:rPr>
          <w:rFonts w:ascii="Times New Roman" w:hAnsi="Times New Roman" w:cs="Times New Roman"/>
          <w:sz w:val="24"/>
          <w:szCs w:val="24"/>
        </w:rPr>
        <w:t xml:space="preserve">Buspirone (Sigma-Aldrich; B7417), Flumazenil (Sigma-Aldrich; </w:t>
      </w:r>
      <w:r w:rsidR="00604CC7" w:rsidRPr="0043756F">
        <w:rPr>
          <w:rFonts w:ascii="Times New Roman" w:hAnsi="Times New Roman" w:cs="Times New Roman"/>
          <w:sz w:val="24"/>
          <w:szCs w:val="24"/>
        </w:rPr>
        <w:t>F3030</w:t>
      </w:r>
      <w:r w:rsidR="00783E3C" w:rsidRPr="0043756F">
        <w:rPr>
          <w:rFonts w:ascii="Times New Roman" w:hAnsi="Times New Roman" w:cs="Times New Roman"/>
          <w:sz w:val="24"/>
          <w:szCs w:val="24"/>
        </w:rPr>
        <w:t xml:space="preserve">), Orphenadrine (Sigma-Aldrich; </w:t>
      </w:r>
      <w:r w:rsidR="00604CC7" w:rsidRPr="0043756F">
        <w:rPr>
          <w:rFonts w:ascii="Times New Roman" w:hAnsi="Times New Roman" w:cs="Times New Roman"/>
          <w:sz w:val="24"/>
          <w:szCs w:val="24"/>
        </w:rPr>
        <w:t>O2873</w:t>
      </w:r>
      <w:r w:rsidR="00783E3C" w:rsidRPr="0043756F">
        <w:rPr>
          <w:rFonts w:ascii="Times New Roman" w:hAnsi="Times New Roman" w:cs="Times New Roman"/>
          <w:sz w:val="24"/>
          <w:szCs w:val="24"/>
        </w:rPr>
        <w:t>), Azathioprine (Sigma-Aldrich; A</w:t>
      </w:r>
      <w:r w:rsidR="00604CC7" w:rsidRPr="0043756F">
        <w:rPr>
          <w:rFonts w:ascii="Times New Roman" w:hAnsi="Times New Roman" w:cs="Times New Roman"/>
          <w:sz w:val="24"/>
          <w:szCs w:val="24"/>
        </w:rPr>
        <w:t>6029</w:t>
      </w:r>
      <w:r w:rsidR="00783E3C" w:rsidRPr="0043756F">
        <w:rPr>
          <w:rFonts w:ascii="Times New Roman" w:hAnsi="Times New Roman" w:cs="Times New Roman"/>
          <w:sz w:val="24"/>
          <w:szCs w:val="24"/>
        </w:rPr>
        <w:t xml:space="preserve">), Clozapine (Sigma-Aldrich; </w:t>
      </w:r>
      <w:r w:rsidR="00604CC7" w:rsidRPr="0043756F">
        <w:rPr>
          <w:rFonts w:ascii="Times New Roman" w:hAnsi="Times New Roman" w:cs="Times New Roman"/>
          <w:sz w:val="24"/>
          <w:szCs w:val="24"/>
        </w:rPr>
        <w:t>C1808</w:t>
      </w:r>
      <w:r w:rsidR="00783E3C" w:rsidRPr="0043756F">
        <w:rPr>
          <w:rFonts w:ascii="Times New Roman" w:hAnsi="Times New Roman" w:cs="Times New Roman"/>
          <w:sz w:val="24"/>
          <w:szCs w:val="24"/>
        </w:rPr>
        <w:t xml:space="preserve">), Imipramine (Sigma-Aldrich; </w:t>
      </w:r>
      <w:r w:rsidR="00604CC7" w:rsidRPr="0043756F">
        <w:rPr>
          <w:rFonts w:ascii="Times New Roman" w:hAnsi="Times New Roman" w:cs="Times New Roman"/>
          <w:sz w:val="24"/>
          <w:szCs w:val="24"/>
        </w:rPr>
        <w:t>I8870</w:t>
      </w:r>
      <w:r w:rsidR="00783E3C" w:rsidRPr="0043756F">
        <w:rPr>
          <w:rFonts w:ascii="Times New Roman" w:hAnsi="Times New Roman" w:cs="Times New Roman"/>
          <w:sz w:val="24"/>
          <w:szCs w:val="24"/>
        </w:rPr>
        <w:t xml:space="preserve">), Ticlopidine (Sigma-Aldrich; </w:t>
      </w:r>
      <w:r w:rsidR="00604CC7" w:rsidRPr="0043756F">
        <w:rPr>
          <w:rFonts w:ascii="Times New Roman" w:hAnsi="Times New Roman" w:cs="Times New Roman"/>
          <w:sz w:val="24"/>
          <w:szCs w:val="24"/>
        </w:rPr>
        <w:t>T0656</w:t>
      </w:r>
      <w:r w:rsidR="00783E3C" w:rsidRPr="0043756F">
        <w:rPr>
          <w:rFonts w:ascii="Times New Roman" w:hAnsi="Times New Roman" w:cs="Times New Roman"/>
          <w:sz w:val="24"/>
          <w:szCs w:val="24"/>
        </w:rPr>
        <w:t>), Amiodarone (Sigma-Aldrich; A</w:t>
      </w:r>
      <w:r w:rsidR="00604CC7" w:rsidRPr="0043756F">
        <w:rPr>
          <w:rFonts w:ascii="Times New Roman" w:hAnsi="Times New Roman" w:cs="Times New Roman"/>
          <w:sz w:val="24"/>
          <w:szCs w:val="24"/>
        </w:rPr>
        <w:t>8670</w:t>
      </w:r>
      <w:r w:rsidR="00783E3C" w:rsidRPr="0043756F">
        <w:rPr>
          <w:rFonts w:ascii="Times New Roman" w:hAnsi="Times New Roman" w:cs="Times New Roman"/>
          <w:sz w:val="24"/>
          <w:szCs w:val="24"/>
        </w:rPr>
        <w:t xml:space="preserve">), Ketoconazole (Sigma-Aldrich; </w:t>
      </w:r>
      <w:r w:rsidR="00604CC7" w:rsidRPr="0043756F">
        <w:rPr>
          <w:rFonts w:ascii="Times New Roman" w:hAnsi="Times New Roman" w:cs="Times New Roman"/>
          <w:sz w:val="24"/>
          <w:szCs w:val="24"/>
        </w:rPr>
        <w:t>K0503</w:t>
      </w:r>
      <w:r w:rsidR="00783E3C" w:rsidRPr="0043756F">
        <w:rPr>
          <w:rFonts w:ascii="Times New Roman" w:hAnsi="Times New Roman" w:cs="Times New Roman"/>
          <w:sz w:val="24"/>
          <w:szCs w:val="24"/>
        </w:rPr>
        <w:t>),</w:t>
      </w:r>
      <w:r w:rsidR="00604CC7" w:rsidRPr="0043756F">
        <w:rPr>
          <w:rFonts w:ascii="Times New Roman" w:hAnsi="Times New Roman" w:cs="Times New Roman"/>
          <w:sz w:val="24"/>
          <w:szCs w:val="24"/>
        </w:rPr>
        <w:t xml:space="preserve"> </w:t>
      </w:r>
      <w:r w:rsidR="00783E3C" w:rsidRPr="0043756F">
        <w:rPr>
          <w:rFonts w:ascii="Times New Roman" w:hAnsi="Times New Roman" w:cs="Times New Roman"/>
          <w:sz w:val="24"/>
          <w:szCs w:val="24"/>
        </w:rPr>
        <w:t xml:space="preserve">Nefazodone (Sigma-Aldrich; </w:t>
      </w:r>
      <w:r w:rsidR="00604CC7" w:rsidRPr="0043756F">
        <w:rPr>
          <w:rFonts w:ascii="Times New Roman" w:hAnsi="Times New Roman" w:cs="Times New Roman"/>
          <w:sz w:val="24"/>
          <w:szCs w:val="24"/>
        </w:rPr>
        <w:t>N0876</w:t>
      </w:r>
      <w:r w:rsidR="00783E3C" w:rsidRPr="0043756F">
        <w:rPr>
          <w:rFonts w:ascii="Times New Roman" w:hAnsi="Times New Roman" w:cs="Times New Roman"/>
          <w:sz w:val="24"/>
          <w:szCs w:val="24"/>
        </w:rPr>
        <w:t xml:space="preserve">), and Troglitazone (Sigma-Aldrich; </w:t>
      </w:r>
      <w:r w:rsidR="00604CC7" w:rsidRPr="0043756F">
        <w:rPr>
          <w:rFonts w:ascii="Times New Roman" w:hAnsi="Times New Roman" w:cs="Times New Roman"/>
          <w:sz w:val="24"/>
          <w:szCs w:val="24"/>
        </w:rPr>
        <w:t>T3512</w:t>
      </w:r>
      <w:r w:rsidR="00783E3C" w:rsidRPr="0043756F">
        <w:rPr>
          <w:rFonts w:ascii="Times New Roman" w:hAnsi="Times New Roman" w:cs="Times New Roman"/>
          <w:sz w:val="24"/>
          <w:szCs w:val="24"/>
        </w:rPr>
        <w:t xml:space="preserve">) </w:t>
      </w:r>
      <w:r w:rsidRPr="0043756F">
        <w:rPr>
          <w:rFonts w:ascii="Times New Roman" w:hAnsi="Times New Roman" w:cs="Times New Roman"/>
          <w:sz w:val="24"/>
          <w:szCs w:val="24"/>
        </w:rPr>
        <w:t>were purchased from Sigma</w:t>
      </w:r>
      <w:r w:rsidR="00783E3C" w:rsidRPr="0043756F">
        <w:rPr>
          <w:rFonts w:ascii="Times New Roman" w:hAnsi="Times New Roman" w:cs="Times New Roman"/>
          <w:sz w:val="24"/>
          <w:szCs w:val="24"/>
        </w:rPr>
        <w:t>-Aldrich</w:t>
      </w:r>
      <w:r w:rsidRPr="0043756F">
        <w:rPr>
          <w:rFonts w:ascii="Times New Roman" w:hAnsi="Times New Roman" w:cs="Times New Roman"/>
          <w:sz w:val="24"/>
          <w:szCs w:val="24"/>
        </w:rPr>
        <w:t xml:space="preserve">. </w:t>
      </w:r>
      <w:r w:rsidR="00783E3C" w:rsidRPr="0043756F">
        <w:rPr>
          <w:rFonts w:ascii="Times New Roman" w:hAnsi="Times New Roman" w:cs="Times New Roman"/>
          <w:sz w:val="24"/>
          <w:szCs w:val="24"/>
        </w:rPr>
        <w:t xml:space="preserve">All the drugs listed above were used in their commercially available forms according to the manufacturer’s instructions for </w:t>
      </w:r>
      <w:r w:rsidR="00783E3C" w:rsidRPr="0043756F">
        <w:rPr>
          <w:rFonts w:ascii="Times New Roman" w:hAnsi="Times New Roman" w:cs="Times New Roman"/>
          <w:i/>
          <w:sz w:val="24"/>
          <w:szCs w:val="24"/>
        </w:rPr>
        <w:t>in vitro</w:t>
      </w:r>
      <w:r w:rsidR="00783E3C" w:rsidRPr="0043756F">
        <w:rPr>
          <w:rFonts w:ascii="Times New Roman" w:hAnsi="Times New Roman" w:cs="Times New Roman"/>
          <w:sz w:val="24"/>
          <w:szCs w:val="24"/>
        </w:rPr>
        <w:t xml:space="preserve"> studies. The compounds were dissolved in appropriate solvents and stored at recommended conditions before use. </w:t>
      </w:r>
      <w:r w:rsidR="005B50C2" w:rsidRPr="0043756F">
        <w:rPr>
          <w:rFonts w:ascii="Times New Roman" w:hAnsi="Times New Roman" w:cs="Times New Roman"/>
          <w:sz w:val="24"/>
          <w:szCs w:val="24"/>
        </w:rPr>
        <w:br w:type="page"/>
      </w:r>
    </w:p>
    <w:p w:rsidR="00695F00" w:rsidRDefault="00695F00" w:rsidP="0043756F">
      <w:pPr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40F" w:rsidRPr="0043756F" w:rsidRDefault="00085CE6" w:rsidP="00695F00">
      <w:pPr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079400">
            <wp:extent cx="5072742" cy="1735023"/>
            <wp:effectExtent l="0" t="0" r="0" b="0"/>
            <wp:docPr id="41" name="그림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326" cy="1751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1026" w:rsidRPr="0043756F" w:rsidRDefault="009E1026" w:rsidP="0043756F">
      <w:pPr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56F">
        <w:rPr>
          <w:rFonts w:ascii="Times New Roman" w:hAnsi="Times New Roman" w:cs="Times New Roman"/>
          <w:b/>
          <w:bCs/>
          <w:sz w:val="24"/>
          <w:szCs w:val="24"/>
        </w:rPr>
        <w:t>Fig. S1. </w:t>
      </w:r>
      <w:r w:rsidRPr="0043756F">
        <w:rPr>
          <w:rFonts w:ascii="Times New Roman" w:hAnsi="Times New Roman" w:cs="Times New Roman"/>
          <w:b/>
          <w:sz w:val="24"/>
          <w:szCs w:val="24"/>
        </w:rPr>
        <w:t>Time flow chart of experimental design scheme. This figure shows the overall time plan and specific experiment schedule.</w:t>
      </w:r>
    </w:p>
    <w:p w:rsidR="00695F00" w:rsidRPr="0043756F" w:rsidRDefault="00695F00" w:rsidP="0043756F">
      <w:pPr>
        <w:adjustRightInd w:val="0"/>
        <w:spacing w:after="0" w:line="480" w:lineRule="auto"/>
        <w:jc w:val="both"/>
        <w:rPr>
          <w:rFonts w:ascii="Times New Roman" w:hAnsi="Times New Roman" w:cs="Times New Roman" w:hint="eastAsia"/>
          <w:sz w:val="24"/>
          <w:szCs w:val="24"/>
        </w:rPr>
      </w:pPr>
    </w:p>
    <w:p w:rsidR="000F45FB" w:rsidRPr="0043756F" w:rsidRDefault="000F45FB" w:rsidP="0043756F">
      <w:pPr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5FB" w:rsidRPr="0043756F" w:rsidRDefault="000F45FB" w:rsidP="00695F00">
      <w:pPr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56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E6DD67">
            <wp:extent cx="4517571" cy="1818999"/>
            <wp:effectExtent l="0" t="0" r="0" b="0"/>
            <wp:docPr id="40" name="그림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669" cy="1836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45FB" w:rsidRPr="0043756F" w:rsidRDefault="000F45FB" w:rsidP="0043756F">
      <w:pPr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DB3" w:rsidRPr="0043756F" w:rsidRDefault="00D22DB3" w:rsidP="00695F00">
      <w:pPr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56F">
        <w:rPr>
          <w:rFonts w:ascii="Times New Roman" w:hAnsi="Times New Roman" w:cs="Times New Roman"/>
          <w:b/>
          <w:bCs/>
          <w:sz w:val="24"/>
          <w:szCs w:val="24"/>
        </w:rPr>
        <w:t>Fig. S2.</w:t>
      </w:r>
      <w:r w:rsidR="000F45FB" w:rsidRPr="0043756F">
        <w:rPr>
          <w:rFonts w:ascii="Times New Roman" w:hAnsi="Times New Roman" w:cs="Times New Roman"/>
          <w:b/>
          <w:bCs/>
          <w:sz w:val="24"/>
          <w:szCs w:val="24"/>
        </w:rPr>
        <w:t xml:space="preserve"> Fluorescent imaging of HO, HSC, and THP-1 cells cultured in a 3D Matrigel system at days 1 and 3.</w:t>
      </w:r>
      <w:r w:rsidRPr="004375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45FB" w:rsidRPr="0043756F">
        <w:rPr>
          <w:rFonts w:ascii="Times New Roman" w:hAnsi="Times New Roman" w:cs="Times New Roman"/>
          <w:sz w:val="24"/>
          <w:szCs w:val="24"/>
        </w:rPr>
        <w:t>HO</w:t>
      </w:r>
      <w:r w:rsidRPr="0043756F">
        <w:rPr>
          <w:rFonts w:ascii="Times New Roman" w:hAnsi="Times New Roman" w:cs="Times New Roman"/>
          <w:sz w:val="24"/>
          <w:szCs w:val="24"/>
        </w:rPr>
        <w:t>, HSC</w:t>
      </w:r>
      <w:r w:rsidR="000F45FB" w:rsidRPr="0043756F">
        <w:rPr>
          <w:rFonts w:ascii="Times New Roman" w:hAnsi="Times New Roman" w:cs="Times New Roman"/>
          <w:sz w:val="24"/>
          <w:szCs w:val="24"/>
        </w:rPr>
        <w:t xml:space="preserve">, and THP-1 cells were pre-stained with </w:t>
      </w:r>
      <w:r w:rsidRPr="0043756F">
        <w:rPr>
          <w:rFonts w:ascii="Times New Roman" w:hAnsi="Times New Roman" w:cs="Times New Roman"/>
          <w:sz w:val="24"/>
          <w:szCs w:val="24"/>
        </w:rPr>
        <w:t>CellTracker™ Blue CMAC dye</w:t>
      </w:r>
      <w:r w:rsidR="000F45FB" w:rsidRPr="0043756F">
        <w:rPr>
          <w:rFonts w:ascii="Times New Roman" w:hAnsi="Times New Roman" w:cs="Times New Roman"/>
          <w:sz w:val="24"/>
          <w:szCs w:val="24"/>
        </w:rPr>
        <w:t xml:space="preserve">, </w:t>
      </w:r>
      <w:r w:rsidRPr="0043756F">
        <w:rPr>
          <w:rFonts w:ascii="Times New Roman" w:hAnsi="Times New Roman" w:cs="Times New Roman"/>
          <w:sz w:val="24"/>
          <w:szCs w:val="24"/>
        </w:rPr>
        <w:t>CMFDA dye</w:t>
      </w:r>
      <w:r w:rsidR="000F45FB" w:rsidRPr="0043756F">
        <w:rPr>
          <w:rFonts w:ascii="Times New Roman" w:hAnsi="Times New Roman" w:cs="Times New Roman"/>
          <w:sz w:val="24"/>
          <w:szCs w:val="24"/>
        </w:rPr>
        <w:t xml:space="preserve">, and </w:t>
      </w:r>
      <w:r w:rsidRPr="0043756F">
        <w:rPr>
          <w:rFonts w:ascii="Times New Roman" w:hAnsi="Times New Roman" w:cs="Times New Roman"/>
          <w:sz w:val="24"/>
          <w:szCs w:val="24"/>
        </w:rPr>
        <w:t>Orange CMTMR dye</w:t>
      </w:r>
      <w:r w:rsidR="000F45FB" w:rsidRPr="0043756F">
        <w:rPr>
          <w:rFonts w:ascii="Times New Roman" w:hAnsi="Times New Roman" w:cs="Times New Roman"/>
          <w:sz w:val="24"/>
          <w:szCs w:val="24"/>
        </w:rPr>
        <w:t>, respectively, and mixed in Matrigel before seeding into a 96-well plate. Fluorescent images were captured at day 1 (top row) and day 3 (bottom row) post-seeding. Individual fluorescence channels represent HO (blue), HSC (green), and THP-1 cells (red). Scale bars: 200 µm.</w:t>
      </w:r>
    </w:p>
    <w:sectPr w:rsidR="00D22DB3" w:rsidRPr="0043756F" w:rsidSect="00695F00">
      <w:footerReference w:type="default" r:id="rId9"/>
      <w:pgSz w:w="11906" w:h="16838"/>
      <w:pgMar w:top="1701" w:right="1440" w:bottom="1440" w:left="1440" w:header="851" w:footer="992" w:gutter="0"/>
      <w:lnNumType w:countBy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96C" w:rsidRDefault="00A8496C" w:rsidP="00783E3C">
      <w:pPr>
        <w:spacing w:after="0" w:line="240" w:lineRule="auto"/>
      </w:pPr>
      <w:r>
        <w:separator/>
      </w:r>
    </w:p>
  </w:endnote>
  <w:endnote w:type="continuationSeparator" w:id="0">
    <w:p w:rsidR="00A8496C" w:rsidRDefault="00A8496C" w:rsidP="00783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ce71c481.I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7102393"/>
      <w:docPartObj>
        <w:docPartGallery w:val="Page Numbers (Bottom of Page)"/>
        <w:docPartUnique/>
      </w:docPartObj>
    </w:sdtPr>
    <w:sdtContent>
      <w:p w:rsidR="00695F00" w:rsidRDefault="00695F0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445" w:rsidRPr="00421445">
          <w:rPr>
            <w:noProof/>
            <w:lang w:val="ko-KR"/>
          </w:rPr>
          <w:t>3</w:t>
        </w:r>
        <w:r>
          <w:fldChar w:fldCharType="end"/>
        </w:r>
      </w:p>
    </w:sdtContent>
  </w:sdt>
  <w:p w:rsidR="00695F00" w:rsidRDefault="00695F0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96C" w:rsidRDefault="00A8496C" w:rsidP="00783E3C">
      <w:pPr>
        <w:spacing w:after="0" w:line="240" w:lineRule="auto"/>
      </w:pPr>
      <w:r>
        <w:separator/>
      </w:r>
    </w:p>
  </w:footnote>
  <w:footnote w:type="continuationSeparator" w:id="0">
    <w:p w:rsidR="00A8496C" w:rsidRDefault="00A8496C" w:rsidP="00783E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F47"/>
    <w:rsid w:val="00071E08"/>
    <w:rsid w:val="00085CE6"/>
    <w:rsid w:val="000A3B74"/>
    <w:rsid w:val="000F45FB"/>
    <w:rsid w:val="001175D3"/>
    <w:rsid w:val="001228F6"/>
    <w:rsid w:val="00171FBF"/>
    <w:rsid w:val="002D07BD"/>
    <w:rsid w:val="0037011A"/>
    <w:rsid w:val="00385429"/>
    <w:rsid w:val="003E2891"/>
    <w:rsid w:val="00421445"/>
    <w:rsid w:val="004340D6"/>
    <w:rsid w:val="0043756F"/>
    <w:rsid w:val="00546C04"/>
    <w:rsid w:val="00574027"/>
    <w:rsid w:val="005B50C2"/>
    <w:rsid w:val="005D4F47"/>
    <w:rsid w:val="00604CC7"/>
    <w:rsid w:val="00695F00"/>
    <w:rsid w:val="00777C45"/>
    <w:rsid w:val="00783E3C"/>
    <w:rsid w:val="007971CB"/>
    <w:rsid w:val="009311E2"/>
    <w:rsid w:val="009E1026"/>
    <w:rsid w:val="00A43734"/>
    <w:rsid w:val="00A7340F"/>
    <w:rsid w:val="00A8496C"/>
    <w:rsid w:val="00B13E3E"/>
    <w:rsid w:val="00B67473"/>
    <w:rsid w:val="00BB099C"/>
    <w:rsid w:val="00BC6636"/>
    <w:rsid w:val="00BC7DC7"/>
    <w:rsid w:val="00CB6C3D"/>
    <w:rsid w:val="00CD0CDD"/>
    <w:rsid w:val="00D22DB3"/>
    <w:rsid w:val="00D418EB"/>
    <w:rsid w:val="00E9141A"/>
    <w:rsid w:val="00E91678"/>
    <w:rsid w:val="00F127F8"/>
    <w:rsid w:val="00F554B2"/>
    <w:rsid w:val="00F8172A"/>
    <w:rsid w:val="00FA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9D7A4D"/>
  <w15:chartTrackingRefBased/>
  <w15:docId w15:val="{BA756180-6609-4ACE-AF76-A04AEAF13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F47"/>
    <w:pPr>
      <w:jc w:val="left"/>
    </w:pPr>
    <w:rPr>
      <w:kern w:val="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4F47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783E3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83E3C"/>
    <w:rPr>
      <w:kern w:val="0"/>
      <w:sz w:val="22"/>
    </w:rPr>
  </w:style>
  <w:style w:type="paragraph" w:styleId="a4">
    <w:name w:val="footer"/>
    <w:basedOn w:val="a"/>
    <w:link w:val="Char0"/>
    <w:uiPriority w:val="99"/>
    <w:unhideWhenUsed/>
    <w:rsid w:val="00783E3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83E3C"/>
    <w:rPr>
      <w:kern w:val="0"/>
      <w:sz w:val="22"/>
    </w:rPr>
  </w:style>
  <w:style w:type="table" w:styleId="a5">
    <w:name w:val="Table Grid"/>
    <w:basedOn w:val="a1"/>
    <w:uiPriority w:val="39"/>
    <w:rsid w:val="00A73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5B50C2"/>
    <w:rPr>
      <w:b/>
      <w:bCs/>
    </w:rPr>
  </w:style>
  <w:style w:type="character" w:styleId="a7">
    <w:name w:val="line number"/>
    <w:basedOn w:val="a0"/>
    <w:uiPriority w:val="99"/>
    <w:semiHidden/>
    <w:unhideWhenUsed/>
    <w:rsid w:val="00695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7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6322F-4C3F-4AE5-B5CC-9F69B47A0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dsshin</dc:creator>
  <cp:keywords/>
  <dc:description/>
  <cp:lastModifiedBy>dsshin</cp:lastModifiedBy>
  <cp:revision>3</cp:revision>
  <dcterms:created xsi:type="dcterms:W3CDTF">2025-02-12T05:12:00Z</dcterms:created>
  <dcterms:modified xsi:type="dcterms:W3CDTF">2025-02-12T05:12:00Z</dcterms:modified>
</cp:coreProperties>
</file>