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83D81" w14:textId="77777777" w:rsidR="00120CE1" w:rsidRDefault="00120CE1" w:rsidP="00120CE1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F85EC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files</w:t>
      </w:r>
      <w:r w:rsidRPr="00F85EC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029C4E6A" w14:textId="77777777" w:rsidR="00120CE1" w:rsidRPr="004F696C" w:rsidRDefault="00120CE1" w:rsidP="00120CE1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Related file</w:t>
      </w:r>
      <w:r w:rsidRPr="004F696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STROBE-MR checklist of recommended items to address in reports of Mendelian randomi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z</w:t>
      </w:r>
      <w:r w:rsidRPr="004F696C">
        <w:rPr>
          <w:rFonts w:ascii="Times New Roman" w:eastAsia="宋体" w:hAnsi="Times New Roman" w:cs="Times New Roman" w:hint="eastAsia"/>
          <w:kern w:val="0"/>
          <w:sz w:val="24"/>
          <w:szCs w:val="24"/>
        </w:rPr>
        <w:t>ation studies</w:t>
      </w:r>
    </w:p>
    <w:p w14:paraId="4178F619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1</w:t>
      </w:r>
      <w:r w:rsidRPr="004F696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4F696C">
        <w:rPr>
          <w:rFonts w:ascii="Times New Roman" w:eastAsia="宋体" w:hAnsi="Times New Roman" w:cs="Times New Roman" w:hint="eastAsia"/>
          <w:kern w:val="0"/>
          <w:sz w:val="24"/>
          <w:szCs w:val="24"/>
        </w:rPr>
        <w:t>Data description and sources</w:t>
      </w:r>
    </w:p>
    <w:p w14:paraId="588602C3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Genetic variants that were used as instruments for </w:t>
      </w:r>
      <w:r w:rsidRPr="004C7C41">
        <w:rPr>
          <w:rFonts w:ascii="Times New Roman" w:hAnsi="Times New Roman" w:cs="Times New Roman" w:hint="eastAsia"/>
          <w:sz w:val="24"/>
          <w:szCs w:val="24"/>
        </w:rPr>
        <w:t>3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CD14+ </w:t>
      </w:r>
      <w:r w:rsidRPr="004F696C">
        <w:rPr>
          <w:rFonts w:ascii="Times New Roman" w:hAnsi="Times New Roman" w:cs="Times New Roman" w:hint="eastAsia"/>
          <w:sz w:val="24"/>
          <w:szCs w:val="24"/>
        </w:rPr>
        <w:t>monocyte-associated genes</w:t>
      </w:r>
    </w:p>
    <w:p w14:paraId="2824CFFA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Full result of two-sample Mendelian randomization estimates for the causality between </w:t>
      </w:r>
      <w:r w:rsidRPr="004C7C41">
        <w:rPr>
          <w:rFonts w:ascii="Times New Roman" w:hAnsi="Times New Roman" w:cs="Times New Roman" w:hint="eastAsia"/>
          <w:sz w:val="24"/>
          <w:szCs w:val="24"/>
        </w:rPr>
        <w:t>3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CD14+ </w:t>
      </w:r>
      <w:r w:rsidRPr="004F696C">
        <w:rPr>
          <w:rFonts w:ascii="Times New Roman" w:hAnsi="Times New Roman" w:cs="Times New Roman" w:hint="eastAsia"/>
          <w:sz w:val="24"/>
          <w:szCs w:val="24"/>
        </w:rPr>
        <w:t>monocyte-associated genes and major depressive disorder</w:t>
      </w:r>
    </w:p>
    <w:p w14:paraId="274B7B32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4F696C">
        <w:rPr>
          <w:rFonts w:ascii="Times New Roman" w:hAnsi="Times New Roman" w:cs="Times New Roman"/>
          <w:sz w:val="24"/>
          <w:szCs w:val="24"/>
        </w:rPr>
        <w:t xml:space="preserve"> 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Heterogeneity and pleiotropy tests of instrument effects of </w:t>
      </w:r>
      <w:r w:rsidRPr="004C7C41">
        <w:rPr>
          <w:rFonts w:ascii="Times New Roman" w:hAnsi="Times New Roman" w:cs="Times New Roman" w:hint="eastAsia"/>
          <w:sz w:val="24"/>
          <w:szCs w:val="24"/>
        </w:rPr>
        <w:t>3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CD14+ </w:t>
      </w:r>
      <w:r w:rsidRPr="004F696C">
        <w:rPr>
          <w:rFonts w:ascii="Times New Roman" w:hAnsi="Times New Roman" w:cs="Times New Roman" w:hint="eastAsia"/>
          <w:sz w:val="24"/>
          <w:szCs w:val="24"/>
        </w:rPr>
        <w:t>monocyte-associated genes</w:t>
      </w:r>
    </w:p>
    <w:p w14:paraId="15C1EAAF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4F696C">
        <w:rPr>
          <w:rFonts w:hint="eastAsia"/>
        </w:rPr>
        <w:t xml:space="preserve"> 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Colocalization results for </w:t>
      </w:r>
      <w:r w:rsidRPr="004F696C">
        <w:rPr>
          <w:rFonts w:ascii="Times New Roman" w:hAnsi="Times New Roman" w:cs="Times New Roman" w:hint="eastAsia"/>
          <w:i/>
          <w:iCs/>
          <w:sz w:val="24"/>
          <w:szCs w:val="24"/>
        </w:rPr>
        <w:t>TLR4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expression in whole blood tissue with major depressive disorder</w:t>
      </w:r>
    </w:p>
    <w:p w14:paraId="4B54F3EC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Summary Mendelian randomization analysis for the causal association between the </w:t>
      </w:r>
      <w:r>
        <w:rPr>
          <w:rFonts w:ascii="Times New Roman" w:hAnsi="Times New Roman" w:cs="Times New Roman" w:hint="eastAsia"/>
          <w:sz w:val="24"/>
          <w:szCs w:val="24"/>
        </w:rPr>
        <w:t xml:space="preserve">CD14+ </w:t>
      </w:r>
      <w:r w:rsidRPr="004F696C">
        <w:rPr>
          <w:rFonts w:ascii="Times New Roman" w:hAnsi="Times New Roman" w:cs="Times New Roman" w:hint="eastAsia"/>
          <w:sz w:val="24"/>
          <w:szCs w:val="24"/>
        </w:rPr>
        <w:t>monocyte-associated genes expression and major depressive disorder</w:t>
      </w:r>
    </w:p>
    <w:p w14:paraId="151E6EFE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C7C41">
        <w:rPr>
          <w:rFonts w:ascii="Times New Roman" w:hAnsi="Times New Roman" w:cs="Times New Roman" w:hint="eastAsia"/>
          <w:sz w:val="24"/>
          <w:szCs w:val="24"/>
        </w:rPr>
        <w:t>LDSC analysis results</w:t>
      </w:r>
    </w:p>
    <w:p w14:paraId="4B94B9F9" w14:textId="77777777" w:rsidR="00120CE1" w:rsidRPr="004F696C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Thirty-one immune cells with significant impacts on depression</w:t>
      </w:r>
    </w:p>
    <w:p w14:paraId="23AF6C09" w14:textId="77777777" w:rsidR="00120CE1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Heterogeneity and pleiotropy tests of instrument effects of 31 immune cells signatures</w:t>
      </w:r>
    </w:p>
    <w:p w14:paraId="1BD0624C" w14:textId="77777777" w:rsidR="00120CE1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8299D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Association of </w:t>
      </w:r>
      <w:r w:rsidRPr="004F696C">
        <w:rPr>
          <w:rFonts w:ascii="Times New Roman" w:hAnsi="Times New Roman" w:cs="Times New Roman" w:hint="eastAsia"/>
          <w:i/>
          <w:iCs/>
          <w:sz w:val="24"/>
          <w:szCs w:val="24"/>
        </w:rPr>
        <w:t>TLR4</w:t>
      </w:r>
      <w:r w:rsidRPr="004F696C">
        <w:rPr>
          <w:rFonts w:ascii="Times New Roman" w:hAnsi="Times New Roman" w:cs="Times New Roman" w:hint="eastAsia"/>
          <w:sz w:val="24"/>
          <w:szCs w:val="24"/>
        </w:rPr>
        <w:t xml:space="preserve"> expression with risk of major depressive disorder conditioned on immune cells</w:t>
      </w:r>
    </w:p>
    <w:p w14:paraId="160C9523" w14:textId="77777777" w:rsidR="0054320D" w:rsidRDefault="0054320D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9F5850" w14:textId="253D34BA" w:rsidR="0054320D" w:rsidRPr="007E21F6" w:rsidRDefault="0054320D" w:rsidP="00120CE1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7E21F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figure legends</w:t>
      </w:r>
    </w:p>
    <w:p w14:paraId="2457CCF6" w14:textId="77777777" w:rsidR="00120CE1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F8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F8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EC3">
        <w:rPr>
          <w:rFonts w:ascii="Times New Roman" w:hAnsi="Times New Roman" w:cs="Times New Roman"/>
          <w:sz w:val="24"/>
          <w:szCs w:val="24"/>
        </w:rPr>
        <w:t>Identification of MDD hub module by WGCNA.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F85EC3">
        <w:rPr>
          <w:rFonts w:ascii="Times New Roman" w:hAnsi="Times New Roman" w:cs="Times New Roman"/>
          <w:sz w:val="24"/>
          <w:szCs w:val="24"/>
        </w:rPr>
        <w:t>) Set 6 as the optimal soft threshold.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F85EC3">
        <w:rPr>
          <w:rFonts w:ascii="Times New Roman" w:hAnsi="Times New Roman" w:cs="Times New Roman"/>
          <w:sz w:val="24"/>
          <w:szCs w:val="24"/>
        </w:rPr>
        <w:t>) All genes of GSE98793 were clustered into 11 modules. 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F85EC3">
        <w:rPr>
          <w:rFonts w:ascii="Times New Roman" w:hAnsi="Times New Roman" w:cs="Times New Roman"/>
          <w:sz w:val="24"/>
          <w:szCs w:val="24"/>
        </w:rPr>
        <w:t xml:space="preserve">) Relationship between each module and MDD. Red and green represent positive correlation and negative correlation respectively. Each cell contains the corresponding correlation and </w:t>
      </w:r>
      <w:r w:rsidRPr="00536625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F85EC3">
        <w:rPr>
          <w:rFonts w:ascii="Times New Roman" w:hAnsi="Times New Roman" w:cs="Times New Roman"/>
          <w:sz w:val="24"/>
          <w:szCs w:val="24"/>
        </w:rPr>
        <w:t>-value.</w:t>
      </w:r>
    </w:p>
    <w:p w14:paraId="15C0D61F" w14:textId="3A90F16E" w:rsidR="00417112" w:rsidRPr="00120CE1" w:rsidRDefault="00120CE1" w:rsidP="00120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2B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F85EC3">
        <w:rPr>
          <w:rFonts w:ascii="Times New Roman" w:hAnsi="Times New Roman" w:cs="Times New Roman"/>
          <w:sz w:val="24"/>
          <w:szCs w:val="24"/>
        </w:rPr>
        <w:t xml:space="preserve"> Construction of </w:t>
      </w:r>
      <w:proofErr w:type="spellStart"/>
      <w:r w:rsidRPr="00F85EC3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F85EC3">
        <w:rPr>
          <w:rFonts w:ascii="Times New Roman" w:hAnsi="Times New Roman" w:cs="Times New Roman"/>
          <w:sz w:val="24"/>
          <w:szCs w:val="24"/>
        </w:rPr>
        <w:t xml:space="preserve"> network based on t</w:t>
      </w:r>
      <w:r>
        <w:rPr>
          <w:rFonts w:ascii="Times New Roman" w:hAnsi="Times New Roman" w:cs="Times New Roman" w:hint="eastAsia"/>
          <w:sz w:val="24"/>
          <w:szCs w:val="24"/>
        </w:rPr>
        <w:t>hree</w:t>
      </w:r>
      <w:r w:rsidRPr="00F85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MAGS</w:t>
      </w:r>
      <w:r w:rsidRPr="00F85EC3">
        <w:rPr>
          <w:rFonts w:ascii="Times New Roman" w:hAnsi="Times New Roman" w:cs="Times New Roman"/>
          <w:sz w:val="24"/>
          <w:szCs w:val="24"/>
        </w:rPr>
        <w:t>s.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F85EC3">
        <w:rPr>
          <w:rFonts w:ascii="Times New Roman" w:hAnsi="Times New Roman" w:cs="Times New Roman"/>
          <w:sz w:val="24"/>
          <w:szCs w:val="24"/>
        </w:rPr>
        <w:t>) T</w:t>
      </w:r>
      <w:r>
        <w:rPr>
          <w:rFonts w:ascii="Times New Roman" w:hAnsi="Times New Roman" w:cs="Times New Roman" w:hint="eastAsia"/>
          <w:sz w:val="24"/>
          <w:szCs w:val="24"/>
        </w:rPr>
        <w:t>hree</w:t>
      </w:r>
      <w:r w:rsidRPr="00F85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MAGS</w:t>
      </w:r>
      <w:r w:rsidRPr="00F85EC3">
        <w:rPr>
          <w:rFonts w:ascii="Times New Roman" w:hAnsi="Times New Roman" w:cs="Times New Roman"/>
          <w:sz w:val="24"/>
          <w:szCs w:val="24"/>
        </w:rPr>
        <w:t xml:space="preserve">s differentially express between two immune-related subtypes (****, </w:t>
      </w:r>
      <w:r w:rsidRPr="00722B7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F85EC3">
        <w:rPr>
          <w:rFonts w:ascii="Times New Roman" w:hAnsi="Times New Roman" w:cs="Times New Roman"/>
          <w:sz w:val="24"/>
          <w:szCs w:val="24"/>
        </w:rPr>
        <w:t xml:space="preserve"> &lt; </w:t>
      </w:r>
      <w:r>
        <w:rPr>
          <w:rFonts w:ascii="Times New Roman" w:hAnsi="Times New Roman" w:cs="Times New Roman" w:hint="eastAsia"/>
          <w:sz w:val="24"/>
          <w:szCs w:val="24"/>
        </w:rPr>
        <w:t>1.00E-04</w:t>
      </w:r>
      <w:r w:rsidRPr="00F85EC3">
        <w:rPr>
          <w:rFonts w:ascii="Times New Roman" w:hAnsi="Times New Roman" w:cs="Times New Roman"/>
          <w:sz w:val="24"/>
          <w:szCs w:val="24"/>
        </w:rPr>
        <w:t>).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F85EC3">
        <w:rPr>
          <w:rFonts w:ascii="Times New Roman" w:hAnsi="Times New Roman" w:cs="Times New Roman"/>
          <w:sz w:val="24"/>
          <w:szCs w:val="24"/>
        </w:rPr>
        <w:t xml:space="preserve">) Volcano map of </w:t>
      </w:r>
      <w:proofErr w:type="spellStart"/>
      <w:r w:rsidRPr="00F85EC3">
        <w:rPr>
          <w:rFonts w:ascii="Times New Roman" w:hAnsi="Times New Roman" w:cs="Times New Roman"/>
          <w:sz w:val="24"/>
          <w:szCs w:val="24"/>
        </w:rPr>
        <w:t>DElncRNAs</w:t>
      </w:r>
      <w:proofErr w:type="spellEnd"/>
      <w:r w:rsidRPr="00F85EC3">
        <w:rPr>
          <w:rFonts w:ascii="Times New Roman" w:hAnsi="Times New Roman" w:cs="Times New Roman"/>
          <w:sz w:val="24"/>
          <w:szCs w:val="24"/>
        </w:rPr>
        <w:t xml:space="preserve"> of GSE98793 (</w:t>
      </w:r>
      <w:r w:rsidRPr="00722B7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F85EC3">
        <w:rPr>
          <w:rFonts w:ascii="Times New Roman" w:hAnsi="Times New Roman" w:cs="Times New Roman"/>
          <w:sz w:val="24"/>
          <w:szCs w:val="24"/>
        </w:rPr>
        <w:t xml:space="preserve"> &lt;0.05). Red represents the up-regulated genes, blue represents down-regulated genes, and green represents indifference. 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F85E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F85EC3">
        <w:rPr>
          <w:rFonts w:ascii="Times New Roman" w:hAnsi="Times New Roman" w:cs="Times New Roman"/>
          <w:sz w:val="24"/>
          <w:szCs w:val="24"/>
        </w:rPr>
        <w:t xml:space="preserve">) Two </w:t>
      </w:r>
      <w:proofErr w:type="spellStart"/>
      <w:r w:rsidRPr="00F85EC3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F85EC3">
        <w:rPr>
          <w:rFonts w:ascii="Times New Roman" w:hAnsi="Times New Roman" w:cs="Times New Roman"/>
          <w:sz w:val="24"/>
          <w:szCs w:val="24"/>
        </w:rPr>
        <w:t xml:space="preserve"> networks (lncRNA: diamond, miRNA: arrow, mRNA: circle). 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F85E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F85EC3">
        <w:rPr>
          <w:rFonts w:ascii="Times New Roman" w:hAnsi="Times New Roman" w:cs="Times New Roman"/>
          <w:sz w:val="24"/>
          <w:szCs w:val="24"/>
        </w:rPr>
        <w:t xml:space="preserve">) The top 10 genes of two </w:t>
      </w:r>
      <w:proofErr w:type="spellStart"/>
      <w:r w:rsidRPr="00F85EC3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F85EC3">
        <w:rPr>
          <w:rFonts w:ascii="Times New Roman" w:hAnsi="Times New Roman" w:cs="Times New Roman"/>
          <w:sz w:val="24"/>
          <w:szCs w:val="24"/>
        </w:rPr>
        <w:t xml:space="preserve"> networks were identified as the hub genes. (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F85EC3">
        <w:rPr>
          <w:rFonts w:ascii="Times New Roman" w:hAnsi="Times New Roman" w:cs="Times New Roman"/>
          <w:sz w:val="24"/>
          <w:szCs w:val="24"/>
        </w:rPr>
        <w:t>) Th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F85EC3">
        <w:rPr>
          <w:rFonts w:ascii="Times New Roman" w:hAnsi="Times New Roman" w:cs="Times New Roman"/>
          <w:sz w:val="24"/>
          <w:szCs w:val="24"/>
        </w:rPr>
        <w:t xml:space="preserve"> regulatory axes were associated with </w:t>
      </w:r>
      <w:r w:rsidRPr="00F85EC3">
        <w:rPr>
          <w:rFonts w:ascii="Times New Roman" w:hAnsi="Times New Roman" w:cs="Times New Roman"/>
          <w:i/>
          <w:iCs/>
          <w:sz w:val="24"/>
          <w:szCs w:val="24"/>
        </w:rPr>
        <w:t>TLR4</w:t>
      </w:r>
      <w:r w:rsidRPr="00F85EC3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F85EC3">
        <w:rPr>
          <w:rFonts w:ascii="Times New Roman" w:hAnsi="Times New Roman" w:cs="Times New Roman"/>
          <w:sz w:val="24"/>
          <w:szCs w:val="24"/>
        </w:rPr>
        <w:t xml:space="preserve">) </w:t>
      </w:r>
      <w:r w:rsidRPr="00474992">
        <w:rPr>
          <w:rFonts w:ascii="Times New Roman" w:hAnsi="Times New Roman" w:cs="Times New Roman" w:hint="eastAsia"/>
          <w:sz w:val="24"/>
          <w:szCs w:val="24"/>
        </w:rPr>
        <w:t xml:space="preserve">The correlation of </w:t>
      </w:r>
      <w:r w:rsidRPr="00474992">
        <w:rPr>
          <w:rFonts w:ascii="Times New Roman" w:hAnsi="Times New Roman" w:cs="Times New Roman" w:hint="eastAsia"/>
          <w:i/>
          <w:iCs/>
          <w:sz w:val="24"/>
          <w:szCs w:val="24"/>
        </w:rPr>
        <w:t>TLR4</w:t>
      </w:r>
      <w:r w:rsidRPr="00474992">
        <w:rPr>
          <w:rFonts w:ascii="Times New Roman" w:hAnsi="Times New Roman" w:cs="Times New Roman" w:hint="eastAsia"/>
          <w:sz w:val="24"/>
          <w:szCs w:val="24"/>
        </w:rPr>
        <w:t xml:space="preserve"> and its related </w:t>
      </w:r>
      <w:proofErr w:type="spellStart"/>
      <w:r w:rsidRPr="00474992">
        <w:rPr>
          <w:rFonts w:ascii="Times New Roman" w:hAnsi="Times New Roman" w:cs="Times New Roman" w:hint="eastAsia"/>
          <w:sz w:val="24"/>
          <w:szCs w:val="24"/>
        </w:rPr>
        <w:t>lncRNAs</w:t>
      </w:r>
      <w:proofErr w:type="spellEnd"/>
      <w:r w:rsidRPr="00474992">
        <w:rPr>
          <w:rFonts w:ascii="Times New Roman" w:hAnsi="Times New Roman" w:cs="Times New Roman" w:hint="eastAsia"/>
          <w:sz w:val="24"/>
          <w:szCs w:val="24"/>
        </w:rPr>
        <w:t xml:space="preserve"> with immune cells, respectively</w:t>
      </w:r>
      <w:r w:rsidRPr="00F85EC3">
        <w:rPr>
          <w:rFonts w:ascii="Times New Roman" w:hAnsi="Times New Roman" w:cs="Times New Roman"/>
          <w:sz w:val="24"/>
          <w:szCs w:val="24"/>
        </w:rPr>
        <w:t xml:space="preserve"> (</w:t>
      </w:r>
      <w:r w:rsidRPr="00722B7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F85EC3">
        <w:rPr>
          <w:rFonts w:ascii="Times New Roman" w:hAnsi="Times New Roman" w:cs="Times New Roman"/>
          <w:sz w:val="24"/>
          <w:szCs w:val="24"/>
        </w:rPr>
        <w:t xml:space="preserve"> &lt; 0.05).</w:t>
      </w:r>
    </w:p>
    <w:sectPr w:rsidR="00417112" w:rsidRPr="00120CE1" w:rsidSect="00120CE1">
      <w:pgSz w:w="11906" w:h="16838"/>
      <w:pgMar w:top="1440" w:right="1797" w:bottom="1440" w:left="1797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50978" w14:textId="77777777" w:rsidR="008863A5" w:rsidRDefault="008863A5" w:rsidP="0054320D">
      <w:pPr>
        <w:rPr>
          <w:rFonts w:hint="eastAsia"/>
        </w:rPr>
      </w:pPr>
      <w:r>
        <w:separator/>
      </w:r>
    </w:p>
  </w:endnote>
  <w:endnote w:type="continuationSeparator" w:id="0">
    <w:p w14:paraId="45CB7E4F" w14:textId="77777777" w:rsidR="008863A5" w:rsidRDefault="008863A5" w:rsidP="005432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11D15" w14:textId="77777777" w:rsidR="008863A5" w:rsidRDefault="008863A5" w:rsidP="0054320D">
      <w:pPr>
        <w:rPr>
          <w:rFonts w:hint="eastAsia"/>
        </w:rPr>
      </w:pPr>
      <w:r>
        <w:separator/>
      </w:r>
    </w:p>
  </w:footnote>
  <w:footnote w:type="continuationSeparator" w:id="0">
    <w:p w14:paraId="1BFAACAE" w14:textId="77777777" w:rsidR="008863A5" w:rsidRDefault="008863A5" w:rsidP="005432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E1"/>
    <w:rsid w:val="00120CE1"/>
    <w:rsid w:val="00197C20"/>
    <w:rsid w:val="00417112"/>
    <w:rsid w:val="0054320D"/>
    <w:rsid w:val="006026E0"/>
    <w:rsid w:val="006F2569"/>
    <w:rsid w:val="00752469"/>
    <w:rsid w:val="007E21F6"/>
    <w:rsid w:val="008863A5"/>
    <w:rsid w:val="00B1365F"/>
    <w:rsid w:val="00E3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D26EA"/>
  <w15:chartTrackingRefBased/>
  <w15:docId w15:val="{3DD881D8-CA0E-40C7-A6C5-FE9C3A04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20CE1"/>
  </w:style>
  <w:style w:type="paragraph" w:styleId="a4">
    <w:name w:val="header"/>
    <w:basedOn w:val="a"/>
    <w:link w:val="a5"/>
    <w:uiPriority w:val="99"/>
    <w:unhideWhenUsed/>
    <w:rsid w:val="005432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320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3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32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hanyan wang</dc:creator>
  <cp:keywords/>
  <dc:description/>
  <cp:lastModifiedBy>hanyan wang</cp:lastModifiedBy>
  <cp:revision>3</cp:revision>
  <dcterms:created xsi:type="dcterms:W3CDTF">2025-02-22T23:51:00Z</dcterms:created>
  <dcterms:modified xsi:type="dcterms:W3CDTF">2025-02-23T02:43:00Z</dcterms:modified>
</cp:coreProperties>
</file>