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E585C">
      <w:pPr>
        <w:rPr>
          <w:rFonts w:hint="eastAsia" w:ascii="宋体" w:hAnsi="宋体" w:eastAsia="宋体" w:cs="Times New Roman"/>
          <w:b w:val="0"/>
          <w:bCs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cs="Times New Roman"/>
          <w:b/>
          <w:bCs/>
          <w:sz w:val="24"/>
        </w:rPr>
        <w:t>Appendix Table 1.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</w:rPr>
        <w:t>Parameters of different scan sequences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.</w:t>
      </w:r>
    </w:p>
    <w:tbl>
      <w:tblPr>
        <w:tblStyle w:val="4"/>
        <w:tblW w:w="9657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7"/>
        <w:gridCol w:w="1924"/>
        <w:gridCol w:w="2054"/>
        <w:gridCol w:w="1736"/>
        <w:gridCol w:w="1736"/>
      </w:tblGrid>
      <w:tr w14:paraId="651B73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207" w:type="dxa"/>
            <w:tcBorders>
              <w:bottom w:val="single" w:color="auto" w:sz="4" w:space="0"/>
            </w:tcBorders>
            <w:vAlign w:val="center"/>
          </w:tcPr>
          <w:p w14:paraId="2DA29F16">
            <w:pPr>
              <w:pStyle w:val="2"/>
              <w:keepNext w:val="0"/>
              <w:keepLines w:val="0"/>
              <w:suppressLineNumbers w:val="0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</w:rPr>
            </w:pPr>
            <w:r>
              <w:rPr>
                <w:rFonts w:hint="default" w:ascii="Times New Roman" w:hAnsi="Times New Roman" w:cs="Times New Roman"/>
                <w:color w:val="222222"/>
              </w:rPr>
              <w:t>Parameters</w:t>
            </w:r>
          </w:p>
        </w:tc>
        <w:tc>
          <w:tcPr>
            <w:tcW w:w="1924" w:type="dxa"/>
            <w:tcBorders>
              <w:bottom w:val="single" w:color="auto" w:sz="4" w:space="0"/>
            </w:tcBorders>
            <w:vAlign w:val="center"/>
          </w:tcPr>
          <w:p w14:paraId="52BDD2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bidi="ar"/>
              </w:rPr>
              <w:t>T1WI</w:t>
            </w:r>
          </w:p>
        </w:tc>
        <w:tc>
          <w:tcPr>
            <w:tcW w:w="2054" w:type="dxa"/>
            <w:tcBorders>
              <w:bottom w:val="single" w:color="auto" w:sz="4" w:space="0"/>
            </w:tcBorders>
            <w:vAlign w:val="center"/>
          </w:tcPr>
          <w:p w14:paraId="57472B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4"/>
                <w:shd w:val="clear" w:color="auto" w:fill="FFFFFF"/>
              </w:rPr>
              <w:t>T2WI-FS</w:t>
            </w:r>
          </w:p>
        </w:tc>
        <w:tc>
          <w:tcPr>
            <w:tcW w:w="1736" w:type="dxa"/>
            <w:tcBorders>
              <w:bottom w:val="single" w:color="auto" w:sz="4" w:space="0"/>
            </w:tcBorders>
            <w:vAlign w:val="center"/>
          </w:tcPr>
          <w:p w14:paraId="60562D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bidi="ar"/>
              </w:rPr>
              <w:t>DWI</w:t>
            </w:r>
          </w:p>
        </w:tc>
        <w:tc>
          <w:tcPr>
            <w:tcW w:w="1736" w:type="dxa"/>
            <w:tcBorders>
              <w:bottom w:val="single" w:color="auto" w:sz="4" w:space="0"/>
            </w:tcBorders>
            <w:vAlign w:val="center"/>
          </w:tcPr>
          <w:p w14:paraId="24A726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bidi="ar"/>
              </w:rPr>
              <w:t>DCE-MRI</w:t>
            </w:r>
          </w:p>
        </w:tc>
      </w:tr>
      <w:tr w14:paraId="459136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207" w:type="dxa"/>
            <w:tcBorders>
              <w:top w:val="single" w:color="auto" w:sz="4" w:space="0"/>
            </w:tcBorders>
            <w:vAlign w:val="center"/>
          </w:tcPr>
          <w:p w14:paraId="693412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TR (ms)</w:t>
            </w:r>
          </w:p>
        </w:tc>
        <w:tc>
          <w:tcPr>
            <w:tcW w:w="1924" w:type="dxa"/>
            <w:tcBorders>
              <w:top w:val="single" w:color="auto" w:sz="4" w:space="0"/>
            </w:tcBorders>
            <w:vAlign w:val="center"/>
          </w:tcPr>
          <w:p w14:paraId="0DB191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540</w:t>
            </w:r>
          </w:p>
        </w:tc>
        <w:tc>
          <w:tcPr>
            <w:tcW w:w="2054" w:type="dxa"/>
            <w:tcBorders>
              <w:top w:val="single" w:color="auto" w:sz="4" w:space="0"/>
            </w:tcBorders>
            <w:vAlign w:val="center"/>
          </w:tcPr>
          <w:p w14:paraId="7036A7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5509</w:t>
            </w:r>
          </w:p>
        </w:tc>
        <w:tc>
          <w:tcPr>
            <w:tcW w:w="1736" w:type="dxa"/>
            <w:tcBorders>
              <w:top w:val="single" w:color="auto" w:sz="4" w:space="0"/>
            </w:tcBorders>
            <w:vAlign w:val="center"/>
          </w:tcPr>
          <w:p w14:paraId="7BBE10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4000</w:t>
            </w:r>
          </w:p>
        </w:tc>
        <w:tc>
          <w:tcPr>
            <w:tcW w:w="1736" w:type="dxa"/>
            <w:tcBorders>
              <w:top w:val="single" w:color="auto" w:sz="4" w:space="0"/>
            </w:tcBorders>
            <w:vAlign w:val="center"/>
          </w:tcPr>
          <w:p w14:paraId="30AF8B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5.15</w:t>
            </w:r>
          </w:p>
        </w:tc>
      </w:tr>
      <w:tr w14:paraId="147AF9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207" w:type="dxa"/>
            <w:vAlign w:val="center"/>
          </w:tcPr>
          <w:p w14:paraId="6EDA10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TE (ms)</w:t>
            </w:r>
          </w:p>
        </w:tc>
        <w:tc>
          <w:tcPr>
            <w:tcW w:w="1924" w:type="dxa"/>
            <w:vAlign w:val="center"/>
          </w:tcPr>
          <w:p w14:paraId="3EA5EF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7.92</w:t>
            </w:r>
          </w:p>
        </w:tc>
        <w:tc>
          <w:tcPr>
            <w:tcW w:w="2054" w:type="dxa"/>
            <w:vAlign w:val="center"/>
          </w:tcPr>
          <w:p w14:paraId="7ED85D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84</w:t>
            </w:r>
          </w:p>
        </w:tc>
        <w:tc>
          <w:tcPr>
            <w:tcW w:w="1736" w:type="dxa"/>
            <w:vAlign w:val="center"/>
          </w:tcPr>
          <w:p w14:paraId="4D7ECC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66</w:t>
            </w:r>
          </w:p>
        </w:tc>
        <w:tc>
          <w:tcPr>
            <w:tcW w:w="1736" w:type="dxa"/>
            <w:vAlign w:val="center"/>
          </w:tcPr>
          <w:p w14:paraId="47FFF7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2.17</w:t>
            </w:r>
          </w:p>
        </w:tc>
      </w:tr>
      <w:tr w14:paraId="4E9058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207" w:type="dxa"/>
            <w:vAlign w:val="center"/>
          </w:tcPr>
          <w:p w14:paraId="4CBC8B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Matrix</w:t>
            </w:r>
          </w:p>
        </w:tc>
        <w:tc>
          <w:tcPr>
            <w:tcW w:w="1924" w:type="dxa"/>
            <w:vAlign w:val="center"/>
          </w:tcPr>
          <w:p w14:paraId="7850A6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192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×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100</w:t>
            </w:r>
          </w:p>
        </w:tc>
        <w:tc>
          <w:tcPr>
            <w:tcW w:w="2054" w:type="dxa"/>
            <w:vAlign w:val="center"/>
          </w:tcPr>
          <w:p w14:paraId="490653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432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×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100</w:t>
            </w:r>
          </w:p>
        </w:tc>
        <w:tc>
          <w:tcPr>
            <w:tcW w:w="1736" w:type="dxa"/>
            <w:vAlign w:val="center"/>
          </w:tcPr>
          <w:p w14:paraId="12B541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192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×100</w:t>
            </w:r>
          </w:p>
        </w:tc>
        <w:tc>
          <w:tcPr>
            <w:tcW w:w="1736" w:type="dxa"/>
            <w:vAlign w:val="center"/>
          </w:tcPr>
          <w:p w14:paraId="4E3D79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336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×100</w:t>
            </w:r>
          </w:p>
        </w:tc>
      </w:tr>
      <w:tr w14:paraId="293292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207" w:type="dxa"/>
            <w:vAlign w:val="center"/>
          </w:tcPr>
          <w:p w14:paraId="1EBE5A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FOV (mm)</w:t>
            </w:r>
          </w:p>
        </w:tc>
        <w:tc>
          <w:tcPr>
            <w:tcW w:w="1924" w:type="dxa"/>
            <w:vAlign w:val="center"/>
          </w:tcPr>
          <w:p w14:paraId="079657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350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×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190</w:t>
            </w:r>
          </w:p>
        </w:tc>
        <w:tc>
          <w:tcPr>
            <w:tcW w:w="2054" w:type="dxa"/>
            <w:vAlign w:val="center"/>
          </w:tcPr>
          <w:p w14:paraId="2D9D0E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340</w:t>
            </w:r>
            <w:bookmarkStart w:id="0" w:name="OLE_LINK1"/>
            <w:r>
              <w:rPr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×</w:t>
            </w:r>
            <w:bookmarkEnd w:id="0"/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340</w:t>
            </w:r>
          </w:p>
        </w:tc>
        <w:tc>
          <w:tcPr>
            <w:tcW w:w="1736" w:type="dxa"/>
            <w:vAlign w:val="center"/>
          </w:tcPr>
          <w:p w14:paraId="7D4635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350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×190</w:t>
            </w:r>
          </w:p>
        </w:tc>
        <w:tc>
          <w:tcPr>
            <w:tcW w:w="1736" w:type="dxa"/>
            <w:vAlign w:val="center"/>
          </w:tcPr>
          <w:p w14:paraId="0980B1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340</w:t>
            </w:r>
            <w:bookmarkStart w:id="1" w:name="OLE_LINK2"/>
            <w:r>
              <w:rPr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×</w:t>
            </w:r>
            <w:bookmarkEnd w:id="1"/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340</w:t>
            </w:r>
          </w:p>
        </w:tc>
      </w:tr>
      <w:tr w14:paraId="71BDA1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207" w:type="dxa"/>
            <w:vAlign w:val="center"/>
          </w:tcPr>
          <w:p w14:paraId="194347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Thickness (mm)</w:t>
            </w:r>
          </w:p>
        </w:tc>
        <w:tc>
          <w:tcPr>
            <w:tcW w:w="1924" w:type="dxa"/>
            <w:vAlign w:val="center"/>
          </w:tcPr>
          <w:p w14:paraId="452A3B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4.0</w:t>
            </w:r>
          </w:p>
        </w:tc>
        <w:tc>
          <w:tcPr>
            <w:tcW w:w="2054" w:type="dxa"/>
            <w:vAlign w:val="center"/>
          </w:tcPr>
          <w:p w14:paraId="00334A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4.0</w:t>
            </w:r>
          </w:p>
        </w:tc>
        <w:tc>
          <w:tcPr>
            <w:tcW w:w="1736" w:type="dxa"/>
            <w:vAlign w:val="center"/>
          </w:tcPr>
          <w:p w14:paraId="4ACF3E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4.0</w:t>
            </w:r>
          </w:p>
        </w:tc>
        <w:tc>
          <w:tcPr>
            <w:tcW w:w="1736" w:type="dxa"/>
            <w:vAlign w:val="center"/>
          </w:tcPr>
          <w:p w14:paraId="0B8B15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 w:bidi="ar"/>
              </w:rPr>
              <w:t>1.0</w:t>
            </w:r>
          </w:p>
        </w:tc>
      </w:tr>
    </w:tbl>
    <w:p w14:paraId="4E2E09F4">
      <w:pPr>
        <w:spacing w:line="480" w:lineRule="auto"/>
        <w:rPr>
          <w:rFonts w:hint="eastAsia" w:ascii="Times New Roman" w:hAnsi="Times New Roman" w:eastAsia="宋体" w:cs="Times New Roman"/>
          <w:sz w:val="28"/>
          <w:szCs w:val="28"/>
          <w:lang w:bidi="ar"/>
        </w:rPr>
      </w:pPr>
      <w:r>
        <w:rPr>
          <w:rFonts w:ascii="Times New Roman" w:hAnsi="Times New Roman" w:eastAsia="宋体" w:cs="Times New Roman"/>
          <w:sz w:val="24"/>
          <w:szCs w:val="24"/>
          <w:lang w:bidi="ar"/>
        </w:rPr>
        <w:t xml:space="preserve">TR: Repetition time, TE: Echo time, FOV: Field of view, </w:t>
      </w:r>
      <w:r>
        <w:rPr>
          <w:rFonts w:hint="eastAsia" w:ascii="Times New Roman" w:hAnsi="Times New Roman" w:eastAsia="宋体" w:cs="Times New Roman"/>
          <w:sz w:val="24"/>
          <w:szCs w:val="24"/>
          <w:lang w:bidi="ar"/>
        </w:rPr>
        <w:t>T1WI: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lang w:bidi="ar"/>
        </w:rPr>
        <w:t>T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>1</w:t>
      </w:r>
      <w:r>
        <w:rPr>
          <w:rFonts w:ascii="Times New Roman" w:hAnsi="Times New Roman" w:eastAsia="宋体" w:cs="Times New Roman"/>
          <w:sz w:val="24"/>
          <w:szCs w:val="24"/>
          <w:lang w:bidi="ar"/>
        </w:rPr>
        <w:t>-weighted imaging</w:t>
      </w:r>
      <w:r>
        <w:rPr>
          <w:rFonts w:hint="eastAsia" w:ascii="Times New Roman" w:hAnsi="Times New Roman" w:eastAsia="宋体" w:cs="Times New Roman"/>
          <w:sz w:val="24"/>
          <w:szCs w:val="24"/>
          <w:lang w:bidi="ar"/>
        </w:rPr>
        <w:t>,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lang w:bidi="ar"/>
        </w:rPr>
        <w:t>T2WI-FS: Fat-suppression T2-weighted imaging,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bidi="ar"/>
        </w:rPr>
        <w:t>DWI: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 Diffusion Weighted Imaging (b=50,800) , </w:t>
      </w:r>
      <w:r>
        <w:rPr>
          <w:rFonts w:hint="eastAsia" w:ascii="Times New Roman" w:hAnsi="Times New Roman" w:eastAsia="宋体" w:cs="Times New Roman"/>
          <w:sz w:val="24"/>
          <w:szCs w:val="24"/>
          <w:lang w:bidi="ar"/>
        </w:rPr>
        <w:t>DCE-MRI: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bidi="ar"/>
        </w:rPr>
        <w:t>t1_quick3d_tra_fs _dyn.</w:t>
      </w:r>
    </w:p>
    <w:p w14:paraId="4421D01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E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frist: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(S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b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-S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bscript"/>
          <w:lang w:val="en-US" w:eastAsia="zh-CN" w:bidi="ar"/>
        </w:rPr>
        <w:t>0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)/S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bscript"/>
          <w:lang w:val="en-US" w:eastAsia="zh-CN" w:bidi="ar"/>
        </w:rPr>
        <w:t>0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vertAlign w:val="subscript"/>
          <w:lang w:val="en-US" w:eastAsia="zh-CN" w:bidi="ar"/>
        </w:rPr>
        <w:t>.</w:t>
      </w:r>
      <w:bookmarkStart w:id="2" w:name="_GoBack"/>
      <w:bookmarkEnd w:id="2"/>
    </w:p>
    <w:p w14:paraId="609F348C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sz w:val="24"/>
          <w:szCs w:val="24"/>
          <w:vertAlign w:val="subscript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Vfirst: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(S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b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-S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bscript"/>
          <w:lang w:val="en-US" w:eastAsia="zh-CN" w:bidi="ar"/>
        </w:rPr>
        <w:t>0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)/T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bscript"/>
          <w:lang w:val="en-US" w:eastAsia="zh-CN" w:bidi="ar"/>
        </w:rPr>
        <w:t>1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vertAlign w:val="subscript"/>
          <w:lang w:val="en-US" w:eastAsia="zh-CN" w:bidi="ar"/>
        </w:rPr>
        <w:t>.</w:t>
      </w:r>
    </w:p>
    <w:p w14:paraId="7565DE86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Smax: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Maximum signal intensity after drug administration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.</w:t>
      </w:r>
    </w:p>
    <w:p w14:paraId="18062016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Tpeak: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Time required to reach maximum enhancement signal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.</w:t>
      </w:r>
    </w:p>
    <w:p w14:paraId="34B64E47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Emax: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bscript"/>
          <w:lang w:val="en-US" w:eastAsia="zh-CN" w:bidi="ar"/>
        </w:rPr>
        <w:t>max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-S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bscript"/>
          <w:lang w:val="en-US" w:eastAsia="zh-CN" w:bidi="ar"/>
        </w:rPr>
        <w:t>0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/S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bscript"/>
          <w:lang w:val="en-US" w:eastAsia="zh-CN" w:bidi="ar"/>
        </w:rPr>
        <w:t>0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vertAlign w:val="subscript"/>
          <w:lang w:val="en-US" w:eastAsia="zh-CN" w:bidi="ar"/>
        </w:rPr>
        <w:t>.</w:t>
      </w:r>
    </w:p>
    <w:p w14:paraId="0F880B08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Vmax: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bscript"/>
          <w:lang w:val="en-US" w:eastAsia="zh-CN" w:bidi="ar"/>
        </w:rPr>
        <w:t>max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-S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bscript"/>
          <w:lang w:val="en-US" w:eastAsia="zh-CN" w:bidi="ar"/>
        </w:rPr>
        <w:t>0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/T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bscript"/>
          <w:lang w:val="en-US" w:eastAsia="zh-CN" w:bidi="ar"/>
        </w:rPr>
        <w:t>peak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vertAlign w:val="subscript"/>
          <w:lang w:val="en-US" w:eastAsia="zh-CN" w:bidi="ar"/>
        </w:rPr>
        <w:t>.</w:t>
      </w:r>
    </w:p>
    <w:p w14:paraId="35C0B16D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W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ash-in: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The contrast enhancement rate of the inflow of contrast agent, which is the slope of the rise of the DCE curve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.</w:t>
      </w:r>
    </w:p>
    <w:p w14:paraId="330CCBC9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W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ash-out: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The contrast attenuation rate of the outflow of the contrast agent is the slope of the DCE curve decline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.</w:t>
      </w:r>
    </w:p>
    <w:p w14:paraId="7667E50D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SER: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Signal enhancement ratio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.</w:t>
      </w:r>
    </w:p>
    <w:p w14:paraId="2CA6FE26">
      <w:pPr>
        <w:spacing w:line="480" w:lineRule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subscript"/>
          <w:lang w:val="en-US" w:eastAsia="zh-CN" w:bidi="ar"/>
        </w:rPr>
        <w:t>0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: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T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he signal intensity before enhancement. </w:t>
      </w:r>
    </w:p>
    <w:p w14:paraId="774707C7">
      <w:pPr>
        <w:spacing w:line="480" w:lineRule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subscript"/>
          <w:lang w:val="en-US" w:eastAsia="zh-CN" w:bidi="ar"/>
        </w:rPr>
        <w:t>1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: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Signal intensity in phase 1 after enhancement. </w:t>
      </w:r>
    </w:p>
    <w:p w14:paraId="18BACAA8">
      <w:pPr>
        <w:spacing w:line="480" w:lineRule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subscript"/>
          <w:lang w:val="en-US" w:eastAsia="zh-CN" w:bidi="ar"/>
        </w:rPr>
        <w:t>max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: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Maximum signal intensity after enhancement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. </w:t>
      </w:r>
    </w:p>
    <w:p w14:paraId="3982950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T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subscript"/>
          <w:lang w:val="en-US" w:eastAsia="zh-CN" w:bidi="ar"/>
        </w:rPr>
        <w:t>1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: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The time required to scan a phase.</w:t>
      </w:r>
    </w:p>
    <w:p w14:paraId="1AA633A8">
      <w:pP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T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subscript"/>
          <w:lang w:val="en-US" w:eastAsia="zh-CN" w:bidi="ar"/>
        </w:rPr>
        <w:t>peak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: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The time required for the contrast agent to reach its peak.</w:t>
      </w:r>
    </w:p>
    <w:p w14:paraId="20EBAC67">
      <w:pP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4OTYzYTg2NjZmMWQwOWNkZTI2OWFiN2IyYjRhZmYifQ=="/>
  </w:docVars>
  <w:rsids>
    <w:rsidRoot w:val="1E7220EB"/>
    <w:rsid w:val="00457F41"/>
    <w:rsid w:val="0049200B"/>
    <w:rsid w:val="00634EE8"/>
    <w:rsid w:val="1E7220EB"/>
    <w:rsid w:val="20327223"/>
    <w:rsid w:val="38F23825"/>
    <w:rsid w:val="3C6537DE"/>
    <w:rsid w:val="4E423AC4"/>
    <w:rsid w:val="682C4391"/>
    <w:rsid w:val="6AC1180C"/>
    <w:rsid w:val="7369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176</Words>
  <Characters>978</Characters>
  <Lines>1</Lines>
  <Paragraphs>1</Paragraphs>
  <TotalTime>248</TotalTime>
  <ScaleCrop>false</ScaleCrop>
  <LinksUpToDate>false</LinksUpToDate>
  <CharactersWithSpaces>1107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2024-07-12T06:14:00Z</dcterms:created>
  <dc:creator>lily</dc:creator>
  <cp:lastModifiedBy>lily</cp:lastModifiedBy>
  <dcterms:modified xsi:type="dcterms:W3CDTF">2024-10-10T05:07:58Z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660801D04F5B49138415BAF6A7207E8C_11</vt:lpwstr>
  </property>
</Properties>
</file>