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70A" w:rsidRDefault="00F40AD4">
      <w:r w:rsidRPr="00F40AD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845315"/>
            <wp:effectExtent l="0" t="0" r="0" b="3175"/>
            <wp:wrapNone/>
            <wp:docPr id="1" name="Picture 1" descr="H:\A-Scientific\AArak Research\Arak article\Tobacco\Additional File 3 (Fig S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-Scientific\AArak Research\Arak article\Tobacco\Additional File 3 (Fig S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/>
    <w:p w:rsidR="002D670A" w:rsidRPr="002D670A" w:rsidRDefault="002D670A" w:rsidP="002D670A">
      <w:pPr>
        <w:rPr>
          <w:rFonts w:asciiTheme="majorBidi" w:hAnsiTheme="majorBidi" w:cstheme="majorBidi"/>
          <w:sz w:val="24"/>
          <w:szCs w:val="24"/>
        </w:rPr>
      </w:pPr>
    </w:p>
    <w:p w:rsidR="002D670A" w:rsidRPr="002D670A" w:rsidRDefault="002D670A" w:rsidP="002D670A">
      <w:pPr>
        <w:spacing w:after="0" w:line="480" w:lineRule="auto"/>
        <w:rPr>
          <w:rFonts w:asciiTheme="majorBidi" w:hAnsiTheme="majorBidi" w:cstheme="majorBidi"/>
          <w:sz w:val="24"/>
          <w:szCs w:val="28"/>
        </w:rPr>
      </w:pPr>
      <w:r w:rsidRPr="002D670A">
        <w:rPr>
          <w:rFonts w:asciiTheme="majorBidi" w:hAnsiTheme="majorBidi" w:cstheme="majorBidi"/>
          <w:b/>
          <w:bCs/>
          <w:sz w:val="24"/>
          <w:szCs w:val="28"/>
        </w:rPr>
        <w:t>Additional file 3: Fig S1</w:t>
      </w:r>
      <w:r w:rsidRPr="002D670A">
        <w:rPr>
          <w:rFonts w:asciiTheme="majorBidi" w:hAnsiTheme="majorBidi" w:cstheme="majorBidi"/>
          <w:b/>
          <w:bCs/>
          <w:sz w:val="24"/>
          <w:szCs w:val="28"/>
        </w:rPr>
        <w:t>.</w:t>
      </w:r>
      <w:r>
        <w:rPr>
          <w:rFonts w:cs="Times New Roman"/>
          <w:szCs w:val="24"/>
        </w:rPr>
        <w:t xml:space="preserve"> </w:t>
      </w:r>
      <w:r w:rsidRPr="002D670A">
        <w:rPr>
          <w:rFonts w:asciiTheme="majorBidi" w:hAnsiTheme="majorBidi" w:cstheme="majorBidi"/>
          <w:sz w:val="24"/>
          <w:szCs w:val="28"/>
        </w:rPr>
        <w:t>Pearson correlation of miRNA expression levels among six samples (transgenic lines harboring</w:t>
      </w:r>
      <w:bookmarkStart w:id="0" w:name="_GoBack"/>
      <w:bookmarkEnd w:id="0"/>
      <w:r w:rsidRPr="002D670A">
        <w:rPr>
          <w:rFonts w:asciiTheme="majorBidi" w:hAnsiTheme="majorBidi" w:cstheme="majorBidi"/>
          <w:sz w:val="24"/>
          <w:szCs w:val="28"/>
        </w:rPr>
        <w:t xml:space="preserve"> UTR/P1, HC-Pro, HC-Pro/P3, CP hairpin constructs, infected wild-type (WT+) and uninfected (WT-)).</w:t>
      </w:r>
    </w:p>
    <w:p w:rsidR="00723877" w:rsidRPr="002D670A" w:rsidRDefault="00723877" w:rsidP="002D670A">
      <w:pPr>
        <w:tabs>
          <w:tab w:val="left" w:pos="1575"/>
        </w:tabs>
      </w:pPr>
    </w:p>
    <w:sectPr w:rsidR="00723877" w:rsidRPr="002D6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D4"/>
    <w:rsid w:val="002D670A"/>
    <w:rsid w:val="00723877"/>
    <w:rsid w:val="00F4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B55A2"/>
  <w15:chartTrackingRefBased/>
  <w15:docId w15:val="{A6E3E928-A704-4A4C-B256-0A106C60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2025-03-27T06:07:00Z</dcterms:created>
  <dcterms:modified xsi:type="dcterms:W3CDTF">2025-03-27T06:10:00Z</dcterms:modified>
</cp:coreProperties>
</file>