
<file path=[Content_Types].xml><?xml version="1.0" encoding="utf-8"?>
<Types xmlns="http://schemas.openxmlformats.org/package/2006/content-types">
  <Default Extension="jpeg" ContentType="image/jpeg"/>
  <Default Extension="JPG" ContentType="image/.jpg"/>
  <Default Extension="png" ContentType="image/png"/>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2F602A">
      <w:pPr>
        <w:rPr>
          <w:rFonts w:ascii="Times New Roman" w:hAnsi="Times New Roman"/>
          <w:b/>
          <w:bCs/>
          <w:color w:val="000000"/>
          <w:kern w:val="0"/>
          <w:sz w:val="24"/>
          <w:lang w:bidi="ar"/>
        </w:rPr>
      </w:pPr>
      <w:r>
        <w:rPr>
          <w:rFonts w:hint="eastAsia" w:ascii="Times New Roman" w:hAnsi="Times New Roman"/>
          <w:b/>
          <w:bCs/>
          <w:color w:val="000000"/>
          <w:kern w:val="0"/>
          <w:sz w:val="24"/>
          <w:lang w:bidi="ar"/>
        </w:rPr>
        <w:t>Assessment of lncRNA biomarkers based on NETs for p</w:t>
      </w:r>
      <w:r>
        <w:rPr>
          <w:rFonts w:ascii="Times New Roman" w:hAnsi="Times New Roman"/>
          <w:b/>
          <w:bCs/>
          <w:color w:val="000000"/>
          <w:kern w:val="0"/>
          <w:sz w:val="24"/>
          <w:lang w:bidi="ar"/>
        </w:rPr>
        <w:t xml:space="preserve">rognosis and therapeutic response in </w:t>
      </w:r>
      <w:r>
        <w:rPr>
          <w:rFonts w:hint="eastAsia" w:ascii="Times New Roman" w:hAnsi="Times New Roman"/>
          <w:b/>
          <w:bCs/>
          <w:color w:val="000000"/>
          <w:kern w:val="0"/>
          <w:sz w:val="24"/>
          <w:lang w:bidi="ar"/>
        </w:rPr>
        <w:t>o</w:t>
      </w:r>
      <w:r>
        <w:rPr>
          <w:rFonts w:ascii="Times New Roman" w:hAnsi="Times New Roman"/>
          <w:b/>
          <w:bCs/>
          <w:color w:val="000000"/>
          <w:kern w:val="0"/>
          <w:sz w:val="24"/>
          <w:lang w:bidi="ar"/>
        </w:rPr>
        <w:t xml:space="preserve">varian </w:t>
      </w:r>
      <w:r>
        <w:rPr>
          <w:rFonts w:hint="eastAsia" w:ascii="Times New Roman" w:hAnsi="Times New Roman"/>
          <w:b/>
          <w:bCs/>
          <w:color w:val="000000"/>
          <w:kern w:val="0"/>
          <w:sz w:val="24"/>
          <w:lang w:bidi="ar"/>
        </w:rPr>
        <w:t>c</w:t>
      </w:r>
      <w:r>
        <w:rPr>
          <w:rFonts w:ascii="Times New Roman" w:hAnsi="Times New Roman"/>
          <w:b/>
          <w:bCs/>
          <w:color w:val="000000"/>
          <w:kern w:val="0"/>
          <w:sz w:val="24"/>
          <w:lang w:bidi="ar"/>
        </w:rPr>
        <w:t>ancer</w:t>
      </w:r>
    </w:p>
    <w:p w14:paraId="6788FFC6">
      <w:pPr>
        <w:widowControl/>
        <w:jc w:val="left"/>
        <w:rPr>
          <w:rFonts w:ascii="Times New Roman" w:hAnsi="Times New Roman" w:eastAsia="宋体"/>
          <w:color w:val="272727"/>
          <w:kern w:val="0"/>
          <w:sz w:val="17"/>
          <w:szCs w:val="17"/>
          <w:lang w:bidi="ar"/>
        </w:rPr>
      </w:pPr>
      <w:r>
        <w:rPr>
          <w:rFonts w:hint="eastAsia" w:ascii="Times New Roman" w:hAnsi="Times New Roman" w:eastAsia="宋体"/>
          <w:color w:val="272727"/>
          <w:kern w:val="0"/>
          <w:sz w:val="17"/>
          <w:szCs w:val="17"/>
          <w:lang w:bidi="ar"/>
        </w:rPr>
        <w:t>Jingmeng Wang</w:t>
      </w:r>
      <w:r>
        <w:rPr>
          <w:rFonts w:hint="eastAsia" w:ascii="Times New Roman" w:hAnsi="Times New Roman" w:eastAsia="宋体"/>
          <w:color w:val="272727"/>
          <w:kern w:val="0"/>
          <w:sz w:val="17"/>
          <w:szCs w:val="17"/>
          <w:vertAlign w:val="superscript"/>
          <w:lang w:bidi="ar"/>
        </w:rPr>
        <w:t>1,2</w:t>
      </w:r>
      <w:r>
        <w:rPr>
          <w:rFonts w:hint="eastAsia" w:ascii="Times New Roman" w:hAnsi="Times New Roman" w:eastAsia="宋体"/>
          <w:color w:val="272727"/>
          <w:kern w:val="0"/>
          <w:sz w:val="17"/>
          <w:szCs w:val="17"/>
          <w:lang w:bidi="ar"/>
        </w:rPr>
        <w:t>, Yusen Liang</w:t>
      </w:r>
      <w:r>
        <w:rPr>
          <w:rFonts w:hint="eastAsia" w:ascii="Times New Roman" w:hAnsi="Times New Roman" w:eastAsia="宋体"/>
          <w:color w:val="272727"/>
          <w:kern w:val="0"/>
          <w:sz w:val="17"/>
          <w:szCs w:val="17"/>
          <w:vertAlign w:val="superscript"/>
          <w:lang w:bidi="ar"/>
        </w:rPr>
        <w:t>1,2</w:t>
      </w:r>
      <w:r>
        <w:rPr>
          <w:rFonts w:hint="eastAsia" w:ascii="Times New Roman" w:hAnsi="Times New Roman" w:eastAsia="宋体"/>
          <w:color w:val="272727"/>
          <w:kern w:val="0"/>
          <w:sz w:val="17"/>
          <w:szCs w:val="17"/>
          <w:lang w:bidi="ar"/>
        </w:rPr>
        <w:t>, Yimei Meng</w:t>
      </w:r>
      <w:r>
        <w:rPr>
          <w:rFonts w:hint="eastAsia" w:ascii="Times New Roman" w:hAnsi="Times New Roman" w:eastAsia="宋体"/>
          <w:color w:val="272727"/>
          <w:kern w:val="0"/>
          <w:sz w:val="17"/>
          <w:szCs w:val="17"/>
          <w:vertAlign w:val="superscript"/>
          <w:lang w:bidi="ar"/>
        </w:rPr>
        <w:t>1,2</w:t>
      </w:r>
      <w:r>
        <w:rPr>
          <w:rFonts w:hint="eastAsia" w:ascii="Times New Roman" w:hAnsi="Times New Roman" w:eastAsia="宋体"/>
          <w:color w:val="272727"/>
          <w:kern w:val="0"/>
          <w:sz w:val="17"/>
          <w:szCs w:val="17"/>
          <w:lang w:bidi="ar"/>
        </w:rPr>
        <w:t>, Jialin Chen</w:t>
      </w:r>
      <w:r>
        <w:rPr>
          <w:rFonts w:hint="eastAsia" w:ascii="Times New Roman" w:hAnsi="Times New Roman" w:eastAsia="宋体"/>
          <w:color w:val="272727"/>
          <w:kern w:val="0"/>
          <w:sz w:val="17"/>
          <w:szCs w:val="17"/>
          <w:vertAlign w:val="superscript"/>
          <w:lang w:bidi="ar"/>
        </w:rPr>
        <w:t>1,2</w:t>
      </w:r>
      <w:r>
        <w:rPr>
          <w:rFonts w:hint="eastAsia" w:ascii="Times New Roman" w:hAnsi="Times New Roman" w:eastAsia="宋体"/>
          <w:color w:val="272727"/>
          <w:kern w:val="0"/>
          <w:sz w:val="17"/>
          <w:szCs w:val="17"/>
          <w:lang w:bidi="ar"/>
        </w:rPr>
        <w:t>, Lei Fang</w:t>
      </w:r>
      <w:r>
        <w:rPr>
          <w:rFonts w:hint="eastAsia" w:ascii="Times New Roman" w:hAnsi="Times New Roman" w:eastAsia="宋体"/>
          <w:color w:val="272727"/>
          <w:kern w:val="0"/>
          <w:sz w:val="17"/>
          <w:szCs w:val="17"/>
          <w:vertAlign w:val="superscript"/>
          <w:lang w:bidi="ar"/>
        </w:rPr>
        <w:t>1</w:t>
      </w:r>
      <w:r>
        <w:rPr>
          <w:rFonts w:hint="eastAsia" w:ascii="Times New Roman" w:hAnsi="Times New Roman" w:eastAsia="宋体"/>
          <w:color w:val="272727"/>
          <w:kern w:val="0"/>
          <w:sz w:val="17"/>
          <w:szCs w:val="17"/>
          <w:lang w:bidi="ar"/>
        </w:rPr>
        <w:t>, Peiling Li</w:t>
      </w:r>
      <w:r>
        <w:rPr>
          <w:rFonts w:hint="eastAsia" w:ascii="Times New Roman" w:hAnsi="Times New Roman" w:eastAsia="宋体"/>
          <w:color w:val="272727"/>
          <w:kern w:val="0"/>
          <w:sz w:val="17"/>
          <w:szCs w:val="17"/>
          <w:vertAlign w:val="superscript"/>
          <w:lang w:bidi="ar"/>
        </w:rPr>
        <w:t>1*</w:t>
      </w:r>
      <w:r>
        <w:rPr>
          <w:rFonts w:hint="eastAsia" w:ascii="Times New Roman" w:hAnsi="Times New Roman" w:eastAsia="宋体"/>
          <w:color w:val="272727"/>
          <w:kern w:val="0"/>
          <w:sz w:val="17"/>
          <w:szCs w:val="17"/>
          <w:lang w:bidi="ar"/>
        </w:rPr>
        <w:t>, Huike Yang</w:t>
      </w:r>
      <w:r>
        <w:rPr>
          <w:rFonts w:hint="eastAsia" w:ascii="Times New Roman" w:hAnsi="Times New Roman" w:eastAsia="宋体"/>
          <w:color w:val="272727"/>
          <w:kern w:val="0"/>
          <w:sz w:val="17"/>
          <w:szCs w:val="17"/>
          <w:vertAlign w:val="superscript"/>
          <w:lang w:bidi="ar"/>
        </w:rPr>
        <w:t>2,3*</w:t>
      </w:r>
    </w:p>
    <w:p w14:paraId="0DC94AF0">
      <w:pPr>
        <w:widowControl/>
        <w:jc w:val="left"/>
        <w:rPr>
          <w:rFonts w:ascii="Times New Roman" w:hAnsi="Times New Roman" w:eastAsia="宋体"/>
          <w:color w:val="272727"/>
          <w:kern w:val="0"/>
          <w:sz w:val="17"/>
          <w:szCs w:val="17"/>
          <w:lang w:bidi="ar"/>
        </w:rPr>
      </w:pPr>
      <w:r>
        <w:rPr>
          <w:rFonts w:hint="eastAsia" w:ascii="Times New Roman" w:hAnsi="Times New Roman" w:eastAsia="宋体"/>
          <w:color w:val="272727"/>
          <w:kern w:val="0"/>
          <w:sz w:val="17"/>
          <w:szCs w:val="17"/>
          <w:vertAlign w:val="superscript"/>
          <w:lang w:bidi="ar"/>
        </w:rPr>
        <w:t>1</w:t>
      </w:r>
      <w:r>
        <w:rPr>
          <w:rFonts w:hint="eastAsia" w:ascii="Times New Roman" w:hAnsi="Times New Roman" w:eastAsia="宋体"/>
          <w:color w:val="272727"/>
          <w:kern w:val="0"/>
          <w:sz w:val="17"/>
          <w:szCs w:val="17"/>
          <w:lang w:bidi="ar"/>
        </w:rPr>
        <w:t>Department of Gynecology and Obstetrics, the Second Affiliated Hospital of Harbin Medical University, Harbin, China</w:t>
      </w:r>
    </w:p>
    <w:p w14:paraId="7E4CA443">
      <w:pPr>
        <w:widowControl/>
        <w:jc w:val="left"/>
        <w:rPr>
          <w:rFonts w:ascii="Times New Roman" w:hAnsi="Times New Roman" w:eastAsia="宋体"/>
          <w:color w:val="272727"/>
          <w:kern w:val="0"/>
          <w:sz w:val="17"/>
          <w:szCs w:val="17"/>
          <w:lang w:bidi="ar"/>
        </w:rPr>
      </w:pPr>
      <w:r>
        <w:rPr>
          <w:rFonts w:hint="eastAsia" w:ascii="Times New Roman" w:hAnsi="Times New Roman" w:eastAsia="宋体"/>
          <w:color w:val="272727"/>
          <w:kern w:val="0"/>
          <w:sz w:val="17"/>
          <w:szCs w:val="17"/>
          <w:vertAlign w:val="superscript"/>
          <w:lang w:bidi="ar"/>
        </w:rPr>
        <w:t>2</w:t>
      </w:r>
      <w:r>
        <w:rPr>
          <w:rFonts w:hint="eastAsia" w:ascii="Times New Roman" w:hAnsi="Times New Roman" w:eastAsia="宋体"/>
          <w:color w:val="272727"/>
          <w:kern w:val="0"/>
          <w:sz w:val="17"/>
          <w:szCs w:val="17"/>
          <w:lang w:bidi="ar"/>
        </w:rPr>
        <w:t>Laboratory of Department of Anatomy, Harbin Medical University, Harbin, China</w:t>
      </w:r>
    </w:p>
    <w:p w14:paraId="5D469EB1">
      <w:pPr>
        <w:widowControl/>
        <w:jc w:val="left"/>
        <w:rPr>
          <w:rFonts w:ascii="Times New Roman" w:hAnsi="Times New Roman" w:eastAsia="宋体"/>
          <w:color w:val="272727"/>
          <w:kern w:val="0"/>
          <w:sz w:val="17"/>
          <w:szCs w:val="17"/>
          <w:lang w:bidi="ar"/>
        </w:rPr>
      </w:pPr>
      <w:r>
        <w:rPr>
          <w:rFonts w:hint="eastAsia" w:ascii="Times New Roman" w:hAnsi="Times New Roman" w:eastAsia="宋体"/>
          <w:color w:val="272727"/>
          <w:kern w:val="0"/>
          <w:sz w:val="17"/>
          <w:szCs w:val="17"/>
          <w:vertAlign w:val="superscript"/>
          <w:lang w:bidi="ar"/>
        </w:rPr>
        <w:t>3</w:t>
      </w:r>
      <w:r>
        <w:rPr>
          <w:rFonts w:hint="eastAsia" w:ascii="Times New Roman" w:hAnsi="Times New Roman" w:eastAsia="宋体"/>
          <w:color w:val="272727"/>
          <w:kern w:val="0"/>
          <w:sz w:val="17"/>
          <w:szCs w:val="17"/>
          <w:lang w:bidi="ar"/>
        </w:rPr>
        <w:t>Key Laboratory of Preservation of Human Genetic Resources and Disease Control in China, Harbin Medical University, Ministry of Education, Harbin, China</w:t>
      </w:r>
    </w:p>
    <w:p w14:paraId="7942CBFB">
      <w:pPr>
        <w:widowControl/>
        <w:jc w:val="left"/>
        <w:rPr>
          <w:rFonts w:ascii="Times New Roman" w:hAnsi="Times New Roman" w:eastAsia="宋体"/>
          <w:color w:val="272727"/>
          <w:kern w:val="0"/>
          <w:sz w:val="17"/>
          <w:szCs w:val="17"/>
          <w:lang w:bidi="ar"/>
        </w:rPr>
      </w:pPr>
      <w:r>
        <w:rPr>
          <w:rFonts w:hint="eastAsia" w:ascii="Times New Roman" w:hAnsi="Times New Roman" w:eastAsia="宋体"/>
          <w:color w:val="272727"/>
          <w:kern w:val="0"/>
          <w:sz w:val="17"/>
          <w:szCs w:val="17"/>
          <w:vertAlign w:val="superscript"/>
          <w:lang w:bidi="ar"/>
        </w:rPr>
        <w:t>*</w:t>
      </w:r>
      <w:r>
        <w:rPr>
          <w:rFonts w:hint="eastAsia" w:ascii="Times New Roman" w:hAnsi="Times New Roman" w:eastAsia="宋体"/>
          <w:color w:val="272727"/>
          <w:kern w:val="0"/>
          <w:sz w:val="17"/>
          <w:szCs w:val="17"/>
          <w:lang w:bidi="ar"/>
        </w:rPr>
        <w:t xml:space="preserve">Correspondence: </w:t>
      </w:r>
    </w:p>
    <w:p w14:paraId="12985AAA">
      <w:pPr>
        <w:widowControl/>
        <w:jc w:val="left"/>
        <w:rPr>
          <w:rFonts w:ascii="Times New Roman" w:hAnsi="Times New Roman" w:eastAsia="宋体"/>
          <w:color w:val="272727"/>
          <w:kern w:val="0"/>
          <w:sz w:val="17"/>
          <w:szCs w:val="17"/>
          <w:lang w:bidi="ar"/>
        </w:rPr>
      </w:pPr>
      <w:r>
        <w:rPr>
          <w:rFonts w:hint="eastAsia" w:ascii="Times New Roman" w:hAnsi="Times New Roman" w:eastAsia="宋体"/>
          <w:color w:val="272727"/>
          <w:kern w:val="0"/>
          <w:sz w:val="17"/>
          <w:szCs w:val="17"/>
          <w:lang w:bidi="ar"/>
        </w:rPr>
        <w:t xml:space="preserve">Peiling Li </w:t>
      </w:r>
    </w:p>
    <w:p w14:paraId="79DAF69C">
      <w:pPr>
        <w:widowControl/>
        <w:jc w:val="left"/>
        <w:rPr>
          <w:rFonts w:ascii="Times New Roman" w:hAnsi="Times New Roman" w:eastAsia="宋体"/>
          <w:color w:val="272727"/>
          <w:kern w:val="0"/>
          <w:sz w:val="17"/>
          <w:szCs w:val="17"/>
          <w:lang w:bidi="ar"/>
        </w:rPr>
      </w:pPr>
      <w:r>
        <w:fldChar w:fldCharType="begin"/>
      </w:r>
      <w:r>
        <w:instrText xml:space="preserve"> HYPERLINK "mailto:peiley@126.com" </w:instrText>
      </w:r>
      <w:r>
        <w:fldChar w:fldCharType="separate"/>
      </w:r>
      <w:r>
        <w:rPr>
          <w:rStyle w:val="7"/>
          <w:rFonts w:hint="eastAsia" w:ascii="Times New Roman" w:hAnsi="Times New Roman" w:eastAsia="宋体"/>
          <w:color w:val="272727"/>
          <w:kern w:val="0"/>
          <w:sz w:val="17"/>
          <w:szCs w:val="17"/>
          <w:u w:val="none"/>
          <w:lang w:bidi="ar"/>
        </w:rPr>
        <w:t>peiley@126.com</w:t>
      </w:r>
      <w:r>
        <w:rPr>
          <w:rStyle w:val="7"/>
          <w:rFonts w:hint="eastAsia" w:ascii="Times New Roman" w:hAnsi="Times New Roman" w:eastAsia="宋体"/>
          <w:color w:val="272727"/>
          <w:kern w:val="0"/>
          <w:sz w:val="17"/>
          <w:szCs w:val="17"/>
          <w:u w:val="none"/>
          <w:lang w:bidi="ar"/>
        </w:rPr>
        <w:fldChar w:fldCharType="end"/>
      </w:r>
    </w:p>
    <w:p w14:paraId="6033AA1E">
      <w:pPr>
        <w:widowControl/>
        <w:jc w:val="left"/>
        <w:rPr>
          <w:rFonts w:ascii="Times New Roman" w:hAnsi="Times New Roman" w:eastAsia="宋体"/>
          <w:color w:val="272727"/>
          <w:kern w:val="0"/>
          <w:sz w:val="17"/>
          <w:szCs w:val="17"/>
          <w:lang w:bidi="ar"/>
        </w:rPr>
      </w:pPr>
      <w:r>
        <w:rPr>
          <w:rFonts w:hint="eastAsia" w:ascii="Times New Roman" w:hAnsi="Times New Roman" w:eastAsia="宋体"/>
          <w:color w:val="272727"/>
          <w:kern w:val="0"/>
          <w:sz w:val="17"/>
          <w:szCs w:val="17"/>
          <w:lang w:bidi="ar"/>
        </w:rPr>
        <w:t xml:space="preserve">Huike Yang </w:t>
      </w:r>
    </w:p>
    <w:p w14:paraId="39122D05">
      <w:pPr>
        <w:widowControl/>
        <w:jc w:val="left"/>
        <w:rPr>
          <w:rFonts w:ascii="Times New Roman" w:hAnsi="Times New Roman" w:eastAsia="宋体"/>
          <w:color w:val="272727"/>
          <w:kern w:val="0"/>
          <w:sz w:val="17"/>
          <w:szCs w:val="17"/>
          <w:lang w:bidi="ar"/>
        </w:rPr>
      </w:pPr>
      <w:r>
        <w:fldChar w:fldCharType="begin"/>
      </w:r>
      <w:r>
        <w:instrText xml:space="preserve"> HYPERLINK "mailto:huikeyang@hrbmu.edu.cn" </w:instrText>
      </w:r>
      <w:r>
        <w:fldChar w:fldCharType="separate"/>
      </w:r>
      <w:r>
        <w:rPr>
          <w:rStyle w:val="7"/>
          <w:rFonts w:hint="eastAsia" w:ascii="Times New Roman" w:hAnsi="Times New Roman" w:eastAsia="宋体"/>
          <w:color w:val="272727"/>
          <w:kern w:val="0"/>
          <w:sz w:val="17"/>
          <w:szCs w:val="17"/>
          <w:u w:val="none"/>
          <w:lang w:bidi="ar"/>
        </w:rPr>
        <w:t>huikeyang@hrbmu.edu.cn</w:t>
      </w:r>
      <w:r>
        <w:rPr>
          <w:rStyle w:val="7"/>
          <w:rFonts w:hint="eastAsia" w:ascii="Times New Roman" w:hAnsi="Times New Roman" w:eastAsia="宋体"/>
          <w:color w:val="272727"/>
          <w:kern w:val="0"/>
          <w:sz w:val="17"/>
          <w:szCs w:val="17"/>
          <w:u w:val="none"/>
          <w:lang w:bidi="ar"/>
        </w:rPr>
        <w:fldChar w:fldCharType="end"/>
      </w:r>
    </w:p>
    <w:p w14:paraId="46629669">
      <w:pPr>
        <w:rPr>
          <w:rFonts w:ascii="Times New Roman" w:hAnsi="Times New Roman" w:cs="Times New Roman"/>
          <w:sz w:val="17"/>
          <w:szCs w:val="17"/>
        </w:rPr>
      </w:pPr>
    </w:p>
    <w:p w14:paraId="4F3106CC">
      <w:pPr>
        <w:rPr>
          <w:rFonts w:ascii="Times New Roman" w:hAnsi="Times New Roman" w:cs="Times New Roman"/>
          <w:sz w:val="17"/>
          <w:szCs w:val="17"/>
        </w:rPr>
      </w:pPr>
      <w:r>
        <w:rPr>
          <w:rFonts w:hint="eastAsia" w:ascii="Times New Roman" w:hAnsi="Times New Roman" w:cs="Times New Roman"/>
          <w:sz w:val="17"/>
          <w:szCs w:val="17"/>
        </w:rPr>
        <w:drawing>
          <wp:inline distT="0" distB="0" distL="114300" distR="114300">
            <wp:extent cx="5273675" cy="2881630"/>
            <wp:effectExtent l="0" t="0" r="3175" b="4445"/>
            <wp:docPr id="12" name="图片 12"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igure 1"/>
                    <pic:cNvPicPr>
                      <a:picLocks noChangeAspect="1"/>
                    </pic:cNvPicPr>
                  </pic:nvPicPr>
                  <pic:blipFill>
                    <a:blip r:embed="rId5"/>
                    <a:stretch>
                      <a:fillRect/>
                    </a:stretch>
                  </pic:blipFill>
                  <pic:spPr>
                    <a:xfrm>
                      <a:off x="0" y="0"/>
                      <a:ext cx="5273675" cy="2881630"/>
                    </a:xfrm>
                    <a:prstGeom prst="rect">
                      <a:avLst/>
                    </a:prstGeom>
                  </pic:spPr>
                </pic:pic>
              </a:graphicData>
            </a:graphic>
          </wp:inline>
        </w:drawing>
      </w:r>
    </w:p>
    <w:p w14:paraId="26DE92FB">
      <w:pPr>
        <w:rPr>
          <w:rFonts w:ascii="Times New Roman" w:hAnsi="Times New Roman" w:cs="Times New Roman"/>
          <w:sz w:val="17"/>
          <w:szCs w:val="17"/>
        </w:rPr>
      </w:pPr>
      <w:r>
        <w:rPr>
          <w:rFonts w:ascii="Times New Roman" w:hAnsi="Times New Roman" w:cs="Times New Roman"/>
          <w:sz w:val="17"/>
          <w:szCs w:val="17"/>
        </w:rPr>
        <w:t xml:space="preserve">Supplementary Figure </w:t>
      </w:r>
      <w:r>
        <w:rPr>
          <w:rFonts w:hint="eastAsia" w:ascii="Times New Roman" w:hAnsi="Times New Roman" w:cs="Times New Roman"/>
          <w:sz w:val="17"/>
          <w:szCs w:val="17"/>
        </w:rPr>
        <w:t>1. Flow chart of the experimental design of NETs-related lncRNAs model in ovarian cancer.</w:t>
      </w:r>
    </w:p>
    <w:p w14:paraId="43B97CFA">
      <w:pPr>
        <w:rPr>
          <w:rFonts w:ascii="Times New Roman" w:hAnsi="Times New Roman" w:cs="Times New Roman"/>
          <w:sz w:val="17"/>
          <w:szCs w:val="17"/>
        </w:rPr>
      </w:pPr>
    </w:p>
    <w:p w14:paraId="3DFC5BD6">
      <w:pPr>
        <w:rPr>
          <w:rFonts w:hint="eastAsia"/>
        </w:rPr>
      </w:pPr>
      <w:r>
        <w:drawing>
          <wp:inline distT="0" distB="0" distL="114300" distR="114300">
            <wp:extent cx="5266690" cy="2787015"/>
            <wp:effectExtent l="0" t="0" r="635" b="381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6"/>
                    <a:stretch>
                      <a:fillRect/>
                    </a:stretch>
                  </pic:blipFill>
                  <pic:spPr>
                    <a:xfrm>
                      <a:off x="0" y="0"/>
                      <a:ext cx="5266690" cy="2787015"/>
                    </a:xfrm>
                    <a:prstGeom prst="rect">
                      <a:avLst/>
                    </a:prstGeom>
                    <a:noFill/>
                    <a:ln>
                      <a:noFill/>
                    </a:ln>
                  </pic:spPr>
                </pic:pic>
              </a:graphicData>
            </a:graphic>
          </wp:inline>
        </w:drawing>
      </w:r>
    </w:p>
    <w:p w14:paraId="155BF27E">
      <w:pPr>
        <w:rPr>
          <w:rFonts w:ascii="Times New Roman" w:hAnsi="Times New Roman" w:cs="Times New Roman"/>
          <w:sz w:val="17"/>
          <w:szCs w:val="17"/>
        </w:rPr>
      </w:pPr>
      <w:r>
        <w:rPr>
          <w:rFonts w:ascii="Times New Roman" w:hAnsi="Times New Roman" w:cs="Times New Roman"/>
          <w:sz w:val="17"/>
          <w:szCs w:val="17"/>
        </w:rPr>
        <w:t xml:space="preserve">Supplementary Figure </w:t>
      </w:r>
      <w:r>
        <w:rPr>
          <w:rFonts w:hint="eastAsia" w:ascii="Times New Roman" w:hAnsi="Times New Roman" w:cs="Times New Roman"/>
          <w:sz w:val="17"/>
          <w:szCs w:val="17"/>
        </w:rPr>
        <w:t>2. The co-expression network based on NETs-related model of lncRN–miRNA–mRNA relationship in OC.</w:t>
      </w:r>
    </w:p>
    <w:p w14:paraId="037285C6">
      <w:pPr>
        <w:rPr>
          <w:rFonts w:ascii="Times New Roman" w:hAnsi="Times New Roman" w:cs="Times New Roman"/>
          <w:sz w:val="17"/>
          <w:szCs w:val="17"/>
        </w:rPr>
      </w:pPr>
    </w:p>
    <w:p w14:paraId="5B82A0AB">
      <w:pPr>
        <w:rPr>
          <w:rFonts w:ascii="Times New Roman" w:hAnsi="Times New Roman" w:cs="Times New Roman"/>
          <w:sz w:val="17"/>
          <w:szCs w:val="17"/>
        </w:rPr>
      </w:pPr>
    </w:p>
    <w:p w14:paraId="3D5AB29D">
      <w:pPr>
        <w:rPr>
          <w:rFonts w:ascii="Times New Roman" w:hAnsi="Times New Roman" w:cs="Times New Roman"/>
          <w:sz w:val="17"/>
          <w:szCs w:val="17"/>
        </w:rPr>
      </w:pPr>
      <w:r>
        <w:rPr>
          <w:rFonts w:ascii="Times New Roman" w:hAnsi="Times New Roman" w:cs="Times New Roman"/>
          <w:sz w:val="17"/>
          <w:szCs w:val="17"/>
        </w:rPr>
        <w:drawing>
          <wp:inline distT="0" distB="0" distL="114300" distR="114300">
            <wp:extent cx="5272405" cy="3366770"/>
            <wp:effectExtent l="0" t="0" r="4445" b="5080"/>
            <wp:docPr id="5" name="图片 5" descr="Fig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igure5"/>
                    <pic:cNvPicPr>
                      <a:picLocks noChangeAspect="1"/>
                    </pic:cNvPicPr>
                  </pic:nvPicPr>
                  <pic:blipFill>
                    <a:blip r:embed="rId7"/>
                    <a:stretch>
                      <a:fillRect/>
                    </a:stretch>
                  </pic:blipFill>
                  <pic:spPr>
                    <a:xfrm>
                      <a:off x="0" y="0"/>
                      <a:ext cx="5272405" cy="3366770"/>
                    </a:xfrm>
                    <a:prstGeom prst="rect">
                      <a:avLst/>
                    </a:prstGeom>
                  </pic:spPr>
                </pic:pic>
              </a:graphicData>
            </a:graphic>
          </wp:inline>
        </w:drawing>
      </w:r>
    </w:p>
    <w:p w14:paraId="5B82F97D">
      <w:pPr>
        <w:rPr>
          <w:rFonts w:ascii="Times New Roman" w:hAnsi="Times New Roman" w:cs="Times New Roman"/>
          <w:sz w:val="17"/>
          <w:szCs w:val="17"/>
        </w:rPr>
      </w:pPr>
      <w:r>
        <w:rPr>
          <w:rFonts w:ascii="Times New Roman" w:hAnsi="Times New Roman" w:cs="Times New Roman"/>
          <w:sz w:val="17"/>
          <w:szCs w:val="17"/>
        </w:rPr>
        <w:t xml:space="preserve">Supplementary Figure </w:t>
      </w:r>
      <w:r>
        <w:rPr>
          <w:rFonts w:hint="eastAsia" w:ascii="Times New Roman" w:hAnsi="Times New Roman" w:cs="Times New Roman"/>
          <w:sz w:val="17"/>
          <w:szCs w:val="17"/>
        </w:rPr>
        <w:t>3. Landscape of mutation profiles in high- and low-risk OC patients. (A, B) The TMB in high- and low-risk OC patients. (C) The difference of TMB was significant in OC patients with different risk. (D) The TMB was negatively correlated with the risk score in OC patients. (E, F) Comparison of OS in BC patients with different risks and different TMBs.</w:t>
      </w:r>
    </w:p>
    <w:p w14:paraId="4AAA230D">
      <w:pPr>
        <w:rPr>
          <w:rFonts w:ascii="Times New Roman" w:hAnsi="Times New Roman" w:cs="Times New Roman"/>
          <w:sz w:val="17"/>
          <w:szCs w:val="17"/>
        </w:rPr>
      </w:pPr>
    </w:p>
    <w:p w14:paraId="7C0F801D">
      <w:pPr>
        <w:rPr>
          <w:rFonts w:ascii="Times New Roman" w:hAnsi="Times New Roman" w:cs="Times New Roman"/>
          <w:sz w:val="17"/>
          <w:szCs w:val="17"/>
        </w:rPr>
      </w:pPr>
    </w:p>
    <w:p w14:paraId="79B2C2EE">
      <w:pPr>
        <w:rPr>
          <w:rFonts w:ascii="Times New Roman" w:hAnsi="Times New Roman" w:cs="Times New Roman"/>
          <w:sz w:val="17"/>
          <w:szCs w:val="17"/>
        </w:rPr>
      </w:pPr>
      <w:r>
        <w:rPr>
          <w:rFonts w:ascii="Times New Roman" w:hAnsi="Times New Roman" w:cs="Times New Roman"/>
          <w:sz w:val="17"/>
          <w:szCs w:val="17"/>
        </w:rPr>
        <w:drawing>
          <wp:inline distT="0" distB="0" distL="114300" distR="114300">
            <wp:extent cx="5269230" cy="1954530"/>
            <wp:effectExtent l="0" t="0" r="7620" b="7620"/>
            <wp:docPr id="8" name="图片 8" descr="Fig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igure7"/>
                    <pic:cNvPicPr>
                      <a:picLocks noChangeAspect="1"/>
                    </pic:cNvPicPr>
                  </pic:nvPicPr>
                  <pic:blipFill>
                    <a:blip r:embed="rId8"/>
                    <a:stretch>
                      <a:fillRect/>
                    </a:stretch>
                  </pic:blipFill>
                  <pic:spPr>
                    <a:xfrm>
                      <a:off x="0" y="0"/>
                      <a:ext cx="5269230" cy="1954530"/>
                    </a:xfrm>
                    <a:prstGeom prst="rect">
                      <a:avLst/>
                    </a:prstGeom>
                  </pic:spPr>
                </pic:pic>
              </a:graphicData>
            </a:graphic>
          </wp:inline>
        </w:drawing>
      </w:r>
    </w:p>
    <w:p w14:paraId="3009D429">
      <w:pPr>
        <w:rPr>
          <w:rFonts w:ascii="Times New Roman" w:hAnsi="Times New Roman" w:cs="Times New Roman"/>
          <w:sz w:val="17"/>
          <w:szCs w:val="17"/>
        </w:rPr>
      </w:pPr>
      <w:r>
        <w:rPr>
          <w:rFonts w:ascii="Times New Roman" w:hAnsi="Times New Roman" w:cs="Times New Roman"/>
          <w:sz w:val="17"/>
          <w:szCs w:val="17"/>
        </w:rPr>
        <w:t xml:space="preserve">Supplementary Figure </w:t>
      </w:r>
      <w:bookmarkStart w:id="0" w:name="_GoBack"/>
      <w:bookmarkEnd w:id="0"/>
      <w:r>
        <w:rPr>
          <w:rFonts w:hint="eastAsia" w:ascii="Times New Roman" w:hAnsi="Times New Roman" w:cs="Times New Roman"/>
          <w:sz w:val="17"/>
          <w:szCs w:val="17"/>
        </w:rPr>
        <w:t>4. Correlation analysis of targeted drugs. (A) Correlations between IC50 levels of five targeted drugs (bexarotene, bicalutamide, embelin, GDC0941 and thapsigargin) and expression of model lncRNAs. (B) Differences in sensitivity to targeted drugs between high-risk and low-risk groups.</w:t>
      </w:r>
    </w:p>
    <w:sectPr>
      <w:footerReference r:id="rId3" w:type="default"/>
      <w:pgSz w:w="11906" w:h="16838"/>
      <w:pgMar w:top="1440" w:right="1800" w:bottom="1440" w:left="1800" w:header="851" w:footer="992" w:gutter="0"/>
      <w:lnNumType w:countBy="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53345893"/>
      <w:docPartObj>
        <w:docPartGallery w:val="autotext"/>
      </w:docPartObj>
    </w:sdtPr>
    <w:sdtContent>
      <w:p w14:paraId="2A98F162">
        <w:pPr>
          <w:pStyle w:val="2"/>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5C36CAED">
    <w:pPr>
      <w:pStyle w:val="2"/>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ZhNzI5MzU0MTIxMzFmMDJjODhiMTY0OTFlMmZjYTIifQ=="/>
  </w:docVars>
  <w:rsids>
    <w:rsidRoot w:val="000F46CD"/>
    <w:rsid w:val="000F46CD"/>
    <w:rsid w:val="001011CA"/>
    <w:rsid w:val="00162A9C"/>
    <w:rsid w:val="00166A24"/>
    <w:rsid w:val="001A2A04"/>
    <w:rsid w:val="001A6B47"/>
    <w:rsid w:val="001F1E07"/>
    <w:rsid w:val="001F4E14"/>
    <w:rsid w:val="0022514B"/>
    <w:rsid w:val="002C1657"/>
    <w:rsid w:val="002C3C80"/>
    <w:rsid w:val="00320028"/>
    <w:rsid w:val="00555D42"/>
    <w:rsid w:val="00680571"/>
    <w:rsid w:val="0076343A"/>
    <w:rsid w:val="007A4A4C"/>
    <w:rsid w:val="007A7149"/>
    <w:rsid w:val="007B5897"/>
    <w:rsid w:val="00887495"/>
    <w:rsid w:val="008C317B"/>
    <w:rsid w:val="008E2F51"/>
    <w:rsid w:val="008F537D"/>
    <w:rsid w:val="00957DA4"/>
    <w:rsid w:val="009B02ED"/>
    <w:rsid w:val="00A4346E"/>
    <w:rsid w:val="00B736A2"/>
    <w:rsid w:val="00C02B63"/>
    <w:rsid w:val="00C445BF"/>
    <w:rsid w:val="00C55868"/>
    <w:rsid w:val="00D26568"/>
    <w:rsid w:val="00D86A0B"/>
    <w:rsid w:val="00DD0C2E"/>
    <w:rsid w:val="00E507ED"/>
    <w:rsid w:val="00E53E22"/>
    <w:rsid w:val="00F26989"/>
    <w:rsid w:val="00FB0B50"/>
    <w:rsid w:val="1E282F9E"/>
    <w:rsid w:val="49765DB8"/>
    <w:rsid w:val="53CF40C3"/>
    <w:rsid w:val="5ACD6251"/>
    <w:rsid w:val="67F40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tabs>
        <w:tab w:val="center" w:pos="4153"/>
        <w:tab w:val="right" w:pos="8306"/>
      </w:tabs>
      <w:snapToGrid w:val="0"/>
      <w:jc w:val="center"/>
    </w:pPr>
    <w:rPr>
      <w:sz w:val="18"/>
      <w:szCs w:val="18"/>
    </w:rPr>
  </w:style>
  <w:style w:type="character" w:styleId="6">
    <w:name w:val="line number"/>
    <w:basedOn w:val="5"/>
    <w:semiHidden/>
    <w:unhideWhenUsed/>
    <w:uiPriority w:val="99"/>
  </w:style>
  <w:style w:type="character" w:styleId="7">
    <w:name w:val="Hyperlink"/>
    <w:basedOn w:val="5"/>
    <w:autoRedefine/>
    <w:unhideWhenUsed/>
    <w:qFormat/>
    <w:uiPriority w:val="99"/>
    <w:rPr>
      <w:color w:val="0563C1" w:themeColor="hyperlink"/>
      <w:u w:val="single"/>
      <w14:textFill>
        <w14:solidFill>
          <w14:schemeClr w14:val="hlink"/>
        </w14:solidFill>
      </w14:textFill>
    </w:rPr>
  </w:style>
  <w:style w:type="character" w:customStyle="1" w:styleId="8">
    <w:name w:val="页眉 字符"/>
    <w:basedOn w:val="5"/>
    <w:link w:val="3"/>
    <w:autoRedefine/>
    <w:qFormat/>
    <w:uiPriority w:val="99"/>
    <w:rPr>
      <w:sz w:val="18"/>
      <w:szCs w:val="18"/>
    </w:rPr>
  </w:style>
  <w:style w:type="character" w:customStyle="1" w:styleId="9">
    <w:name w:val="页脚 字符"/>
    <w:basedOn w:val="5"/>
    <w:link w:val="2"/>
    <w:autoRedefine/>
    <w:qFormat/>
    <w:uiPriority w:val="99"/>
    <w:rPr>
      <w:sz w:val="18"/>
      <w:szCs w:val="18"/>
    </w:rPr>
  </w:style>
  <w:style w:type="paragraph" w:customStyle="1" w:styleId="10">
    <w:name w:val="书目1"/>
    <w:basedOn w:val="1"/>
    <w:next w:val="1"/>
    <w:unhideWhenUsed/>
    <w:uiPriority w:val="37"/>
    <w:pPr>
      <w:tabs>
        <w:tab w:val="left" w:pos="504"/>
      </w:tabs>
      <w:ind w:left="504" w:hanging="504"/>
    </w:pPr>
  </w:style>
  <w:style w:type="paragraph" w:customStyle="1" w:styleId="11">
    <w:name w:val="Bibliography"/>
    <w:basedOn w:val="1"/>
    <w:next w:val="1"/>
    <w:unhideWhenUsed/>
    <w:qFormat/>
    <w:uiPriority w:val="37"/>
    <w:pPr>
      <w:tabs>
        <w:tab w:val="left" w:pos="384"/>
      </w:tabs>
      <w:spacing w:line="480" w:lineRule="auto"/>
      <w:ind w:left="384" w:hanging="384"/>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4.tiff"/><Relationship Id="rId7" Type="http://schemas.openxmlformats.org/officeDocument/2006/relationships/image" Target="media/image3.tiff"/><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220</Words>
  <Characters>1330</Characters>
  <Lines>1109</Lines>
  <Paragraphs>312</Paragraphs>
  <TotalTime>2</TotalTime>
  <ScaleCrop>false</ScaleCrop>
  <LinksUpToDate>false</LinksUpToDate>
  <CharactersWithSpaces>1535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2024-11-08T04:37:00Z</dcterms:created>
  <dc:creator>雨森 梁</dc:creator>
  <cp:lastModifiedBy>王老先生</cp:lastModifiedBy>
  <dcterms:modified xsi:type="dcterms:W3CDTF">2024-11-27T08:49:23Z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id="Qk0P2gDL"/&gt;&lt;style id="http://www.zotero.org/styles/scientific-reports" hasBibliography="1" bibliographyStyleHasBeenSet="1"/&gt;&lt;prefs&gt;&lt;pref name="fieldType" value="Field"/&gt;&lt;/prefs&gt;&lt;/data&gt;</vt:lpwstr>
  </property>
  <property fmtid="{D5CDD505-2E9C-101B-9397-08002B2CF9AE}" pid="3" name="KSOProductBuildVer">
    <vt:lpwstr>2052-12.1.0.18912</vt:lpwstr>
  </property>
  <property fmtid="{D5CDD505-2E9C-101B-9397-08002B2CF9AE}" pid="4" name="ICV">
    <vt:lpwstr>BC8E81EA85734A8C85A05DEEB819D616_12</vt:lpwstr>
  </property>
</Properties>
</file>