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98153" w14:textId="3907CA51" w:rsidR="00877C54" w:rsidRPr="00877C54" w:rsidRDefault="00877C54" w:rsidP="00877C54">
      <w:pPr>
        <w:jc w:val="both"/>
        <w:rPr>
          <w:bCs/>
          <w:iCs/>
        </w:rPr>
      </w:pPr>
      <w:r>
        <w:rPr>
          <w:bCs/>
          <w:iCs/>
          <w:noProof/>
        </w:rPr>
        <w:drawing>
          <wp:inline distT="0" distB="0" distL="0" distR="0" wp14:anchorId="0BC8E8F5" wp14:editId="471EF944">
            <wp:extent cx="5943600" cy="3148965"/>
            <wp:effectExtent l="0" t="0" r="0" b="0"/>
            <wp:docPr id="1085720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5635E" w14:textId="65462803" w:rsidR="00877C54" w:rsidRDefault="00877C54" w:rsidP="00877C54">
      <w:pPr>
        <w:jc w:val="both"/>
        <w:rPr>
          <w:i/>
        </w:rPr>
      </w:pPr>
      <w:r>
        <w:rPr>
          <w:b/>
          <w:i/>
        </w:rPr>
        <w:t xml:space="preserve">Supplementary Figure </w:t>
      </w:r>
      <w:r w:rsidR="006B7B01">
        <w:rPr>
          <w:b/>
          <w:i/>
        </w:rPr>
        <w:t>S</w:t>
      </w:r>
      <w:r>
        <w:rPr>
          <w:b/>
          <w:i/>
        </w:rPr>
        <w:t>1:</w:t>
      </w:r>
      <w:r>
        <w:rPr>
          <w:i/>
        </w:rPr>
        <w:t xml:space="preserve"> </w:t>
      </w:r>
      <w:r>
        <w:rPr>
          <w:b/>
          <w:i/>
        </w:rPr>
        <w:t>a.</w:t>
      </w:r>
      <w:r>
        <w:rPr>
          <w:i/>
        </w:rPr>
        <w:t xml:space="preserve"> Doubling time and </w:t>
      </w:r>
      <w:r>
        <w:rPr>
          <w:b/>
          <w:i/>
        </w:rPr>
        <w:t>b.</w:t>
      </w:r>
      <w:r>
        <w:rPr>
          <w:i/>
        </w:rPr>
        <w:t xml:space="preserve"> Maximal </w:t>
      </w:r>
      <w:r w:rsidR="00A5156C">
        <w:rPr>
          <w:i/>
        </w:rPr>
        <w:t xml:space="preserve">reached </w:t>
      </w:r>
      <w:r>
        <w:rPr>
          <w:i/>
        </w:rPr>
        <w:t xml:space="preserve">confluence of </w:t>
      </w:r>
      <w:proofErr w:type="spellStart"/>
      <w:r>
        <w:rPr>
          <w:i/>
        </w:rPr>
        <w:t>bSCs</w:t>
      </w:r>
      <w:proofErr w:type="spellEnd"/>
      <w:r w:rsidR="00A5156C">
        <w:rPr>
          <w:i/>
        </w:rPr>
        <w:t xml:space="preserve"> for various</w:t>
      </w:r>
      <w:r>
        <w:rPr>
          <w:i/>
        </w:rPr>
        <w:t xml:space="preserve"> MC concentrations, initial confluences and cell densities (n=39 observations from 12 donors). No significant trends were found.</w:t>
      </w:r>
    </w:p>
    <w:p w14:paraId="5DD94399" w14:textId="77777777" w:rsidR="00877C54" w:rsidRDefault="00877C54"/>
    <w:p w14:paraId="677C93EA" w14:textId="12518EA0" w:rsidR="00877C54" w:rsidRDefault="00877C54">
      <w:r>
        <w:rPr>
          <w:noProof/>
        </w:rPr>
        <w:drawing>
          <wp:inline distT="0" distB="0" distL="0" distR="0" wp14:anchorId="66EACD92" wp14:editId="3FDE1D83">
            <wp:extent cx="5943600" cy="2101850"/>
            <wp:effectExtent l="0" t="0" r="0" b="0"/>
            <wp:docPr id="1821626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952C9" w14:textId="26DC2A32" w:rsidR="00877C54" w:rsidRDefault="00877C54" w:rsidP="00877C54">
      <w:pPr>
        <w:jc w:val="both"/>
        <w:rPr>
          <w:i/>
        </w:rPr>
      </w:pPr>
      <w:r>
        <w:rPr>
          <w:b/>
          <w:i/>
        </w:rPr>
        <w:t xml:space="preserve">Supplementary Figure </w:t>
      </w:r>
      <w:r w:rsidR="006B7B01">
        <w:rPr>
          <w:b/>
          <w:i/>
        </w:rPr>
        <w:t>S</w:t>
      </w:r>
      <w:r>
        <w:rPr>
          <w:b/>
          <w:i/>
        </w:rPr>
        <w:t>2:</w:t>
      </w:r>
      <w:r>
        <w:rPr>
          <w:i/>
        </w:rPr>
        <w:t xml:space="preserve"> </w:t>
      </w:r>
      <w:r>
        <w:rPr>
          <w:b/>
          <w:i/>
        </w:rPr>
        <w:t>a.</w:t>
      </w:r>
      <w:r>
        <w:rPr>
          <w:i/>
        </w:rPr>
        <w:t xml:space="preserve"> Confluence and </w:t>
      </w:r>
      <w:r>
        <w:rPr>
          <w:b/>
          <w:i/>
        </w:rPr>
        <w:t>b.</w:t>
      </w:r>
      <w:r>
        <w:rPr>
          <w:i/>
        </w:rPr>
        <w:t xml:space="preserve"> Volumetric cell density of </w:t>
      </w:r>
      <w:proofErr w:type="spellStart"/>
      <w:r>
        <w:rPr>
          <w:i/>
        </w:rPr>
        <w:t>bSCs</w:t>
      </w:r>
      <w:proofErr w:type="spellEnd"/>
      <w:r>
        <w:rPr>
          <w:i/>
        </w:rPr>
        <w:t xml:space="preserve"> grown on </w:t>
      </w:r>
      <w:proofErr w:type="spellStart"/>
      <w:r>
        <w:rPr>
          <w:i/>
        </w:rPr>
        <w:t>Cytodex</w:t>
      </w:r>
      <w:proofErr w:type="spellEnd"/>
      <w:r>
        <w:rPr>
          <w:i/>
        </w:rPr>
        <w:t xml:space="preserve"> 1 MCs after one MC addition with different MC expansion ratios (1, 5 and 10; n=4 from 2 donors). Results represent the mean ± standard deviation.</w:t>
      </w:r>
    </w:p>
    <w:p w14:paraId="592A554B" w14:textId="0BD951C1" w:rsidR="00877C54" w:rsidRDefault="00877C54"/>
    <w:p w14:paraId="00DB1201" w14:textId="00BDC91F" w:rsidR="00712222" w:rsidRDefault="00712222">
      <w:r>
        <w:rPr>
          <w:noProof/>
        </w:rPr>
        <w:lastRenderedPageBreak/>
        <w:drawing>
          <wp:inline distT="0" distB="0" distL="0" distR="0" wp14:anchorId="58B946B1" wp14:editId="294A5798">
            <wp:extent cx="5935980" cy="3901440"/>
            <wp:effectExtent l="0" t="0" r="7620" b="3810"/>
            <wp:docPr id="1410381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E56E7" w14:textId="5B9CCBFC" w:rsidR="00877C54" w:rsidRDefault="00877C54" w:rsidP="00877C54">
      <w:pPr>
        <w:jc w:val="both"/>
        <w:rPr>
          <w:i/>
        </w:rPr>
      </w:pPr>
      <w:r>
        <w:rPr>
          <w:b/>
          <w:i/>
        </w:rPr>
        <w:t xml:space="preserve">Supplementary Figure </w:t>
      </w:r>
      <w:r w:rsidR="006B7B01">
        <w:rPr>
          <w:b/>
          <w:i/>
        </w:rPr>
        <w:t>S</w:t>
      </w:r>
      <w:r>
        <w:rPr>
          <w:b/>
          <w:i/>
        </w:rPr>
        <w:t>3:</w:t>
      </w:r>
      <w:r>
        <w:rPr>
          <w:i/>
        </w:rPr>
        <w:t xml:space="preserve"> Comparison of two seed trains starting both with 100 million cells in a 1L bioreactor and ending with 4 trillion cells in a 1</w:t>
      </w:r>
      <w:r w:rsidR="006204D4">
        <w:rPr>
          <w:i/>
        </w:rPr>
        <w:t>,</w:t>
      </w:r>
      <w:r>
        <w:rPr>
          <w:i/>
        </w:rPr>
        <w:t xml:space="preserve">000L bioreactor. In the top seed train, MC expansion ratios of 7 to 10 are used, whereas in the bottom one, MC expansion ratios of </w:t>
      </w:r>
      <w:r w:rsidR="00712222">
        <w:rPr>
          <w:i/>
        </w:rPr>
        <w:t>2</w:t>
      </w:r>
      <w:r>
        <w:rPr>
          <w:i/>
        </w:rPr>
        <w:t xml:space="preserve"> to </w:t>
      </w:r>
      <w:r w:rsidR="00712222">
        <w:rPr>
          <w:i/>
        </w:rPr>
        <w:t>3</w:t>
      </w:r>
      <w:r>
        <w:rPr>
          <w:i/>
        </w:rPr>
        <w:t xml:space="preserve"> are used. With the use of high MC expansion ratios, fewer bioreactors and bead-to-bead transfers are required.</w:t>
      </w:r>
    </w:p>
    <w:p w14:paraId="08B67708" w14:textId="77777777" w:rsidR="00877C54" w:rsidRDefault="00877C54"/>
    <w:sectPr w:rsidR="00877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54"/>
    <w:rsid w:val="000D7884"/>
    <w:rsid w:val="001602B4"/>
    <w:rsid w:val="002D581D"/>
    <w:rsid w:val="004C5371"/>
    <w:rsid w:val="006204D4"/>
    <w:rsid w:val="006B7B01"/>
    <w:rsid w:val="00712222"/>
    <w:rsid w:val="00784A7B"/>
    <w:rsid w:val="00877C54"/>
    <w:rsid w:val="00944FE9"/>
    <w:rsid w:val="009A1ECE"/>
    <w:rsid w:val="00A35CE9"/>
    <w:rsid w:val="00A5156C"/>
    <w:rsid w:val="00C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591E"/>
  <w15:chartTrackingRefBased/>
  <w15:docId w15:val="{7C5FD0DD-633A-446C-8D43-917C367C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C54"/>
    <w:pPr>
      <w:spacing w:after="0" w:line="276" w:lineRule="auto"/>
    </w:pPr>
    <w:rPr>
      <w:rFonts w:ascii="Arial" w:eastAsia="Arial" w:hAnsi="Arial" w:cs="Arial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C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C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C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C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C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C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C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C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C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C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7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C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7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C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7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C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7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C5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76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6F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F42"/>
    <w:rPr>
      <w:rFonts w:ascii="Arial" w:eastAsia="Arial" w:hAnsi="Arial" w:cs="Arial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F42"/>
    <w:rPr>
      <w:rFonts w:ascii="Arial" w:eastAsia="Arial" w:hAnsi="Arial" w:cs="Arial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MosaMeat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Bodiou</dc:creator>
  <cp:keywords/>
  <dc:description/>
  <cp:lastModifiedBy>Naya Moutsatsou</cp:lastModifiedBy>
  <cp:revision>2</cp:revision>
  <dcterms:created xsi:type="dcterms:W3CDTF">2024-11-29T09:45:00Z</dcterms:created>
  <dcterms:modified xsi:type="dcterms:W3CDTF">2024-11-29T09:45:00Z</dcterms:modified>
</cp:coreProperties>
</file>