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C479D">
      <w:pPr>
        <w:numPr>
          <w:ilvl w:val="0"/>
          <w:numId w:val="0"/>
        </w:numPr>
        <w:rPr>
          <w:rFonts w:hint="eastAsia"/>
          <w:b/>
          <w:bCs/>
        </w:rPr>
      </w:pPr>
      <w:r>
        <w:rPr>
          <w:rFonts w:hint="eastAsia"/>
          <w:b/>
          <w:bCs/>
          <w:lang w:val="en-US" w:eastAsia="en-US"/>
        </w:rPr>
        <w:t xml:space="preserve">Additional file </w:t>
      </w:r>
      <w:r>
        <w:rPr>
          <w:rFonts w:hint="eastAsia"/>
          <w:b/>
          <w:bCs/>
          <w:lang w:val="en-US" w:eastAsia="zh-CN"/>
        </w:rPr>
        <w:t>2：</w:t>
      </w:r>
      <w:r>
        <w:rPr>
          <w:rFonts w:hint="eastAsia"/>
          <w:b/>
          <w:bCs/>
        </w:rPr>
        <w:t>Molecular docking</w:t>
      </w:r>
    </w:p>
    <w:p w14:paraId="72831B64">
      <w:pPr>
        <w:ind w:firstLine="632" w:firstLineChars="300"/>
        <w:rPr>
          <w:rFonts w:hint="eastAsia"/>
          <w:b/>
          <w:bCs/>
          <w:lang w:val="en-US" w:eastAsia="en-US"/>
        </w:rPr>
      </w:pPr>
    </w:p>
    <w:p w14:paraId="2FEDE864">
      <w:pPr>
        <w:ind w:firstLine="630" w:firstLineChars="300"/>
        <w:rPr>
          <w:rFonts w:hint="eastAsia"/>
          <w:b/>
          <w:bCs/>
          <w:lang w:val="en-US" w:eastAsia="en-US"/>
        </w:rPr>
      </w:pPr>
      <w:r>
        <w:drawing>
          <wp:inline distT="0" distB="0" distL="114300" distR="114300">
            <wp:extent cx="5265420" cy="4445000"/>
            <wp:effectExtent l="0" t="0" r="11430" b="1270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9761B">
      <w:pPr>
        <w:numPr>
          <w:ilvl w:val="0"/>
          <w:numId w:val="0"/>
        </w:numPr>
        <w:rPr>
          <w:rFonts w:hint="eastAsia"/>
          <w:b/>
          <w:bCs/>
        </w:rPr>
      </w:pPr>
      <w:bookmarkStart w:id="0" w:name="_GoBack"/>
      <w:r>
        <w:rPr>
          <w:rFonts w:hint="eastAsia"/>
          <w:b/>
          <w:bCs/>
        </w:rPr>
        <w:t>Molecular docking</w:t>
      </w:r>
    </w:p>
    <w:bookmarkEnd w:id="0"/>
    <w:p w14:paraId="1660C3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</w:rPr>
        <w:t>D) Visualization of the docking of genes COL6A2, DCXR, GLRX, PDGFRB and LY-2183240. Red represents LY-2183240, blue represents amino acid residues, yellow represents hydrogen bonds, numbers represent hydrogen bond lengths, and letters represent amino acid residue names.</w:t>
      </w:r>
    </w:p>
    <w:p w14:paraId="6B4B2A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7568E1"/>
    <w:multiLevelType w:val="singleLevel"/>
    <w:tmpl w:val="B07568E1"/>
    <w:lvl w:ilvl="0" w:tentative="0">
      <w:start w:val="1"/>
      <w:numFmt w:val="upperLetter"/>
      <w:suff w:val="nothing"/>
      <w:lvlText w:val="(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A30E2"/>
    <w:rsid w:val="694A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2025-03-15T19:18:00Z</dcterms:created>
  <dc:creator>医龙</dc:creator>
  <cp:lastModifiedBy>医龙</cp:lastModifiedBy>
  <dcterms:modified xsi:type="dcterms:W3CDTF">2025-03-15T19:21:00Z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CAB08688959F448C91E4BC61B1D79C22_11</vt:lpwstr>
  </property>
  <property fmtid="{D5CDD505-2E9C-101B-9397-08002B2CF9AE}" pid="4" name="KSOTemplateDocerSaveRecord">
    <vt:lpwstr>eyJoZGlkIjoiZGVlNjQyNjNhN2U1NTIyOWIxMzRjOGU0M2ExNzM1NzgiLCJ1c2VySWQiOiI5OTUzMDcwOTAifQ==</vt:lpwstr>
  </property>
</Properties>
</file>