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7C45B" w14:textId="77777777" w:rsidR="00234F60" w:rsidRPr="00234F60" w:rsidRDefault="00234F60" w:rsidP="00234F60">
      <w:pPr>
        <w:widowControl/>
        <w:spacing w:before="240" w:after="240" w:line="276" w:lineRule="auto"/>
        <w:jc w:val="center"/>
        <w:rPr>
          <w:rFonts w:ascii="Arial" w:eastAsia="宋体" w:hAnsi="Arial" w:cs="Arial"/>
          <w:b/>
          <w:kern w:val="0"/>
          <w:sz w:val="24"/>
          <w:szCs w:val="24"/>
          <w:lang w:val="en"/>
          <w14:ligatures w14:val="none"/>
        </w:rPr>
      </w:pPr>
      <w:r w:rsidRPr="00234F60">
        <w:rPr>
          <w:rFonts w:ascii="Arial" w:eastAsia="宋体" w:hAnsi="Arial" w:cs="Arial"/>
          <w:b/>
          <w:kern w:val="0"/>
          <w:sz w:val="24"/>
          <w:szCs w:val="24"/>
          <w:lang w:val="en"/>
          <w14:ligatures w14:val="none"/>
        </w:rPr>
        <w:t>Human-Generative AI Collaboration Enhances Task Performance but Undermines Human’s Intrinsic Motivation</w:t>
      </w:r>
    </w:p>
    <w:p w14:paraId="7884BA1C" w14:textId="77777777" w:rsidR="00234F60" w:rsidRPr="00234F60" w:rsidRDefault="00234F60" w:rsidP="00234F60">
      <w:pPr>
        <w:jc w:val="center"/>
        <w:rPr>
          <w:rFonts w:ascii="Arial" w:eastAsia="宋体" w:hAnsi="Arial" w:cs="Arial"/>
          <w:b/>
          <w:bCs/>
          <w:sz w:val="24"/>
        </w:rPr>
      </w:pPr>
    </w:p>
    <w:p w14:paraId="16E4C953" w14:textId="4FED0D09" w:rsidR="00234F60" w:rsidRPr="00234F60" w:rsidRDefault="00234F60" w:rsidP="00234F60">
      <w:pPr>
        <w:jc w:val="center"/>
        <w:rPr>
          <w:rFonts w:ascii="Arial" w:eastAsia="宋体" w:hAnsi="Arial" w:cs="Arial"/>
          <w:b/>
          <w:bCs/>
          <w:sz w:val="24"/>
        </w:rPr>
      </w:pPr>
      <w:r w:rsidRPr="00234F60">
        <w:rPr>
          <w:rFonts w:ascii="Arial" w:eastAsia="宋体" w:hAnsi="Arial" w:cs="Arial"/>
          <w:b/>
          <w:bCs/>
          <w:sz w:val="24"/>
        </w:rPr>
        <w:t>Supplementary Material</w:t>
      </w:r>
    </w:p>
    <w:p w14:paraId="620C2016" w14:textId="77777777" w:rsidR="00234F60" w:rsidRPr="00234F60" w:rsidRDefault="00234F60" w:rsidP="00234F60">
      <w:pPr>
        <w:rPr>
          <w:rFonts w:ascii="Arial" w:eastAsia="宋体" w:hAnsi="Arial" w:cs="Arial"/>
          <w:sz w:val="24"/>
        </w:rPr>
      </w:pPr>
    </w:p>
    <w:p w14:paraId="0637C8E8" w14:textId="77777777" w:rsidR="00234F60" w:rsidRPr="00234F60" w:rsidRDefault="00234F60" w:rsidP="00234F60">
      <w:pPr>
        <w:rPr>
          <w:rFonts w:ascii="Arial" w:eastAsia="宋体" w:hAnsi="Arial" w:cs="Arial"/>
          <w:sz w:val="24"/>
        </w:rPr>
      </w:pPr>
    </w:p>
    <w:p w14:paraId="252328C0" w14:textId="77777777" w:rsidR="00234F60" w:rsidRPr="00234F60" w:rsidRDefault="00234F60" w:rsidP="00234F60">
      <w:pPr>
        <w:jc w:val="left"/>
        <w:rPr>
          <w:rFonts w:ascii="Arial" w:eastAsia="宋体" w:hAnsi="Arial" w:cs="Arial"/>
          <w:b/>
          <w:bCs/>
          <w:szCs w:val="20"/>
        </w:rPr>
      </w:pPr>
      <w:r w:rsidRPr="00234F60">
        <w:rPr>
          <w:rFonts w:ascii="Arial" w:eastAsia="宋体" w:hAnsi="Arial" w:cs="Arial"/>
          <w:b/>
          <w:bCs/>
          <w:szCs w:val="20"/>
        </w:rPr>
        <w:t>Introduction:</w:t>
      </w:r>
    </w:p>
    <w:p w14:paraId="50DF17A1" w14:textId="77777777" w:rsidR="00234F60" w:rsidRPr="00234F60" w:rsidRDefault="00234F60" w:rsidP="00234F60">
      <w:pPr>
        <w:jc w:val="left"/>
        <w:rPr>
          <w:rFonts w:ascii="Arial" w:eastAsia="宋体" w:hAnsi="Arial" w:cs="Arial"/>
          <w:sz w:val="24"/>
        </w:rPr>
      </w:pPr>
    </w:p>
    <w:p w14:paraId="199A5914" w14:textId="77777777" w:rsidR="00234F60" w:rsidRPr="00234F60" w:rsidRDefault="00234F60" w:rsidP="00234F60">
      <w:pPr>
        <w:jc w:val="left"/>
        <w:rPr>
          <w:rFonts w:ascii="Arial" w:eastAsia="宋体" w:hAnsi="Arial" w:cs="Arial"/>
          <w:szCs w:val="20"/>
        </w:rPr>
      </w:pPr>
      <w:r w:rsidRPr="00234F60">
        <w:rPr>
          <w:rFonts w:ascii="Arial" w:eastAsia="宋体" w:hAnsi="Arial" w:cs="Arial"/>
          <w:szCs w:val="20"/>
        </w:rPr>
        <w:t>As all study materials, including the original questionnaire (printed version, survey flow chart, and the Qualtrics survey file), the anonymized raw data, raters’ evaluation records, cleaned data used for analyses, and data analysis codes, have been shared publicly in the Open Science Framework (</w:t>
      </w:r>
      <w:hyperlink r:id="rId5" w:history="1">
        <w:r w:rsidRPr="00234F60">
          <w:rPr>
            <w:rFonts w:ascii="Arial" w:eastAsia="等线" w:hAnsi="Arial" w:cs="Arial"/>
            <w:color w:val="0563C1"/>
            <w:u w:val="single"/>
          </w:rPr>
          <w:t>https://osf.io/xyjwh/?view_only=1c80758370cf4f8f8f2261a0b81398d3</w:t>
        </w:r>
      </w:hyperlink>
      <w:r w:rsidRPr="00234F60">
        <w:rPr>
          <w:rFonts w:ascii="Arial" w:eastAsia="宋体" w:hAnsi="Arial" w:cs="Arial"/>
          <w:szCs w:val="20"/>
        </w:rPr>
        <w:t xml:space="preserve">), in this Supplementary Materials document, we only present the most necessary information or materials to facilitate readers’ understanding of the design and procedures of this research. </w:t>
      </w:r>
    </w:p>
    <w:p w14:paraId="515802B8" w14:textId="77777777" w:rsidR="00234F60" w:rsidRPr="00234F60" w:rsidRDefault="00234F60" w:rsidP="00234F60">
      <w:pPr>
        <w:jc w:val="left"/>
        <w:rPr>
          <w:rFonts w:ascii="Arial" w:eastAsia="宋体" w:hAnsi="Arial" w:cs="Arial"/>
          <w:sz w:val="24"/>
        </w:rPr>
      </w:pPr>
    </w:p>
    <w:p w14:paraId="386D3E5C" w14:textId="77777777" w:rsidR="00234F60" w:rsidRPr="00234F60" w:rsidRDefault="00234F60" w:rsidP="00234F60">
      <w:pPr>
        <w:jc w:val="left"/>
        <w:rPr>
          <w:rFonts w:ascii="Arial" w:eastAsia="宋体" w:hAnsi="Arial" w:cs="Arial"/>
          <w:b/>
          <w:bCs/>
          <w:szCs w:val="20"/>
        </w:rPr>
      </w:pPr>
      <w:r w:rsidRPr="00234F60">
        <w:rPr>
          <w:rFonts w:ascii="Arial" w:eastAsia="宋体" w:hAnsi="Arial" w:cs="Arial"/>
          <w:b/>
          <w:bCs/>
          <w:szCs w:val="20"/>
        </w:rPr>
        <w:t>Contents:</w:t>
      </w:r>
    </w:p>
    <w:p w14:paraId="51FE3061" w14:textId="77777777" w:rsidR="00234F60" w:rsidRPr="00234F60" w:rsidRDefault="00234F60" w:rsidP="00234F60">
      <w:pPr>
        <w:jc w:val="left"/>
        <w:rPr>
          <w:rFonts w:ascii="Arial" w:eastAsia="宋体" w:hAnsi="Arial" w:cs="Arial"/>
          <w:szCs w:val="20"/>
        </w:rPr>
      </w:pPr>
    </w:p>
    <w:p w14:paraId="1F92D4BA" w14:textId="77777777" w:rsidR="00234F60" w:rsidRPr="00234F60" w:rsidRDefault="00234F60" w:rsidP="00234F60">
      <w:pPr>
        <w:jc w:val="left"/>
        <w:rPr>
          <w:rFonts w:ascii="Arial" w:eastAsia="宋体" w:hAnsi="Arial" w:cs="Arial"/>
          <w:b/>
          <w:bCs/>
          <w:szCs w:val="20"/>
        </w:rPr>
      </w:pPr>
      <w:r w:rsidRPr="00234F60">
        <w:rPr>
          <w:rFonts w:ascii="Arial" w:eastAsia="宋体" w:hAnsi="Arial" w:cs="Arial"/>
          <w:b/>
          <w:bCs/>
          <w:szCs w:val="20"/>
        </w:rPr>
        <w:t>List of Figures:</w:t>
      </w:r>
    </w:p>
    <w:p w14:paraId="5EF7B517"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hint="eastAsia"/>
          <w:szCs w:val="20"/>
        </w:rPr>
        <w:t>Supplementary Table 1. Disclosure of Preregistration Deviations</w:t>
      </w:r>
    </w:p>
    <w:p w14:paraId="5FEB252B"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szCs w:val="20"/>
        </w:rPr>
        <w:t>Supplementary Figure 1. Embedding ChatGPT within a Qualtrics Survey</w:t>
      </w:r>
    </w:p>
    <w:p w14:paraId="5AFDDF73"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szCs w:val="20"/>
        </w:rPr>
        <w:t xml:space="preserve">Supplementary Figure 2. Sample Evaluation Form (for </w:t>
      </w:r>
      <w:r w:rsidRPr="00234F60">
        <w:rPr>
          <w:rFonts w:ascii="Arial" w:eastAsia="宋体" w:hAnsi="Arial" w:cs="Arial" w:hint="eastAsia"/>
          <w:szCs w:val="20"/>
        </w:rPr>
        <w:t xml:space="preserve">Study 1 </w:t>
      </w:r>
      <w:r w:rsidRPr="00234F60">
        <w:rPr>
          <w:rFonts w:ascii="Arial" w:eastAsia="宋体" w:hAnsi="Arial" w:cs="Arial"/>
          <w:szCs w:val="20"/>
        </w:rPr>
        <w:t>Task 1 Outputs)</w:t>
      </w:r>
    </w:p>
    <w:p w14:paraId="58723025"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szCs w:val="20"/>
        </w:rPr>
        <w:t xml:space="preserve">Supplementary Figure 3. Sample Evaluation Form (for </w:t>
      </w:r>
      <w:r w:rsidRPr="00234F60">
        <w:rPr>
          <w:rFonts w:ascii="Arial" w:eastAsia="宋体" w:hAnsi="Arial" w:cs="Arial" w:hint="eastAsia"/>
          <w:szCs w:val="20"/>
        </w:rPr>
        <w:t xml:space="preserve">Study 1 </w:t>
      </w:r>
      <w:r w:rsidRPr="00234F60">
        <w:rPr>
          <w:rFonts w:ascii="Arial" w:eastAsia="宋体" w:hAnsi="Arial" w:cs="Arial"/>
          <w:szCs w:val="20"/>
        </w:rPr>
        <w:t>Task 2 Outputs)</w:t>
      </w:r>
    </w:p>
    <w:p w14:paraId="2FADCE77"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szCs w:val="20"/>
        </w:rPr>
        <w:t xml:space="preserve">Supplementary Figure </w:t>
      </w:r>
      <w:r w:rsidRPr="00234F60">
        <w:rPr>
          <w:rFonts w:ascii="Arial" w:eastAsia="宋体" w:hAnsi="Arial" w:cs="Arial" w:hint="eastAsia"/>
          <w:szCs w:val="20"/>
        </w:rPr>
        <w:t>4</w:t>
      </w:r>
      <w:r w:rsidRPr="00234F60">
        <w:rPr>
          <w:rFonts w:ascii="Arial" w:eastAsia="宋体" w:hAnsi="Arial" w:cs="Arial"/>
          <w:szCs w:val="20"/>
        </w:rPr>
        <w:t xml:space="preserve">. Sample Evaluation Form (for </w:t>
      </w:r>
      <w:r w:rsidRPr="00234F60">
        <w:rPr>
          <w:rFonts w:ascii="Arial" w:eastAsia="宋体" w:hAnsi="Arial" w:cs="Arial" w:hint="eastAsia"/>
          <w:szCs w:val="20"/>
        </w:rPr>
        <w:t xml:space="preserve">Study 2 </w:t>
      </w:r>
      <w:r w:rsidRPr="00234F60">
        <w:rPr>
          <w:rFonts w:ascii="Arial" w:eastAsia="宋体" w:hAnsi="Arial" w:cs="Arial"/>
          <w:szCs w:val="20"/>
        </w:rPr>
        <w:t xml:space="preserve">Task </w:t>
      </w:r>
      <w:r w:rsidRPr="00234F60">
        <w:rPr>
          <w:rFonts w:ascii="Arial" w:eastAsia="宋体" w:hAnsi="Arial" w:cs="Arial" w:hint="eastAsia"/>
          <w:szCs w:val="20"/>
        </w:rPr>
        <w:t>2</w:t>
      </w:r>
      <w:r w:rsidRPr="00234F60">
        <w:rPr>
          <w:rFonts w:ascii="Arial" w:eastAsia="宋体" w:hAnsi="Arial" w:cs="Arial"/>
          <w:szCs w:val="20"/>
        </w:rPr>
        <w:t xml:space="preserve"> Outputs)</w:t>
      </w:r>
    </w:p>
    <w:p w14:paraId="39D66899" w14:textId="77777777" w:rsidR="00234F60" w:rsidRPr="00234F60" w:rsidRDefault="00234F60" w:rsidP="00234F60">
      <w:pPr>
        <w:widowControl/>
        <w:numPr>
          <w:ilvl w:val="0"/>
          <w:numId w:val="3"/>
        </w:numPr>
        <w:spacing w:after="0" w:line="276" w:lineRule="auto"/>
        <w:contextualSpacing/>
        <w:jc w:val="left"/>
        <w:rPr>
          <w:rFonts w:ascii="Arial" w:eastAsia="宋体" w:hAnsi="Arial" w:cs="Arial"/>
          <w:szCs w:val="20"/>
        </w:rPr>
      </w:pPr>
      <w:r w:rsidRPr="00234F60">
        <w:rPr>
          <w:rFonts w:ascii="Arial" w:eastAsia="宋体" w:hAnsi="Arial" w:cs="Arial"/>
          <w:szCs w:val="20"/>
        </w:rPr>
        <w:t xml:space="preserve">Supplementary Figure </w:t>
      </w:r>
      <w:r w:rsidRPr="00234F60">
        <w:rPr>
          <w:rFonts w:ascii="Arial" w:eastAsia="宋体" w:hAnsi="Arial" w:cs="Arial" w:hint="eastAsia"/>
          <w:szCs w:val="20"/>
        </w:rPr>
        <w:t>5</w:t>
      </w:r>
      <w:r w:rsidRPr="00234F60">
        <w:rPr>
          <w:rFonts w:ascii="Arial" w:eastAsia="宋体" w:hAnsi="Arial" w:cs="Arial"/>
          <w:szCs w:val="20"/>
        </w:rPr>
        <w:t xml:space="preserve">. Sample Evaluation Form (for </w:t>
      </w:r>
      <w:r w:rsidRPr="00234F60">
        <w:rPr>
          <w:rFonts w:ascii="Arial" w:eastAsia="宋体" w:hAnsi="Arial" w:cs="Arial" w:hint="eastAsia"/>
          <w:szCs w:val="20"/>
        </w:rPr>
        <w:t xml:space="preserve">Study 3 </w:t>
      </w:r>
      <w:r w:rsidRPr="00234F60">
        <w:rPr>
          <w:rFonts w:ascii="Arial" w:eastAsia="宋体" w:hAnsi="Arial" w:cs="Arial"/>
          <w:szCs w:val="20"/>
        </w:rPr>
        <w:t xml:space="preserve">Task </w:t>
      </w:r>
      <w:r w:rsidRPr="00234F60">
        <w:rPr>
          <w:rFonts w:ascii="Arial" w:eastAsia="宋体" w:hAnsi="Arial" w:cs="Arial" w:hint="eastAsia"/>
          <w:szCs w:val="20"/>
        </w:rPr>
        <w:t>2</w:t>
      </w:r>
      <w:r w:rsidRPr="00234F60">
        <w:rPr>
          <w:rFonts w:ascii="Arial" w:eastAsia="宋体" w:hAnsi="Arial" w:cs="Arial"/>
          <w:szCs w:val="20"/>
        </w:rPr>
        <w:t xml:space="preserve"> Outputs)</w:t>
      </w:r>
    </w:p>
    <w:p w14:paraId="7177865A" w14:textId="77777777" w:rsidR="00234F60" w:rsidRPr="00234F60" w:rsidRDefault="00234F60" w:rsidP="00234F60">
      <w:pPr>
        <w:ind w:left="720"/>
        <w:contextualSpacing/>
        <w:rPr>
          <w:rFonts w:ascii="Arial" w:eastAsia="宋体" w:hAnsi="Arial" w:cs="Arial"/>
          <w:szCs w:val="20"/>
        </w:rPr>
      </w:pPr>
    </w:p>
    <w:p w14:paraId="116A238F" w14:textId="77777777" w:rsidR="00234F60" w:rsidRPr="00234F60" w:rsidRDefault="00234F60" w:rsidP="00234F60">
      <w:pPr>
        <w:ind w:left="720"/>
        <w:contextualSpacing/>
        <w:rPr>
          <w:rFonts w:ascii="Arial" w:eastAsia="宋体" w:hAnsi="Arial" w:cs="Arial"/>
          <w:sz w:val="24"/>
          <w:szCs w:val="24"/>
        </w:rPr>
      </w:pPr>
    </w:p>
    <w:p w14:paraId="2FE2D7FA" w14:textId="77777777" w:rsidR="00234F60" w:rsidRPr="00234F60" w:rsidRDefault="00234F60" w:rsidP="00234F60">
      <w:pPr>
        <w:jc w:val="left"/>
        <w:rPr>
          <w:rFonts w:ascii="Arial" w:eastAsia="宋体" w:hAnsi="Arial" w:cs="Arial"/>
          <w:b/>
          <w:bCs/>
          <w:szCs w:val="20"/>
        </w:rPr>
        <w:sectPr w:rsidR="00234F60" w:rsidRPr="00234F60" w:rsidSect="00234F60">
          <w:footerReference w:type="default" r:id="rId6"/>
          <w:pgSz w:w="11906" w:h="16838"/>
          <w:pgMar w:top="1440" w:right="1440" w:bottom="1440" w:left="1440" w:header="720" w:footer="720" w:gutter="0"/>
          <w:pgNumType w:start="1"/>
          <w:cols w:space="720"/>
        </w:sectPr>
      </w:pPr>
    </w:p>
    <w:tbl>
      <w:tblPr>
        <w:tblW w:w="14580"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
        <w:gridCol w:w="1044"/>
        <w:gridCol w:w="1791"/>
        <w:gridCol w:w="3454"/>
        <w:gridCol w:w="4253"/>
        <w:gridCol w:w="3723"/>
      </w:tblGrid>
      <w:tr w:rsidR="00234F60" w:rsidRPr="00234F60" w14:paraId="6D65781C" w14:textId="77777777" w:rsidTr="00BB685A">
        <w:trPr>
          <w:trHeight w:val="20"/>
        </w:trPr>
        <w:tc>
          <w:tcPr>
            <w:tcW w:w="14580" w:type="dxa"/>
            <w:gridSpan w:val="6"/>
            <w:tcBorders>
              <w:top w:val="nil"/>
              <w:left w:val="nil"/>
              <w:bottom w:val="nil"/>
              <w:right w:val="nil"/>
            </w:tcBorders>
            <w:shd w:val="clear" w:color="auto" w:fill="auto"/>
            <w:tcMar>
              <w:top w:w="100" w:type="dxa"/>
              <w:left w:w="100" w:type="dxa"/>
              <w:bottom w:w="100" w:type="dxa"/>
              <w:right w:w="100" w:type="dxa"/>
            </w:tcMar>
          </w:tcPr>
          <w:p w14:paraId="2C84600C" w14:textId="77777777" w:rsidR="00234F60" w:rsidRPr="00234F60" w:rsidRDefault="00234F60" w:rsidP="00234F60">
            <w:pPr>
              <w:widowControl/>
              <w:pBdr>
                <w:top w:val="nil"/>
                <w:left w:val="nil"/>
                <w:bottom w:val="nil"/>
                <w:right w:val="nil"/>
                <w:between w:val="nil"/>
              </w:pBdr>
              <w:spacing w:after="0" w:line="240" w:lineRule="auto"/>
              <w:jc w:val="left"/>
              <w:rPr>
                <w:rFonts w:ascii="Arial" w:eastAsia="宋体" w:hAnsi="Arial" w:cs="Arial"/>
                <w:b/>
                <w:bCs/>
                <w:color w:val="000000"/>
                <w:kern w:val="0"/>
                <w:lang w:val="en"/>
                <w14:ligatures w14:val="none"/>
              </w:rPr>
            </w:pPr>
            <w:r w:rsidRPr="00234F60">
              <w:rPr>
                <w:rFonts w:ascii="Arial" w:eastAsia="宋体" w:hAnsi="Arial" w:cs="Arial" w:hint="eastAsia"/>
                <w:b/>
                <w:bCs/>
              </w:rPr>
              <w:lastRenderedPageBreak/>
              <w:t>Supplementary Table 1. Disclosure of Preregistration Deviations</w:t>
            </w:r>
          </w:p>
        </w:tc>
      </w:tr>
      <w:tr w:rsidR="00234F60" w:rsidRPr="00234F60" w14:paraId="51F5CE9F" w14:textId="77777777" w:rsidTr="00BB685A">
        <w:trPr>
          <w:trHeight w:val="440"/>
        </w:trPr>
        <w:tc>
          <w:tcPr>
            <w:tcW w:w="14580" w:type="dxa"/>
            <w:gridSpan w:val="6"/>
            <w:tcBorders>
              <w:top w:val="single" w:sz="18" w:space="0" w:color="000000"/>
              <w:left w:val="nil"/>
              <w:right w:val="nil"/>
            </w:tcBorders>
            <w:shd w:val="clear" w:color="auto" w:fill="auto"/>
            <w:tcMar>
              <w:top w:w="100" w:type="dxa"/>
              <w:left w:w="100" w:type="dxa"/>
              <w:bottom w:w="100" w:type="dxa"/>
              <w:right w:w="100" w:type="dxa"/>
            </w:tcMar>
            <w:vAlign w:val="center"/>
          </w:tcPr>
          <w:p w14:paraId="68BDBC83" w14:textId="77777777" w:rsidR="00234F60" w:rsidRPr="00234F60" w:rsidRDefault="00234F60" w:rsidP="00234F60">
            <w:pPr>
              <w:spacing w:after="0" w:line="240" w:lineRule="auto"/>
              <w:rPr>
                <w:rFonts w:ascii="Arial" w:eastAsia="宋体" w:hAnsi="Arial" w:cs="Arial"/>
                <w:b/>
                <w:kern w:val="0"/>
                <w:lang w:val="en"/>
                <w14:ligatures w14:val="none"/>
              </w:rPr>
            </w:pPr>
            <w:r w:rsidRPr="00234F60">
              <w:rPr>
                <w:rFonts w:ascii="Arial" w:eastAsia="宋体" w:hAnsi="Arial" w:cs="Arial"/>
                <w:b/>
                <w:kern w:val="0"/>
                <w:lang w:val="en"/>
                <w14:ligatures w14:val="none"/>
              </w:rPr>
              <w:t>Deviations</w:t>
            </w:r>
          </w:p>
        </w:tc>
      </w:tr>
      <w:tr w:rsidR="00234F60" w:rsidRPr="00234F60" w14:paraId="4ACAF0D1" w14:textId="77777777" w:rsidTr="00BB685A">
        <w:trPr>
          <w:trHeight w:val="20"/>
        </w:trPr>
        <w:tc>
          <w:tcPr>
            <w:tcW w:w="315" w:type="dxa"/>
            <w:tcBorders>
              <w:left w:val="nil"/>
            </w:tcBorders>
            <w:shd w:val="clear" w:color="auto" w:fill="auto"/>
            <w:tcMar>
              <w:top w:w="100" w:type="dxa"/>
              <w:left w:w="100" w:type="dxa"/>
              <w:bottom w:w="100" w:type="dxa"/>
              <w:right w:w="100" w:type="dxa"/>
            </w:tcMar>
          </w:tcPr>
          <w:p w14:paraId="5E048C37" w14:textId="77777777" w:rsidR="00234F60" w:rsidRPr="00234F60" w:rsidRDefault="00234F60" w:rsidP="00234F60">
            <w:pPr>
              <w:spacing w:after="0" w:line="240" w:lineRule="auto"/>
              <w:jc w:val="center"/>
              <w:rPr>
                <w:rFonts w:ascii="Arial" w:eastAsia="宋体" w:hAnsi="Arial" w:cs="Arial"/>
                <w:kern w:val="0"/>
                <w:lang w:val="en"/>
                <w14:ligatures w14:val="none"/>
              </w:rPr>
            </w:pPr>
            <w:r w:rsidRPr="00234F60">
              <w:rPr>
                <w:rFonts w:ascii="Arial" w:eastAsia="宋体" w:hAnsi="Arial" w:cs="Arial"/>
                <w:kern w:val="0"/>
                <w:lang w:val="en"/>
                <w14:ligatures w14:val="none"/>
              </w:rPr>
              <w:t>#</w:t>
            </w:r>
          </w:p>
        </w:tc>
        <w:tc>
          <w:tcPr>
            <w:tcW w:w="2835" w:type="dxa"/>
            <w:gridSpan w:val="2"/>
            <w:shd w:val="clear" w:color="auto" w:fill="auto"/>
            <w:tcMar>
              <w:top w:w="100" w:type="dxa"/>
              <w:left w:w="100" w:type="dxa"/>
              <w:bottom w:w="100" w:type="dxa"/>
              <w:right w:w="100" w:type="dxa"/>
            </w:tcMar>
          </w:tcPr>
          <w:p w14:paraId="6F840DBE" w14:textId="77777777" w:rsidR="00234F60" w:rsidRPr="00234F60" w:rsidRDefault="00234F60" w:rsidP="00234F60">
            <w:pPr>
              <w:spacing w:after="0" w:line="240" w:lineRule="auto"/>
              <w:jc w:val="center"/>
              <w:rPr>
                <w:rFonts w:ascii="Arial" w:eastAsia="宋体" w:hAnsi="Arial" w:cs="Arial"/>
                <w:kern w:val="0"/>
                <w:lang w:val="en"/>
                <w14:ligatures w14:val="none"/>
              </w:rPr>
            </w:pPr>
            <w:r w:rsidRPr="00234F60">
              <w:rPr>
                <w:rFonts w:ascii="Arial" w:eastAsia="宋体" w:hAnsi="Arial" w:cs="Arial"/>
                <w:kern w:val="0"/>
                <w:lang w:val="en"/>
                <w14:ligatures w14:val="none"/>
              </w:rPr>
              <w:t>Details</w:t>
            </w:r>
          </w:p>
        </w:tc>
        <w:tc>
          <w:tcPr>
            <w:tcW w:w="3454" w:type="dxa"/>
          </w:tcPr>
          <w:p w14:paraId="38102437" w14:textId="77777777" w:rsidR="00234F60" w:rsidRPr="00234F60" w:rsidRDefault="00234F60" w:rsidP="00234F60">
            <w:pPr>
              <w:spacing w:after="0" w:line="240" w:lineRule="auto"/>
              <w:jc w:val="center"/>
              <w:rPr>
                <w:rFonts w:ascii="Arial" w:eastAsia="宋体" w:hAnsi="Arial" w:cs="Arial"/>
                <w:kern w:val="0"/>
                <w:lang w:val="en"/>
                <w14:ligatures w14:val="none"/>
              </w:rPr>
            </w:pPr>
            <w:r w:rsidRPr="00234F60">
              <w:rPr>
                <w:rFonts w:ascii="Arial" w:eastAsia="宋体" w:hAnsi="Arial" w:cs="Arial"/>
                <w:kern w:val="0"/>
                <w:lang w:val="en"/>
                <w14:ligatures w14:val="none"/>
              </w:rPr>
              <w:t xml:space="preserve">Original Wording </w:t>
            </w:r>
          </w:p>
        </w:tc>
        <w:tc>
          <w:tcPr>
            <w:tcW w:w="4253" w:type="dxa"/>
          </w:tcPr>
          <w:p w14:paraId="5E4A24ED" w14:textId="77777777" w:rsidR="00234F60" w:rsidRPr="00234F60" w:rsidRDefault="00234F60" w:rsidP="00234F60">
            <w:pPr>
              <w:spacing w:after="0" w:line="240" w:lineRule="auto"/>
              <w:jc w:val="center"/>
              <w:rPr>
                <w:rFonts w:ascii="Arial" w:eastAsia="宋体" w:hAnsi="Arial" w:cs="Arial"/>
                <w:kern w:val="0"/>
                <w:lang w:val="en"/>
                <w14:ligatures w14:val="none"/>
              </w:rPr>
            </w:pPr>
            <w:r w:rsidRPr="00234F60">
              <w:rPr>
                <w:rFonts w:ascii="Arial" w:eastAsia="宋体" w:hAnsi="Arial" w:cs="Arial"/>
                <w:kern w:val="0"/>
                <w:lang w:val="en"/>
                <w14:ligatures w14:val="none"/>
              </w:rPr>
              <w:t xml:space="preserve">Deviation Description </w:t>
            </w:r>
          </w:p>
        </w:tc>
        <w:tc>
          <w:tcPr>
            <w:tcW w:w="3723" w:type="dxa"/>
            <w:tcBorders>
              <w:right w:val="nil"/>
            </w:tcBorders>
            <w:shd w:val="clear" w:color="auto" w:fill="auto"/>
            <w:tcMar>
              <w:top w:w="100" w:type="dxa"/>
              <w:left w:w="100" w:type="dxa"/>
              <w:bottom w:w="100" w:type="dxa"/>
              <w:right w:w="100" w:type="dxa"/>
            </w:tcMar>
          </w:tcPr>
          <w:p w14:paraId="5D7774DB" w14:textId="77777777" w:rsidR="00234F60" w:rsidRPr="00234F60" w:rsidRDefault="00234F60" w:rsidP="00234F60">
            <w:pPr>
              <w:spacing w:after="0" w:line="240" w:lineRule="auto"/>
              <w:jc w:val="center"/>
              <w:rPr>
                <w:rFonts w:ascii="Arial" w:eastAsia="宋体" w:hAnsi="Arial" w:cs="Arial"/>
                <w:kern w:val="0"/>
                <w:lang w:val="en"/>
                <w14:ligatures w14:val="none"/>
              </w:rPr>
            </w:pPr>
            <w:r w:rsidRPr="00234F60">
              <w:rPr>
                <w:rFonts w:ascii="Arial" w:eastAsia="宋体" w:hAnsi="Arial" w:cs="Arial"/>
                <w:kern w:val="0"/>
                <w:lang w:val="en"/>
                <w14:ligatures w14:val="none"/>
              </w:rPr>
              <w:t>Reader Impact</w:t>
            </w:r>
          </w:p>
        </w:tc>
      </w:tr>
      <w:tr w:rsidR="00234F60" w:rsidRPr="00234F60" w14:paraId="60E2EE7A" w14:textId="77777777" w:rsidTr="00BB685A">
        <w:trPr>
          <w:trHeight w:val="20"/>
        </w:trPr>
        <w:tc>
          <w:tcPr>
            <w:tcW w:w="315" w:type="dxa"/>
            <w:vMerge w:val="restart"/>
            <w:tcBorders>
              <w:left w:val="nil"/>
            </w:tcBorders>
            <w:shd w:val="clear" w:color="auto" w:fill="auto"/>
            <w:tcMar>
              <w:top w:w="100" w:type="dxa"/>
              <w:left w:w="100" w:type="dxa"/>
              <w:bottom w:w="100" w:type="dxa"/>
              <w:right w:w="100" w:type="dxa"/>
            </w:tcMar>
          </w:tcPr>
          <w:p w14:paraId="6685540C"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1</w:t>
            </w:r>
          </w:p>
        </w:tc>
        <w:tc>
          <w:tcPr>
            <w:tcW w:w="1044" w:type="dxa"/>
            <w:shd w:val="clear" w:color="auto" w:fill="auto"/>
            <w:tcMar>
              <w:top w:w="100" w:type="dxa"/>
              <w:left w:w="100" w:type="dxa"/>
              <w:bottom w:w="100" w:type="dxa"/>
              <w:right w:w="100" w:type="dxa"/>
            </w:tcMar>
          </w:tcPr>
          <w:p w14:paraId="23F62D33"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Type</w:t>
            </w:r>
          </w:p>
        </w:tc>
        <w:tc>
          <w:tcPr>
            <w:tcW w:w="1791" w:type="dxa"/>
            <w:shd w:val="clear" w:color="auto" w:fill="auto"/>
            <w:tcMar>
              <w:top w:w="100" w:type="dxa"/>
              <w:left w:w="100" w:type="dxa"/>
              <w:bottom w:w="100" w:type="dxa"/>
              <w:right w:w="100" w:type="dxa"/>
            </w:tcMar>
          </w:tcPr>
          <w:p w14:paraId="3630B307"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ype"/>
                <w:id w:val="1476070608"/>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Pr="00234F60">
                  <w:rPr>
                    <w:rFonts w:ascii="Arial" w:eastAsia="宋体" w:hAnsi="Arial" w:cs="Arial"/>
                    <w:kern w:val="0"/>
                    <w:lang w:val="en"/>
                    <w14:ligatures w14:val="none"/>
                  </w:rPr>
                  <w:t>Analysis</w:t>
                </w:r>
              </w:sdtContent>
            </w:sdt>
          </w:p>
        </w:tc>
        <w:tc>
          <w:tcPr>
            <w:tcW w:w="3454" w:type="dxa"/>
            <w:vMerge w:val="restart"/>
          </w:tcPr>
          <w:p w14:paraId="0550E18C"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 xml:space="preserve">Under the question </w:t>
            </w:r>
            <w:r w:rsidRPr="00234F60">
              <w:rPr>
                <w:rFonts w:ascii="Arial" w:eastAsia="宋体" w:hAnsi="Arial" w:cs="Arial"/>
                <w:kern w:val="0"/>
                <w:lang w:val="en"/>
                <w14:ligatures w14:val="none"/>
              </w:rPr>
              <w:t>“Describe the key dependent variable(s) specifying how they will be measured.”</w:t>
            </w:r>
            <w:r w:rsidRPr="00234F60">
              <w:rPr>
                <w:rFonts w:ascii="Arial" w:eastAsia="宋体" w:hAnsi="Arial" w:cs="Arial" w:hint="eastAsia"/>
                <w:kern w:val="0"/>
                <w:lang w:val="en"/>
                <w14:ligatures w14:val="none"/>
              </w:rPr>
              <w:t xml:space="preserve"> across the preregistrations of the three studies, we reported perceived sense of control, boredom, and intrinsic motivation as mediators and task engagement and task performance as dependent variables. </w:t>
            </w:r>
          </w:p>
        </w:tc>
        <w:tc>
          <w:tcPr>
            <w:tcW w:w="4253" w:type="dxa"/>
            <w:vMerge w:val="restart"/>
          </w:tcPr>
          <w:p w14:paraId="0AE96EB6"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 xml:space="preserve">In analyzing our data from the three studies, we first tested what we originally </w:t>
            </w:r>
            <w:r w:rsidRPr="00234F60">
              <w:rPr>
                <w:rFonts w:ascii="Arial" w:eastAsia="宋体" w:hAnsi="Arial" w:cs="Arial"/>
                <w:kern w:val="0"/>
                <w:lang w:val="en"/>
                <w14:ligatures w14:val="none"/>
              </w:rPr>
              <w:t>proposed,</w:t>
            </w:r>
            <w:r w:rsidRPr="00234F60">
              <w:rPr>
                <w:rFonts w:ascii="Arial" w:eastAsia="宋体" w:hAnsi="Arial" w:cs="Arial" w:hint="eastAsia"/>
                <w:kern w:val="0"/>
                <w:lang w:val="en"/>
                <w14:ligatures w14:val="none"/>
              </w:rPr>
              <w:t xml:space="preserve"> and our data generally offered support for our original idea, that is, human-GenAI collaboration would influence individuals</w:t>
            </w:r>
            <w:r w:rsidRPr="00234F60">
              <w:rPr>
                <w:rFonts w:ascii="Arial" w:eastAsia="宋体" w:hAnsi="Arial" w:cs="Arial"/>
                <w:kern w:val="0"/>
                <w:lang w:val="en"/>
                <w14:ligatures w14:val="none"/>
              </w:rPr>
              <w:t>’</w:t>
            </w:r>
            <w:r w:rsidRPr="00234F60">
              <w:rPr>
                <w:rFonts w:ascii="Arial" w:eastAsia="宋体" w:hAnsi="Arial" w:cs="Arial" w:hint="eastAsia"/>
                <w:kern w:val="0"/>
                <w:lang w:val="en"/>
                <w14:ligatures w14:val="none"/>
              </w:rPr>
              <w:t xml:space="preserve"> psychological experiences, which would further influence their task engagement and task performance. </w:t>
            </w:r>
            <w:r w:rsidRPr="00234F60">
              <w:rPr>
                <w:rFonts w:ascii="Arial" w:eastAsia="宋体" w:hAnsi="Arial" w:cs="Arial"/>
                <w:kern w:val="0"/>
                <w:lang w:val="en"/>
                <w14:ligatures w14:val="none"/>
              </w:rPr>
              <w:t xml:space="preserve">However, the primary insights derived from our data analysis revealed a significant impact of the collaboration on specific psychological experiences, which emerged as central to our research narrative. This refocusing was driven by the compelling nature of the data rather than a preconceived intention. </w:t>
            </w:r>
          </w:p>
        </w:tc>
        <w:tc>
          <w:tcPr>
            <w:tcW w:w="3723" w:type="dxa"/>
            <w:vMerge w:val="restart"/>
            <w:tcBorders>
              <w:right w:val="nil"/>
            </w:tcBorders>
            <w:shd w:val="clear" w:color="auto" w:fill="auto"/>
            <w:tcMar>
              <w:top w:w="100" w:type="dxa"/>
              <w:left w:w="100" w:type="dxa"/>
              <w:bottom w:w="100" w:type="dxa"/>
              <w:right w:w="100" w:type="dxa"/>
            </w:tcMar>
          </w:tcPr>
          <w:p w14:paraId="3848EE18"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Originally, our study was designed to investigate these psychological experiences—specifically, perceived sense of control, intrinsic motivation, and boredom—as mediators in the relationship between human-GenAI interaction and task-related outcomes. While we initially aimed to explore these as mediators, our analysis uncovered such strong direct impacts of GenAI collaboration on these psychological states that we shifted our narrative to emphasize these primary effects.</w:t>
            </w:r>
            <w:r w:rsidRPr="00234F60">
              <w:rPr>
                <w:rFonts w:ascii="Arial" w:eastAsia="宋体" w:hAnsi="Arial" w:cs="Arial" w:hint="eastAsia"/>
                <w:kern w:val="0"/>
                <w:lang w:val="en"/>
                <w14:ligatures w14:val="none"/>
              </w:rPr>
              <w:t xml:space="preserve"> </w:t>
            </w:r>
            <w:r w:rsidRPr="00234F60">
              <w:rPr>
                <w:rFonts w:ascii="Arial" w:eastAsia="宋体" w:hAnsi="Arial" w:cs="Arial"/>
                <w:kern w:val="0"/>
                <w:lang w:val="en"/>
                <w14:ligatures w14:val="none"/>
              </w:rPr>
              <w:t xml:space="preserve">This refocused narrative does not neglect the originally intended mediation analysis but enhances it by highlighting the profound and direct influence of human-GenAI collaboration on individual psychological states. </w:t>
            </w:r>
          </w:p>
        </w:tc>
      </w:tr>
      <w:tr w:rsidR="00234F60" w:rsidRPr="00234F60" w14:paraId="2AA7BF10" w14:textId="77777777" w:rsidTr="00BB685A">
        <w:trPr>
          <w:trHeight w:val="20"/>
        </w:trPr>
        <w:tc>
          <w:tcPr>
            <w:tcW w:w="315" w:type="dxa"/>
            <w:vMerge/>
            <w:tcBorders>
              <w:left w:val="nil"/>
            </w:tcBorders>
            <w:shd w:val="clear" w:color="auto" w:fill="auto"/>
            <w:tcMar>
              <w:top w:w="100" w:type="dxa"/>
              <w:left w:w="100" w:type="dxa"/>
              <w:bottom w:w="100" w:type="dxa"/>
              <w:right w:w="100" w:type="dxa"/>
            </w:tcMar>
          </w:tcPr>
          <w:p w14:paraId="7CE39D67"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i/>
                <w:kern w:val="0"/>
                <w:lang w:val="en"/>
                <w14:ligatures w14:val="none"/>
              </w:rPr>
            </w:pPr>
          </w:p>
        </w:tc>
        <w:tc>
          <w:tcPr>
            <w:tcW w:w="1044" w:type="dxa"/>
            <w:shd w:val="clear" w:color="auto" w:fill="auto"/>
            <w:tcMar>
              <w:top w:w="100" w:type="dxa"/>
              <w:left w:w="100" w:type="dxa"/>
              <w:bottom w:w="100" w:type="dxa"/>
              <w:right w:w="100" w:type="dxa"/>
            </w:tcMar>
          </w:tcPr>
          <w:p w14:paraId="431A6584"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Reason</w:t>
            </w:r>
          </w:p>
        </w:tc>
        <w:tc>
          <w:tcPr>
            <w:tcW w:w="1791" w:type="dxa"/>
            <w:shd w:val="clear" w:color="auto" w:fill="auto"/>
            <w:tcMar>
              <w:top w:w="100" w:type="dxa"/>
              <w:left w:w="100" w:type="dxa"/>
              <w:bottom w:w="100" w:type="dxa"/>
              <w:right w:w="100" w:type="dxa"/>
            </w:tcMar>
          </w:tcPr>
          <w:p w14:paraId="66B53E69"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Reason"/>
                <w:id w:val="-1467819147"/>
                <w:dropDownList>
                  <w:listItem w:displayText="Select One" w:value="Select One"/>
                  <w:listItem w:displayText="Typo/Error" w:value="Typo/Error"/>
                  <w:listItem w:displayText="Plan not possible" w:value="Plan not possible"/>
                  <w:listItem w:displayText="New knowledge" w:value="New knowledge"/>
                  <w:listItem w:displayText="Peer review" w:value="Peer review"/>
                  <w:listItem w:displayText="Miscommunication" w:value="Miscommunication"/>
                  <w:listItem w:displayText="Other (Please Explain)" w:value="Other (Please Explain)"/>
                </w:dropDownList>
              </w:sdtPr>
              <w:sdtContent>
                <w:r w:rsidRPr="00234F60">
                  <w:rPr>
                    <w:rFonts w:ascii="Arial" w:eastAsia="宋体" w:hAnsi="Arial" w:cs="Arial"/>
                    <w:kern w:val="0"/>
                    <w:lang w:val="en"/>
                    <w14:ligatures w14:val="none"/>
                  </w:rPr>
                  <w:t>Other (Please Explain)</w:t>
                </w:r>
              </w:sdtContent>
            </w:sdt>
          </w:p>
        </w:tc>
        <w:tc>
          <w:tcPr>
            <w:tcW w:w="3454" w:type="dxa"/>
            <w:vMerge/>
          </w:tcPr>
          <w:p w14:paraId="52282A98"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Pr>
          <w:p w14:paraId="69F6EAFF"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right w:val="nil"/>
            </w:tcBorders>
            <w:shd w:val="clear" w:color="auto" w:fill="auto"/>
            <w:tcMar>
              <w:top w:w="100" w:type="dxa"/>
              <w:left w:w="100" w:type="dxa"/>
              <w:bottom w:w="100" w:type="dxa"/>
              <w:right w:w="100" w:type="dxa"/>
            </w:tcMar>
          </w:tcPr>
          <w:p w14:paraId="40A23A6A"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r w:rsidR="00234F60" w:rsidRPr="00234F60" w14:paraId="3EE1BA55" w14:textId="77777777" w:rsidTr="00BB685A">
        <w:trPr>
          <w:trHeight w:val="20"/>
        </w:trPr>
        <w:tc>
          <w:tcPr>
            <w:tcW w:w="315" w:type="dxa"/>
            <w:vMerge/>
            <w:tcBorders>
              <w:left w:val="nil"/>
            </w:tcBorders>
            <w:shd w:val="clear" w:color="auto" w:fill="auto"/>
            <w:tcMar>
              <w:top w:w="100" w:type="dxa"/>
              <w:left w:w="100" w:type="dxa"/>
              <w:bottom w:w="100" w:type="dxa"/>
              <w:right w:w="100" w:type="dxa"/>
            </w:tcMar>
          </w:tcPr>
          <w:p w14:paraId="00599864"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1044" w:type="dxa"/>
            <w:shd w:val="clear" w:color="auto" w:fill="auto"/>
            <w:tcMar>
              <w:top w:w="100" w:type="dxa"/>
              <w:left w:w="100" w:type="dxa"/>
              <w:bottom w:w="100" w:type="dxa"/>
              <w:right w:w="100" w:type="dxa"/>
            </w:tcMar>
          </w:tcPr>
          <w:p w14:paraId="0837E410"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Timing</w:t>
            </w:r>
          </w:p>
        </w:tc>
        <w:tc>
          <w:tcPr>
            <w:tcW w:w="1791" w:type="dxa"/>
            <w:shd w:val="clear" w:color="auto" w:fill="auto"/>
            <w:tcMar>
              <w:top w:w="100" w:type="dxa"/>
              <w:left w:w="100" w:type="dxa"/>
              <w:bottom w:w="100" w:type="dxa"/>
              <w:right w:w="100" w:type="dxa"/>
            </w:tcMar>
          </w:tcPr>
          <w:p w14:paraId="6334E1F9"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iming"/>
                <w:id w:val="-1651574514"/>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Pr="00234F60">
                  <w:rPr>
                    <w:rFonts w:ascii="Arial" w:eastAsia="宋体" w:hAnsi="Arial" w:cs="Arial"/>
                    <w:kern w:val="0"/>
                    <w:lang w:val="en"/>
                    <w14:ligatures w14:val="none"/>
                  </w:rPr>
                  <w:t>After data access</w:t>
                </w:r>
              </w:sdtContent>
            </w:sdt>
          </w:p>
        </w:tc>
        <w:tc>
          <w:tcPr>
            <w:tcW w:w="3454" w:type="dxa"/>
            <w:vMerge/>
          </w:tcPr>
          <w:p w14:paraId="7ECE0375"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Pr>
          <w:p w14:paraId="406793A5"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right w:val="nil"/>
            </w:tcBorders>
            <w:shd w:val="clear" w:color="auto" w:fill="auto"/>
            <w:tcMar>
              <w:top w:w="100" w:type="dxa"/>
              <w:left w:w="100" w:type="dxa"/>
              <w:bottom w:w="100" w:type="dxa"/>
              <w:right w:w="100" w:type="dxa"/>
            </w:tcMar>
          </w:tcPr>
          <w:p w14:paraId="6097E965"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r w:rsidR="00234F60" w:rsidRPr="00234F60" w14:paraId="4E0987E5" w14:textId="77777777" w:rsidTr="00BB685A">
        <w:trPr>
          <w:trHeight w:val="20"/>
        </w:trPr>
        <w:tc>
          <w:tcPr>
            <w:tcW w:w="315" w:type="dxa"/>
            <w:vMerge w:val="restart"/>
            <w:tcBorders>
              <w:left w:val="nil"/>
            </w:tcBorders>
            <w:shd w:val="clear" w:color="auto" w:fill="auto"/>
            <w:tcMar>
              <w:top w:w="100" w:type="dxa"/>
              <w:left w:w="100" w:type="dxa"/>
              <w:bottom w:w="100" w:type="dxa"/>
              <w:right w:w="100" w:type="dxa"/>
            </w:tcMar>
          </w:tcPr>
          <w:p w14:paraId="74B62545"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2</w:t>
            </w:r>
          </w:p>
        </w:tc>
        <w:tc>
          <w:tcPr>
            <w:tcW w:w="1044" w:type="dxa"/>
            <w:shd w:val="clear" w:color="auto" w:fill="auto"/>
            <w:tcMar>
              <w:top w:w="100" w:type="dxa"/>
              <w:left w:w="100" w:type="dxa"/>
              <w:bottom w:w="100" w:type="dxa"/>
              <w:right w:w="100" w:type="dxa"/>
            </w:tcMar>
          </w:tcPr>
          <w:p w14:paraId="0AC0B278"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Type</w:t>
            </w:r>
          </w:p>
        </w:tc>
        <w:tc>
          <w:tcPr>
            <w:tcW w:w="1791" w:type="dxa"/>
            <w:shd w:val="clear" w:color="auto" w:fill="auto"/>
            <w:tcMar>
              <w:top w:w="100" w:type="dxa"/>
              <w:left w:w="100" w:type="dxa"/>
              <w:bottom w:w="100" w:type="dxa"/>
              <w:right w:w="100" w:type="dxa"/>
            </w:tcMar>
          </w:tcPr>
          <w:p w14:paraId="1D8B5660"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ype"/>
                <w:id w:val="-1927674859"/>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Pr="00234F60">
                  <w:rPr>
                    <w:rFonts w:ascii="Arial" w:eastAsia="宋体" w:hAnsi="Arial" w:cs="Arial"/>
                    <w:kern w:val="0"/>
                    <w:lang w:val="en"/>
                    <w14:ligatures w14:val="none"/>
                  </w:rPr>
                  <w:t>Covariates</w:t>
                </w:r>
              </w:sdtContent>
            </w:sdt>
          </w:p>
        </w:tc>
        <w:tc>
          <w:tcPr>
            <w:tcW w:w="3454" w:type="dxa"/>
            <w:vMerge w:val="restart"/>
          </w:tcPr>
          <w:p w14:paraId="057D5DDF"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 xml:space="preserve">Under the question </w:t>
            </w:r>
            <w:r w:rsidRPr="00234F60">
              <w:rPr>
                <w:rFonts w:ascii="Arial" w:eastAsia="宋体" w:hAnsi="Arial" w:cs="Arial"/>
                <w:kern w:val="0"/>
                <w:lang w:val="en"/>
                <w14:ligatures w14:val="none"/>
              </w:rPr>
              <w:t xml:space="preserve">“Anything else you would like to pre-register? (e.g., secondary </w:t>
            </w:r>
            <w:r w:rsidRPr="00234F60">
              <w:rPr>
                <w:rFonts w:ascii="Arial" w:eastAsia="宋体" w:hAnsi="Arial" w:cs="Arial"/>
                <w:kern w:val="0"/>
                <w:lang w:val="en"/>
                <w14:ligatures w14:val="none"/>
              </w:rPr>
              <w:lastRenderedPageBreak/>
              <w:t>analyses, variables collected for exploratory purposes, unusual analyses planned?)”</w:t>
            </w:r>
            <w:r w:rsidRPr="00234F60">
              <w:rPr>
                <w:rFonts w:ascii="Arial" w:eastAsia="宋体" w:hAnsi="Arial" w:cs="Arial" w:hint="eastAsia"/>
                <w:kern w:val="0"/>
                <w:lang w:val="en"/>
                <w14:ligatures w14:val="none"/>
              </w:rPr>
              <w:t xml:space="preserve"> across the preregistrations of the three studies, we wrote that </w:t>
            </w:r>
            <w:r w:rsidRPr="00234F60">
              <w:rPr>
                <w:rFonts w:ascii="Arial" w:eastAsia="宋体" w:hAnsi="Arial" w:cs="Arial"/>
                <w:kern w:val="0"/>
                <w:lang w:val="en"/>
                <w14:ligatures w14:val="none"/>
              </w:rPr>
              <w:t>“We will measure and control task load using two items (Reid &amp; Nygren, 1988) after each task, respectively.”</w:t>
            </w:r>
          </w:p>
        </w:tc>
        <w:tc>
          <w:tcPr>
            <w:tcW w:w="4253" w:type="dxa"/>
            <w:vMerge w:val="restart"/>
          </w:tcPr>
          <w:p w14:paraId="3586E1F2"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lastRenderedPageBreak/>
              <w:t xml:space="preserve">Instead of using the two items </w:t>
            </w:r>
            <w:r w:rsidRPr="00234F60">
              <w:rPr>
                <w:rFonts w:ascii="Arial" w:eastAsia="宋体" w:hAnsi="Arial" w:cs="Arial" w:hint="eastAsia"/>
                <w:kern w:val="0"/>
                <w:lang w:val="en"/>
                <w14:ligatures w14:val="none"/>
              </w:rPr>
              <w:t xml:space="preserve">adapted </w:t>
            </w:r>
            <w:r w:rsidRPr="00234F60">
              <w:rPr>
                <w:rFonts w:ascii="Arial" w:eastAsia="宋体" w:hAnsi="Arial" w:cs="Arial"/>
                <w:kern w:val="0"/>
                <w:lang w:val="en"/>
                <w14:ligatures w14:val="none"/>
              </w:rPr>
              <w:t xml:space="preserve">from Reid &amp; Nygren (1988), we </w:t>
            </w:r>
            <w:r w:rsidRPr="00234F60">
              <w:rPr>
                <w:rFonts w:ascii="Arial" w:eastAsia="宋体" w:hAnsi="Arial" w:cs="Arial" w:hint="eastAsia"/>
                <w:kern w:val="0"/>
                <w:lang w:val="en"/>
                <w14:ligatures w14:val="none"/>
              </w:rPr>
              <w:t>opted for</w:t>
            </w:r>
            <w:r w:rsidRPr="00234F60">
              <w:rPr>
                <w:rFonts w:ascii="Arial" w:eastAsia="宋体" w:hAnsi="Arial" w:cs="Arial"/>
                <w:kern w:val="0"/>
                <w:lang w:val="en"/>
                <w14:ligatures w14:val="none"/>
              </w:rPr>
              <w:t xml:space="preserve"> a single item: “How did the cognitive load </w:t>
            </w:r>
            <w:r w:rsidRPr="00234F60">
              <w:rPr>
                <w:rFonts w:ascii="Arial" w:eastAsia="宋体" w:hAnsi="Arial" w:cs="Arial"/>
                <w:kern w:val="0"/>
                <w:lang w:val="en"/>
                <w14:ligatures w14:val="none"/>
              </w:rPr>
              <w:lastRenderedPageBreak/>
              <w:t>of the task feel to you?”</w:t>
            </w:r>
            <w:r w:rsidRPr="00234F60">
              <w:rPr>
                <w:rFonts w:ascii="Arial" w:eastAsia="宋体" w:hAnsi="Arial" w:cs="Arial" w:hint="eastAsia"/>
                <w:kern w:val="0"/>
                <w:lang w:val="en"/>
                <w14:ligatures w14:val="none"/>
              </w:rPr>
              <w:t xml:space="preserve"> This overarching item assessed participants</w:t>
            </w:r>
            <w:r w:rsidRPr="00234F60">
              <w:rPr>
                <w:rFonts w:ascii="Arial" w:eastAsia="宋体" w:hAnsi="Arial" w:cs="Arial"/>
                <w:kern w:val="0"/>
                <w:lang w:val="en"/>
                <w14:ligatures w14:val="none"/>
              </w:rPr>
              <w:t>’</w:t>
            </w:r>
            <w:r w:rsidRPr="00234F60">
              <w:rPr>
                <w:rFonts w:ascii="Arial" w:eastAsia="宋体" w:hAnsi="Arial" w:cs="Arial" w:hint="eastAsia"/>
                <w:kern w:val="0"/>
                <w:lang w:val="en"/>
                <w14:ligatures w14:val="none"/>
              </w:rPr>
              <w:t xml:space="preserve"> general cognitive load perception, </w:t>
            </w:r>
            <w:r w:rsidRPr="00234F60">
              <w:rPr>
                <w:rFonts w:ascii="Arial" w:eastAsia="宋体" w:hAnsi="Arial" w:cs="Arial"/>
                <w:kern w:val="0"/>
                <w:lang w:val="en"/>
                <w14:ligatures w14:val="none"/>
              </w:rPr>
              <w:t>beyond the specific mental and psychological stress load assessed by Reid &amp; Nygren (1988).</w:t>
            </w:r>
            <w:r w:rsidRPr="00234F60">
              <w:rPr>
                <w:rFonts w:ascii="Arial" w:eastAsia="宋体" w:hAnsi="Arial" w:cs="Arial" w:hint="eastAsia"/>
                <w:kern w:val="0"/>
                <w:lang w:val="en"/>
                <w14:ligatures w14:val="none"/>
              </w:rPr>
              <w:t xml:space="preserve"> </w:t>
            </w:r>
            <w:r w:rsidRPr="00234F60">
              <w:rPr>
                <w:rFonts w:ascii="Arial" w:eastAsia="宋体" w:hAnsi="Arial" w:cs="Arial"/>
                <w:kern w:val="0"/>
                <w:lang w:val="en"/>
                <w14:ligatures w14:val="none"/>
              </w:rPr>
              <w:t>This decision is made for simplicity and clarity, aiming to reduce participant burden and potentially improve response accuracy considering that it was placed at the very end of post-task questionnaire.</w:t>
            </w:r>
          </w:p>
          <w:p w14:paraId="1296C1A8" w14:textId="77777777" w:rsidR="00234F60" w:rsidRPr="00234F60" w:rsidRDefault="00234F60" w:rsidP="00234F60">
            <w:pPr>
              <w:spacing w:after="0" w:line="240" w:lineRule="auto"/>
              <w:ind w:left="360"/>
              <w:contextualSpacing/>
              <w:jc w:val="left"/>
              <w:rPr>
                <w:rFonts w:ascii="Arial" w:eastAsia="宋体" w:hAnsi="Arial" w:cs="Arial"/>
                <w:kern w:val="0"/>
                <w:lang w:val="en"/>
                <w14:ligatures w14:val="none"/>
              </w:rPr>
            </w:pPr>
          </w:p>
          <w:p w14:paraId="3C8FFB1C"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In addition, i</w:t>
            </w:r>
            <w:r w:rsidRPr="00234F60">
              <w:rPr>
                <w:rFonts w:ascii="Arial" w:eastAsia="宋体" w:hAnsi="Arial" w:cs="Arial"/>
                <w:kern w:val="0"/>
                <w:lang w:val="en"/>
                <w14:ligatures w14:val="none"/>
              </w:rPr>
              <w:t>n our original preregistration, we intended to measure an</w:t>
            </w:r>
            <w:r w:rsidRPr="00234F60">
              <w:rPr>
                <w:rFonts w:ascii="Arial" w:eastAsia="宋体" w:hAnsi="Arial" w:cs="Arial" w:hint="eastAsia"/>
                <w:kern w:val="0"/>
                <w:lang w:val="en"/>
                <w14:ligatures w14:val="none"/>
              </w:rPr>
              <w:t xml:space="preserve">d </w:t>
            </w:r>
            <w:r w:rsidRPr="00234F60">
              <w:rPr>
                <w:rFonts w:ascii="Arial" w:eastAsia="宋体" w:hAnsi="Arial" w:cs="Arial"/>
                <w:kern w:val="0"/>
                <w:lang w:val="en"/>
                <w14:ligatures w14:val="none"/>
              </w:rPr>
              <w:t xml:space="preserve">control task workload but did not specify the method of control. </w:t>
            </w:r>
            <w:r w:rsidRPr="00234F60">
              <w:rPr>
                <w:rFonts w:ascii="Arial" w:eastAsia="宋体" w:hAnsi="Arial" w:cs="Arial" w:hint="eastAsia"/>
                <w:kern w:val="0"/>
                <w:lang w:val="en"/>
                <w14:ligatures w14:val="none"/>
              </w:rPr>
              <w:t>W</w:t>
            </w:r>
            <w:r w:rsidRPr="00234F60">
              <w:rPr>
                <w:rFonts w:ascii="Arial" w:eastAsia="宋体" w:hAnsi="Arial" w:cs="Arial"/>
                <w:kern w:val="0"/>
                <w:lang w:val="en"/>
                <w14:ligatures w14:val="none"/>
              </w:rPr>
              <w:t>e reevaluated task workload as a crucial indicator of cognitive investment, leading us to examine its variations across different conditions. Our findings revealed that while participants’ perceived workload did not vary for Task 2 across conditions, those in the human-GenAI collaboration conditions in Studies 2 and 3 reported significantly lower task workload</w:t>
            </w:r>
            <w:r w:rsidRPr="00234F60">
              <w:rPr>
                <w:rFonts w:ascii="Arial" w:eastAsia="宋体" w:hAnsi="Arial" w:cs="Arial" w:hint="eastAsia"/>
                <w:kern w:val="0"/>
                <w:lang w:val="en"/>
                <w14:ligatures w14:val="none"/>
              </w:rPr>
              <w:t xml:space="preserve"> for Task 1</w:t>
            </w:r>
            <w:r w:rsidRPr="00234F60">
              <w:rPr>
                <w:rFonts w:ascii="Arial" w:eastAsia="宋体" w:hAnsi="Arial" w:cs="Arial"/>
                <w:kern w:val="0"/>
                <w:lang w:val="en"/>
                <w14:ligatures w14:val="none"/>
              </w:rPr>
              <w:t xml:space="preserve">, highlighting the cognitive benefits of </w:t>
            </w:r>
            <w:r w:rsidRPr="00234F60">
              <w:rPr>
                <w:rFonts w:ascii="Arial" w:eastAsia="宋体" w:hAnsi="Arial" w:cs="Arial" w:hint="eastAsia"/>
                <w:kern w:val="0"/>
                <w:lang w:val="en"/>
                <w14:ligatures w14:val="none"/>
              </w:rPr>
              <w:t>Gen</w:t>
            </w:r>
            <w:r w:rsidRPr="00234F60">
              <w:rPr>
                <w:rFonts w:ascii="Arial" w:eastAsia="宋体" w:hAnsi="Arial" w:cs="Arial"/>
                <w:kern w:val="0"/>
                <w:lang w:val="en"/>
                <w14:ligatures w14:val="none"/>
              </w:rPr>
              <w:t xml:space="preserve">AI assistance. However, this reduction in cognitive strain did not translate into enhanced experiences in subsequent solo tasks, suggesting that while GenAI collaboration conserves cognitive resources, it may also impact motivational and engagement aspects negatively when transitioning back to </w:t>
            </w:r>
            <w:r w:rsidRPr="00234F60">
              <w:rPr>
                <w:rFonts w:ascii="Arial" w:eastAsia="宋体" w:hAnsi="Arial" w:cs="Arial"/>
                <w:kern w:val="0"/>
                <w:lang w:val="en"/>
                <w14:ligatures w14:val="none"/>
              </w:rPr>
              <w:lastRenderedPageBreak/>
              <w:t>solo work. This paradox underscores the need for further research on the long-term psychological impacts of AI assistance across diverse task contexts.</w:t>
            </w:r>
          </w:p>
        </w:tc>
        <w:tc>
          <w:tcPr>
            <w:tcW w:w="3723" w:type="dxa"/>
            <w:vMerge w:val="restart"/>
            <w:tcBorders>
              <w:right w:val="nil"/>
            </w:tcBorders>
            <w:shd w:val="clear" w:color="auto" w:fill="auto"/>
            <w:tcMar>
              <w:top w:w="100" w:type="dxa"/>
              <w:left w:w="100" w:type="dxa"/>
              <w:bottom w:w="100" w:type="dxa"/>
              <w:right w:w="100" w:type="dxa"/>
            </w:tcMar>
          </w:tcPr>
          <w:p w14:paraId="7AA13A09"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lastRenderedPageBreak/>
              <w:t>Th</w:t>
            </w:r>
            <w:r w:rsidRPr="00234F60">
              <w:rPr>
                <w:rFonts w:ascii="Arial" w:eastAsia="宋体" w:hAnsi="Arial" w:cs="Arial" w:hint="eastAsia"/>
                <w:kern w:val="0"/>
                <w:lang w:val="en"/>
                <w14:ligatures w14:val="none"/>
              </w:rPr>
              <w:t>e</w:t>
            </w:r>
            <w:r w:rsidRPr="00234F60">
              <w:rPr>
                <w:rFonts w:ascii="Arial" w:eastAsia="宋体" w:hAnsi="Arial" w:cs="Arial"/>
                <w:kern w:val="0"/>
                <w:lang w:val="en"/>
                <w14:ligatures w14:val="none"/>
              </w:rPr>
              <w:t xml:space="preserve"> change in measure</w:t>
            </w:r>
            <w:r w:rsidRPr="00234F60">
              <w:rPr>
                <w:rFonts w:ascii="Arial" w:eastAsia="宋体" w:hAnsi="Arial" w:cs="Arial" w:hint="eastAsia"/>
                <w:kern w:val="0"/>
                <w:lang w:val="en"/>
                <w14:ligatures w14:val="none"/>
              </w:rPr>
              <w:t>s</w:t>
            </w:r>
            <w:r w:rsidRPr="00234F60">
              <w:rPr>
                <w:rFonts w:ascii="Arial" w:eastAsia="宋体" w:hAnsi="Arial" w:cs="Arial"/>
                <w:kern w:val="0"/>
                <w:lang w:val="en"/>
                <w14:ligatures w14:val="none"/>
              </w:rPr>
              <w:t xml:space="preserve"> may affect the comparability of our findings with those of studies using the </w:t>
            </w:r>
            <w:r w:rsidRPr="00234F60">
              <w:rPr>
                <w:rFonts w:ascii="Arial" w:eastAsia="宋体" w:hAnsi="Arial" w:cs="Arial"/>
                <w:kern w:val="0"/>
                <w:lang w:val="en"/>
                <w14:ligatures w14:val="none"/>
              </w:rPr>
              <w:lastRenderedPageBreak/>
              <w:t xml:space="preserve">original Reid &amp; Nygren (1988) items. </w:t>
            </w:r>
          </w:p>
          <w:p w14:paraId="163C5572" w14:textId="77777777" w:rsidR="00234F60" w:rsidRPr="00234F60" w:rsidRDefault="00234F60" w:rsidP="00234F60">
            <w:pPr>
              <w:spacing w:after="0" w:line="240" w:lineRule="auto"/>
              <w:jc w:val="left"/>
              <w:rPr>
                <w:rFonts w:ascii="Arial" w:eastAsia="宋体" w:hAnsi="Arial" w:cs="Arial"/>
                <w:kern w:val="0"/>
                <w:lang w:val="en"/>
                <w14:ligatures w14:val="none"/>
              </w:rPr>
            </w:pPr>
          </w:p>
          <w:p w14:paraId="23A6B8BA"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Also, i</w:t>
            </w:r>
            <w:r w:rsidRPr="00234F60">
              <w:rPr>
                <w:rFonts w:ascii="Arial" w:eastAsia="宋体" w:hAnsi="Arial" w:cs="Arial"/>
                <w:kern w:val="0"/>
                <w:lang w:val="en"/>
                <w14:ligatures w14:val="none"/>
              </w:rPr>
              <w:t>n our original preregistration, we planned to measure and control task workload but did not detail our control methods. Upon analyzing our data, we recognized task workload as a key indicator of cognitive investment, prompting us to examine its variations across conditions. Our findings highlight that while GenAI collaboration reduces task workload, easing cognitive demands, it does not enhance motivation or engagement in subsequent solo tasks. This suggests that while AI can decrease cognitive strain, its impact on long-term psychological engagement is complex and requires further study. This challenges us to rethink how AI is integrated in work settings, balancing cognitive efficiency with sustainable worker engagement.</w:t>
            </w:r>
          </w:p>
        </w:tc>
      </w:tr>
      <w:tr w:rsidR="00234F60" w:rsidRPr="00234F60" w14:paraId="53AD6BF2" w14:textId="77777777" w:rsidTr="00BB685A">
        <w:trPr>
          <w:trHeight w:val="20"/>
        </w:trPr>
        <w:tc>
          <w:tcPr>
            <w:tcW w:w="315" w:type="dxa"/>
            <w:vMerge/>
            <w:tcBorders>
              <w:left w:val="nil"/>
            </w:tcBorders>
            <w:shd w:val="clear" w:color="auto" w:fill="auto"/>
            <w:tcMar>
              <w:top w:w="100" w:type="dxa"/>
              <w:left w:w="100" w:type="dxa"/>
              <w:bottom w:w="100" w:type="dxa"/>
              <w:right w:w="100" w:type="dxa"/>
            </w:tcMar>
          </w:tcPr>
          <w:p w14:paraId="5EAF2B3D"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1044" w:type="dxa"/>
            <w:shd w:val="clear" w:color="auto" w:fill="auto"/>
            <w:tcMar>
              <w:top w:w="100" w:type="dxa"/>
              <w:left w:w="100" w:type="dxa"/>
              <w:bottom w:w="100" w:type="dxa"/>
              <w:right w:w="100" w:type="dxa"/>
            </w:tcMar>
          </w:tcPr>
          <w:p w14:paraId="011AB535"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Reason</w:t>
            </w:r>
          </w:p>
        </w:tc>
        <w:tc>
          <w:tcPr>
            <w:tcW w:w="1791" w:type="dxa"/>
            <w:shd w:val="clear" w:color="auto" w:fill="auto"/>
            <w:tcMar>
              <w:top w:w="100" w:type="dxa"/>
              <w:left w:w="100" w:type="dxa"/>
              <w:bottom w:w="100" w:type="dxa"/>
              <w:right w:w="100" w:type="dxa"/>
            </w:tcMar>
          </w:tcPr>
          <w:p w14:paraId="78A650E5"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Reason"/>
                <w:id w:val="413370545"/>
                <w:dropDownList>
                  <w:listItem w:displayText="Select One" w:value="Select One"/>
                  <w:listItem w:displayText="Typo/Error" w:value="Typo/Error"/>
                  <w:listItem w:displayText="Plan not possible" w:value="Plan not possible"/>
                  <w:listItem w:displayText="New knowledge" w:value="New knowledge"/>
                  <w:listItem w:displayText="Peer review" w:value="Peer review"/>
                  <w:listItem w:displayText="Miscommunication" w:value="Miscommunication"/>
                  <w:listItem w:displayText="Other (Please Explain)" w:value="Other (Please Explain)"/>
                </w:dropDownList>
              </w:sdtPr>
              <w:sdtContent>
                <w:r w:rsidRPr="00234F60">
                  <w:rPr>
                    <w:rFonts w:ascii="Arial" w:eastAsia="宋体" w:hAnsi="Arial" w:cs="Arial"/>
                    <w:kern w:val="0"/>
                    <w:lang w:val="en"/>
                    <w14:ligatures w14:val="none"/>
                  </w:rPr>
                  <w:t>Other (Please Explain)</w:t>
                </w:r>
              </w:sdtContent>
            </w:sdt>
          </w:p>
        </w:tc>
        <w:tc>
          <w:tcPr>
            <w:tcW w:w="3454" w:type="dxa"/>
            <w:vMerge/>
          </w:tcPr>
          <w:p w14:paraId="1F7A6C90"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Pr>
          <w:p w14:paraId="36A389A2"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right w:val="nil"/>
            </w:tcBorders>
            <w:shd w:val="clear" w:color="auto" w:fill="auto"/>
            <w:tcMar>
              <w:top w:w="100" w:type="dxa"/>
              <w:left w:w="100" w:type="dxa"/>
              <w:bottom w:w="100" w:type="dxa"/>
              <w:right w:w="100" w:type="dxa"/>
            </w:tcMar>
          </w:tcPr>
          <w:p w14:paraId="3AE3E3F8"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r w:rsidR="00234F60" w:rsidRPr="00234F60" w14:paraId="48A25548" w14:textId="77777777" w:rsidTr="00BB685A">
        <w:trPr>
          <w:trHeight w:val="20"/>
        </w:trPr>
        <w:tc>
          <w:tcPr>
            <w:tcW w:w="315" w:type="dxa"/>
            <w:vMerge/>
            <w:tcBorders>
              <w:left w:val="nil"/>
            </w:tcBorders>
            <w:shd w:val="clear" w:color="auto" w:fill="auto"/>
            <w:tcMar>
              <w:top w:w="100" w:type="dxa"/>
              <w:left w:w="100" w:type="dxa"/>
              <w:bottom w:w="100" w:type="dxa"/>
              <w:right w:w="100" w:type="dxa"/>
            </w:tcMar>
          </w:tcPr>
          <w:p w14:paraId="3F130E5D"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1044" w:type="dxa"/>
            <w:shd w:val="clear" w:color="auto" w:fill="auto"/>
            <w:tcMar>
              <w:top w:w="100" w:type="dxa"/>
              <w:left w:w="100" w:type="dxa"/>
              <w:bottom w:w="100" w:type="dxa"/>
              <w:right w:w="100" w:type="dxa"/>
            </w:tcMar>
          </w:tcPr>
          <w:p w14:paraId="591ACB64"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Timing</w:t>
            </w:r>
          </w:p>
        </w:tc>
        <w:tc>
          <w:tcPr>
            <w:tcW w:w="1791" w:type="dxa"/>
            <w:shd w:val="clear" w:color="auto" w:fill="auto"/>
            <w:tcMar>
              <w:top w:w="100" w:type="dxa"/>
              <w:left w:w="100" w:type="dxa"/>
              <w:bottom w:w="100" w:type="dxa"/>
              <w:right w:w="100" w:type="dxa"/>
            </w:tcMar>
          </w:tcPr>
          <w:p w14:paraId="73F9B1B6"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iming"/>
                <w:id w:val="-1355664904"/>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Pr="00234F60">
                  <w:rPr>
                    <w:rFonts w:ascii="Arial" w:eastAsia="宋体" w:hAnsi="Arial" w:cs="Arial"/>
                    <w:kern w:val="0"/>
                    <w:lang w:val="en"/>
                    <w14:ligatures w14:val="none"/>
                  </w:rPr>
                  <w:t>After data access</w:t>
                </w:r>
              </w:sdtContent>
            </w:sdt>
          </w:p>
        </w:tc>
        <w:tc>
          <w:tcPr>
            <w:tcW w:w="3454" w:type="dxa"/>
            <w:vMerge/>
          </w:tcPr>
          <w:p w14:paraId="4D239305"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Pr>
          <w:p w14:paraId="68CC030D"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right w:val="nil"/>
            </w:tcBorders>
            <w:shd w:val="clear" w:color="auto" w:fill="auto"/>
            <w:tcMar>
              <w:top w:w="100" w:type="dxa"/>
              <w:left w:w="100" w:type="dxa"/>
              <w:bottom w:w="100" w:type="dxa"/>
              <w:right w:w="100" w:type="dxa"/>
            </w:tcMar>
          </w:tcPr>
          <w:p w14:paraId="759DFA90"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r w:rsidR="00234F60" w:rsidRPr="00234F60" w14:paraId="5DE4B613" w14:textId="77777777" w:rsidTr="00BB685A">
        <w:trPr>
          <w:trHeight w:val="20"/>
        </w:trPr>
        <w:tc>
          <w:tcPr>
            <w:tcW w:w="315" w:type="dxa"/>
            <w:vMerge w:val="restart"/>
            <w:tcBorders>
              <w:left w:val="nil"/>
            </w:tcBorders>
            <w:shd w:val="clear" w:color="auto" w:fill="auto"/>
            <w:tcMar>
              <w:top w:w="100" w:type="dxa"/>
              <w:left w:w="100" w:type="dxa"/>
              <w:bottom w:w="100" w:type="dxa"/>
              <w:right w:w="100" w:type="dxa"/>
            </w:tcMar>
          </w:tcPr>
          <w:p w14:paraId="16AE8573"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lastRenderedPageBreak/>
              <w:t>3</w:t>
            </w:r>
          </w:p>
        </w:tc>
        <w:tc>
          <w:tcPr>
            <w:tcW w:w="1044" w:type="dxa"/>
            <w:shd w:val="clear" w:color="auto" w:fill="auto"/>
            <w:tcMar>
              <w:top w:w="100" w:type="dxa"/>
              <w:left w:w="100" w:type="dxa"/>
              <w:bottom w:w="100" w:type="dxa"/>
              <w:right w:w="100" w:type="dxa"/>
            </w:tcMar>
          </w:tcPr>
          <w:p w14:paraId="40423B88"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Type</w:t>
            </w:r>
          </w:p>
        </w:tc>
        <w:tc>
          <w:tcPr>
            <w:tcW w:w="1791" w:type="dxa"/>
            <w:shd w:val="clear" w:color="auto" w:fill="auto"/>
            <w:tcMar>
              <w:top w:w="100" w:type="dxa"/>
              <w:left w:w="100" w:type="dxa"/>
              <w:bottom w:w="100" w:type="dxa"/>
              <w:right w:w="100" w:type="dxa"/>
            </w:tcMar>
          </w:tcPr>
          <w:p w14:paraId="47F2B76F"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ype"/>
                <w:id w:val="1058509792"/>
                <w:dropDownList>
                  <w:listItem w:displayText="Select One" w:value="Select One"/>
                  <w:listItem w:displayText="Study Design" w:value="Study Design"/>
                  <w:listItem w:displayText="Sample" w:value="Sample"/>
                  <w:listItem w:displayText="Research Q(s)" w:value="Research Q(s)"/>
                  <w:listItem w:displayText="Hypotheses" w:value="Hypotheses"/>
                  <w:listItem w:displayText="Variables" w:value="Variables"/>
                  <w:listItem w:displayText="Analysis" w:value="Analysis"/>
                  <w:listItem w:displayText="Covariates" w:value="Covariates"/>
                  <w:listItem w:displayText="Inferential Criteria" w:value="Inferential Criteria"/>
                  <w:listItem w:displayText="Data Preparation" w:value="Data Preparation"/>
                  <w:listItem w:displayText="Other (Please Explain)" w:value="Other (Please Explain)"/>
                </w:dropDownList>
              </w:sdtPr>
              <w:sdtContent>
                <w:r w:rsidRPr="00234F60">
                  <w:rPr>
                    <w:rFonts w:ascii="Arial" w:eastAsia="宋体" w:hAnsi="Arial" w:cs="Arial"/>
                    <w:kern w:val="0"/>
                    <w:lang w:val="en"/>
                    <w14:ligatures w14:val="none"/>
                  </w:rPr>
                  <w:t>Analysis</w:t>
                </w:r>
              </w:sdtContent>
            </w:sdt>
          </w:p>
        </w:tc>
        <w:tc>
          <w:tcPr>
            <w:tcW w:w="3454" w:type="dxa"/>
            <w:vMerge w:val="restart"/>
          </w:tcPr>
          <w:p w14:paraId="4573EDCC"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hint="eastAsia"/>
                <w:kern w:val="0"/>
                <w:lang w:val="en"/>
                <w14:ligatures w14:val="none"/>
              </w:rPr>
              <w:t xml:space="preserve">Under the question </w:t>
            </w:r>
            <w:r w:rsidRPr="00234F60">
              <w:rPr>
                <w:rFonts w:ascii="Arial" w:eastAsia="宋体" w:hAnsi="Arial" w:cs="Arial"/>
                <w:kern w:val="0"/>
                <w:lang w:val="en"/>
                <w14:ligatures w14:val="none"/>
              </w:rPr>
              <w:t>“Anything else you would like to pre-register? (e.g., secondary analyses, variables collected for exploratory purposes, unusual analyses planned?)”</w:t>
            </w:r>
            <w:r w:rsidRPr="00234F60">
              <w:rPr>
                <w:rFonts w:ascii="Arial" w:eastAsia="宋体" w:hAnsi="Arial" w:cs="Arial" w:hint="eastAsia"/>
                <w:kern w:val="0"/>
                <w:lang w:val="en"/>
                <w14:ligatures w14:val="none"/>
              </w:rPr>
              <w:t xml:space="preserve"> across the preregistrations of the three studies, we wrote that </w:t>
            </w:r>
            <w:r w:rsidRPr="00234F60">
              <w:rPr>
                <w:rFonts w:ascii="Arial" w:eastAsia="宋体" w:hAnsi="Arial" w:cs="Arial"/>
                <w:kern w:val="0"/>
                <w:lang w:val="en"/>
                <w14:ligatures w14:val="none"/>
              </w:rPr>
              <w:t>“For exploratory purposes, we will measure individual</w:t>
            </w:r>
            <w:r w:rsidRPr="00234F60">
              <w:rPr>
                <w:rFonts w:ascii="Arial" w:eastAsia="宋体" w:hAnsi="Arial" w:cs="Arial" w:hint="eastAsia"/>
                <w:kern w:val="0"/>
                <w:lang w:val="en"/>
                <w14:ligatures w14:val="none"/>
              </w:rPr>
              <w:t xml:space="preserve"> </w:t>
            </w:r>
            <w:r w:rsidRPr="00234F60">
              <w:rPr>
                <w:rFonts w:ascii="Arial" w:eastAsia="宋体" w:hAnsi="Arial" w:cs="Arial"/>
                <w:kern w:val="0"/>
                <w:lang w:val="en"/>
                <w14:ligatures w14:val="none"/>
              </w:rPr>
              <w:t>self-construal, creative role identity, and cognitive styles, investigating their moderating effects</w:t>
            </w:r>
            <w:r w:rsidRPr="00234F60">
              <w:rPr>
                <w:rFonts w:ascii="Arial" w:eastAsia="宋体" w:hAnsi="Arial" w:cs="Arial" w:hint="eastAsia"/>
                <w:kern w:val="0"/>
                <w:lang w:val="en"/>
                <w14:ligatures w14:val="none"/>
              </w:rPr>
              <w:t>.</w:t>
            </w:r>
            <w:r w:rsidRPr="00234F60">
              <w:rPr>
                <w:rFonts w:ascii="Arial" w:eastAsia="宋体" w:hAnsi="Arial" w:cs="Arial"/>
                <w:kern w:val="0"/>
                <w:lang w:val="en"/>
                <w14:ligatures w14:val="none"/>
              </w:rPr>
              <w:t>”</w:t>
            </w:r>
          </w:p>
        </w:tc>
        <w:tc>
          <w:tcPr>
            <w:tcW w:w="4253" w:type="dxa"/>
            <w:vMerge w:val="restart"/>
          </w:tcPr>
          <w:p w14:paraId="0B768819"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These variables were measured but were not analyzed in the final manuscript. The decision to include these variables was made to broaden the scope of our research and to explore potential influences that might refine our understanding of the primary outcomes. This approach allows us to remain flexible and responsive to emergent data patterns that could reveal novel insights or theoretical advancements. It is important to note that while these variables are being measured, the analyses involving them are exploratory in nature. This means that they are not bound by the same expectations for hypothesis testing as our primary analyses.</w:t>
            </w:r>
          </w:p>
        </w:tc>
        <w:tc>
          <w:tcPr>
            <w:tcW w:w="3723" w:type="dxa"/>
            <w:vMerge w:val="restart"/>
            <w:tcBorders>
              <w:right w:val="nil"/>
            </w:tcBorders>
            <w:shd w:val="clear" w:color="auto" w:fill="auto"/>
            <w:tcMar>
              <w:top w:w="100" w:type="dxa"/>
              <w:left w:w="100" w:type="dxa"/>
              <w:bottom w:w="100" w:type="dxa"/>
              <w:right w:w="100" w:type="dxa"/>
            </w:tcMar>
          </w:tcPr>
          <w:p w14:paraId="5D4FEA84"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By omitting the exploratory analyses, we focused on the primary research question. However, this deviation means that the potential moderating effects of individual self-construal, creative role identity, and cognitive styles on the proposed relationships were not explored</w:t>
            </w:r>
            <w:r w:rsidRPr="00234F60">
              <w:rPr>
                <w:rFonts w:ascii="Arial" w:eastAsia="宋体" w:hAnsi="Arial" w:cs="Arial" w:hint="eastAsia"/>
                <w:kern w:val="0"/>
                <w:lang w:val="en"/>
                <w14:ligatures w14:val="none"/>
              </w:rPr>
              <w:t>, which may</w:t>
            </w:r>
            <w:r w:rsidRPr="00234F60">
              <w:rPr>
                <w:rFonts w:ascii="Arial" w:eastAsia="等线" w:hAnsi="Arial" w:cs="Arial"/>
              </w:rPr>
              <w:t xml:space="preserve"> </w:t>
            </w:r>
            <w:r w:rsidRPr="00234F60">
              <w:rPr>
                <w:rFonts w:ascii="Arial" w:eastAsia="宋体" w:hAnsi="Arial" w:cs="Arial"/>
                <w:kern w:val="0"/>
                <w:lang w:val="en"/>
                <w14:ligatures w14:val="none"/>
              </w:rPr>
              <w:t xml:space="preserve">limit </w:t>
            </w:r>
            <w:r w:rsidRPr="00234F60">
              <w:rPr>
                <w:rFonts w:ascii="Arial" w:eastAsia="宋体" w:hAnsi="Arial" w:cs="Arial" w:hint="eastAsia"/>
                <w:kern w:val="0"/>
                <w:lang w:val="en"/>
                <w14:ligatures w14:val="none"/>
              </w:rPr>
              <w:t>readers</w:t>
            </w:r>
            <w:r w:rsidRPr="00234F60">
              <w:rPr>
                <w:rFonts w:ascii="Arial" w:eastAsia="宋体" w:hAnsi="Arial" w:cs="Arial"/>
                <w:kern w:val="0"/>
                <w:lang w:val="en"/>
                <w14:ligatures w14:val="none"/>
              </w:rPr>
              <w:t>’</w:t>
            </w:r>
            <w:r w:rsidRPr="00234F60">
              <w:rPr>
                <w:rFonts w:ascii="Arial" w:eastAsia="宋体" w:hAnsi="Arial" w:cs="Arial" w:hint="eastAsia"/>
                <w:kern w:val="0"/>
                <w:lang w:val="en"/>
                <w14:ligatures w14:val="none"/>
              </w:rPr>
              <w:t xml:space="preserve"> </w:t>
            </w:r>
            <w:r w:rsidRPr="00234F60">
              <w:rPr>
                <w:rFonts w:ascii="Arial" w:eastAsia="宋体" w:hAnsi="Arial" w:cs="Arial"/>
                <w:kern w:val="0"/>
                <w:lang w:val="en"/>
                <w14:ligatures w14:val="none"/>
              </w:rPr>
              <w:t>understanding regarding individual differences in our study.</w:t>
            </w:r>
          </w:p>
        </w:tc>
      </w:tr>
      <w:tr w:rsidR="00234F60" w:rsidRPr="00234F60" w14:paraId="7DF75D0E" w14:textId="77777777" w:rsidTr="00BB685A">
        <w:trPr>
          <w:trHeight w:val="20"/>
        </w:trPr>
        <w:tc>
          <w:tcPr>
            <w:tcW w:w="315" w:type="dxa"/>
            <w:vMerge/>
            <w:tcBorders>
              <w:left w:val="nil"/>
            </w:tcBorders>
            <w:shd w:val="clear" w:color="auto" w:fill="auto"/>
            <w:tcMar>
              <w:top w:w="100" w:type="dxa"/>
              <w:left w:w="100" w:type="dxa"/>
              <w:bottom w:w="100" w:type="dxa"/>
              <w:right w:w="100" w:type="dxa"/>
            </w:tcMar>
          </w:tcPr>
          <w:p w14:paraId="2A29D4DD"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1044" w:type="dxa"/>
            <w:shd w:val="clear" w:color="auto" w:fill="auto"/>
            <w:tcMar>
              <w:top w:w="100" w:type="dxa"/>
              <w:left w:w="100" w:type="dxa"/>
              <w:bottom w:w="100" w:type="dxa"/>
              <w:right w:w="100" w:type="dxa"/>
            </w:tcMar>
          </w:tcPr>
          <w:p w14:paraId="21D7F396"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Reason</w:t>
            </w:r>
          </w:p>
        </w:tc>
        <w:tc>
          <w:tcPr>
            <w:tcW w:w="1791" w:type="dxa"/>
            <w:shd w:val="clear" w:color="auto" w:fill="auto"/>
            <w:tcMar>
              <w:top w:w="100" w:type="dxa"/>
              <w:left w:w="100" w:type="dxa"/>
              <w:bottom w:w="100" w:type="dxa"/>
              <w:right w:w="100" w:type="dxa"/>
            </w:tcMar>
          </w:tcPr>
          <w:p w14:paraId="74A87809"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Reason"/>
                <w:id w:val="377261037"/>
                <w:dropDownList>
                  <w:listItem w:displayText="Select One" w:value="Select One"/>
                  <w:listItem w:displayText="Typo/Error" w:value="Typo/Error"/>
                  <w:listItem w:displayText="Plan not possible" w:value="Plan not possible"/>
                  <w:listItem w:displayText="New knowledge" w:value="New knowledge"/>
                  <w:listItem w:displayText="Peer review" w:value="Peer review"/>
                  <w:listItem w:displayText="Miscommunication" w:value="Miscommunication"/>
                  <w:listItem w:displayText="Other (Please Explain)" w:value="Other (Please Explain)"/>
                </w:dropDownList>
              </w:sdtPr>
              <w:sdtContent>
                <w:r w:rsidRPr="00234F60">
                  <w:rPr>
                    <w:rFonts w:ascii="Arial" w:eastAsia="宋体" w:hAnsi="Arial" w:cs="Arial"/>
                    <w:kern w:val="0"/>
                    <w:lang w:val="en"/>
                    <w14:ligatures w14:val="none"/>
                  </w:rPr>
                  <w:t>Other (Please Explain)</w:t>
                </w:r>
              </w:sdtContent>
            </w:sdt>
          </w:p>
        </w:tc>
        <w:tc>
          <w:tcPr>
            <w:tcW w:w="3454" w:type="dxa"/>
            <w:vMerge/>
          </w:tcPr>
          <w:p w14:paraId="7E11FA76"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Pr>
          <w:p w14:paraId="12C27130"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right w:val="nil"/>
            </w:tcBorders>
            <w:shd w:val="clear" w:color="auto" w:fill="auto"/>
            <w:tcMar>
              <w:top w:w="100" w:type="dxa"/>
              <w:left w:w="100" w:type="dxa"/>
              <w:bottom w:w="100" w:type="dxa"/>
              <w:right w:w="100" w:type="dxa"/>
            </w:tcMar>
          </w:tcPr>
          <w:p w14:paraId="487CFCB4"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r w:rsidR="00234F60" w:rsidRPr="00234F60" w14:paraId="4C044846" w14:textId="77777777" w:rsidTr="00BB685A">
        <w:trPr>
          <w:trHeight w:val="20"/>
        </w:trPr>
        <w:tc>
          <w:tcPr>
            <w:tcW w:w="315" w:type="dxa"/>
            <w:vMerge/>
            <w:tcBorders>
              <w:left w:val="nil"/>
              <w:bottom w:val="single" w:sz="18" w:space="0" w:color="000000"/>
            </w:tcBorders>
            <w:shd w:val="clear" w:color="auto" w:fill="auto"/>
            <w:tcMar>
              <w:top w:w="100" w:type="dxa"/>
              <w:left w:w="100" w:type="dxa"/>
              <w:bottom w:w="100" w:type="dxa"/>
              <w:right w:w="100" w:type="dxa"/>
            </w:tcMar>
          </w:tcPr>
          <w:p w14:paraId="15B9CFDC"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1044" w:type="dxa"/>
            <w:tcBorders>
              <w:bottom w:val="single" w:sz="18" w:space="0" w:color="000000"/>
            </w:tcBorders>
            <w:shd w:val="clear" w:color="auto" w:fill="auto"/>
            <w:tcMar>
              <w:top w:w="100" w:type="dxa"/>
              <w:left w:w="100" w:type="dxa"/>
              <w:bottom w:w="100" w:type="dxa"/>
              <w:right w:w="100" w:type="dxa"/>
            </w:tcMar>
          </w:tcPr>
          <w:p w14:paraId="1467E272" w14:textId="77777777" w:rsidR="00234F60" w:rsidRPr="00234F60" w:rsidRDefault="00234F60" w:rsidP="00234F60">
            <w:pPr>
              <w:spacing w:after="0" w:line="240"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t>Timing</w:t>
            </w:r>
          </w:p>
        </w:tc>
        <w:tc>
          <w:tcPr>
            <w:tcW w:w="1791" w:type="dxa"/>
            <w:tcBorders>
              <w:bottom w:val="single" w:sz="18" w:space="0" w:color="000000"/>
            </w:tcBorders>
            <w:shd w:val="clear" w:color="auto" w:fill="auto"/>
            <w:tcMar>
              <w:top w:w="100" w:type="dxa"/>
              <w:left w:w="100" w:type="dxa"/>
              <w:bottom w:w="100" w:type="dxa"/>
              <w:right w:w="100" w:type="dxa"/>
            </w:tcMar>
          </w:tcPr>
          <w:p w14:paraId="7066F9BE" w14:textId="77777777" w:rsidR="00234F60" w:rsidRPr="00234F60" w:rsidRDefault="00234F60" w:rsidP="00234F60">
            <w:pPr>
              <w:spacing w:after="0" w:line="240" w:lineRule="auto"/>
              <w:jc w:val="left"/>
              <w:rPr>
                <w:rFonts w:ascii="Arial" w:eastAsia="宋体" w:hAnsi="Arial" w:cs="Arial"/>
                <w:kern w:val="0"/>
                <w:lang w:val="en"/>
                <w14:ligatures w14:val="none"/>
              </w:rPr>
            </w:pPr>
            <w:sdt>
              <w:sdtPr>
                <w:rPr>
                  <w:rFonts w:ascii="Arial" w:eastAsia="宋体" w:hAnsi="Arial" w:cs="Arial"/>
                  <w:kern w:val="0"/>
                  <w:lang w:val="en"/>
                  <w14:ligatures w14:val="none"/>
                </w:rPr>
                <w:alias w:val="Timing"/>
                <w:id w:val="-1683491647"/>
                <w:dropDownList>
                  <w:listItem w:displayText="Select One" w:value="Select One"/>
                  <w:listItem w:displayText="Before data collection" w:value="Before data collection"/>
                  <w:listItem w:displayText="During data collection" w:value="During data collection"/>
                  <w:listItem w:displayText="Before data access" w:value="Before data access"/>
                  <w:listItem w:displayText="After data access" w:value="After data access"/>
                  <w:listItem w:displayText="After results known" w:value="After results known"/>
                  <w:listItem w:displayText="Other (Please Explain)" w:value="Other (Please Explain)"/>
                </w:dropDownList>
              </w:sdtPr>
              <w:sdtContent>
                <w:r w:rsidRPr="00234F60">
                  <w:rPr>
                    <w:rFonts w:ascii="Arial" w:eastAsia="宋体" w:hAnsi="Arial" w:cs="Arial"/>
                    <w:kern w:val="0"/>
                    <w:lang w:val="en"/>
                    <w14:ligatures w14:val="none"/>
                  </w:rPr>
                  <w:t>Before data collection</w:t>
                </w:r>
              </w:sdtContent>
            </w:sdt>
          </w:p>
        </w:tc>
        <w:tc>
          <w:tcPr>
            <w:tcW w:w="3454" w:type="dxa"/>
            <w:vMerge/>
            <w:tcBorders>
              <w:bottom w:val="single" w:sz="18" w:space="0" w:color="000000"/>
            </w:tcBorders>
          </w:tcPr>
          <w:p w14:paraId="3987CF0E"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4253" w:type="dxa"/>
            <w:vMerge/>
            <w:tcBorders>
              <w:bottom w:val="single" w:sz="18" w:space="0" w:color="000000"/>
            </w:tcBorders>
          </w:tcPr>
          <w:p w14:paraId="2A1F2E9E"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c>
          <w:tcPr>
            <w:tcW w:w="3723" w:type="dxa"/>
            <w:vMerge/>
            <w:tcBorders>
              <w:bottom w:val="single" w:sz="18" w:space="0" w:color="000000"/>
              <w:right w:val="nil"/>
            </w:tcBorders>
            <w:shd w:val="clear" w:color="auto" w:fill="auto"/>
            <w:tcMar>
              <w:top w:w="100" w:type="dxa"/>
              <w:left w:w="100" w:type="dxa"/>
              <w:bottom w:w="100" w:type="dxa"/>
              <w:right w:w="100" w:type="dxa"/>
            </w:tcMar>
          </w:tcPr>
          <w:p w14:paraId="094C37C5" w14:textId="77777777" w:rsidR="00234F60" w:rsidRPr="00234F60" w:rsidRDefault="00234F60" w:rsidP="00234F60">
            <w:pPr>
              <w:pBdr>
                <w:top w:val="nil"/>
                <w:left w:val="nil"/>
                <w:bottom w:val="nil"/>
                <w:right w:val="nil"/>
                <w:between w:val="nil"/>
              </w:pBdr>
              <w:spacing w:after="0" w:line="276" w:lineRule="auto"/>
              <w:jc w:val="left"/>
              <w:rPr>
                <w:rFonts w:ascii="Arial" w:eastAsia="宋体" w:hAnsi="Arial" w:cs="Arial"/>
                <w:kern w:val="0"/>
                <w:lang w:val="en"/>
                <w14:ligatures w14:val="none"/>
              </w:rPr>
            </w:pPr>
          </w:p>
        </w:tc>
      </w:tr>
    </w:tbl>
    <w:p w14:paraId="5B5578C0" w14:textId="77777777" w:rsidR="00234F60" w:rsidRPr="00234F60" w:rsidRDefault="00234F60" w:rsidP="00234F60">
      <w:pPr>
        <w:spacing w:after="0" w:line="240" w:lineRule="auto"/>
        <w:jc w:val="left"/>
        <w:rPr>
          <w:rFonts w:ascii="Arial" w:eastAsia="宋体" w:hAnsi="Arial" w:cs="Arial"/>
          <w:b/>
          <w:bCs/>
          <w:szCs w:val="20"/>
        </w:rPr>
      </w:pPr>
      <w:r w:rsidRPr="00234F60">
        <w:rPr>
          <w:rFonts w:ascii="Times New Roman" w:eastAsia="宋体" w:hAnsi="Times New Roman" w:cs="Times New Roman"/>
          <w:kern w:val="0"/>
          <w:sz w:val="24"/>
          <w:szCs w:val="24"/>
          <w:lang w:val="en"/>
          <w14:ligatures w14:val="none"/>
        </w:rPr>
        <w:t xml:space="preserve"> </w:t>
      </w:r>
    </w:p>
    <w:p w14:paraId="790636FD" w14:textId="77777777" w:rsidR="00234F60" w:rsidRPr="00234F60" w:rsidRDefault="00234F60" w:rsidP="00234F60">
      <w:pPr>
        <w:jc w:val="left"/>
        <w:rPr>
          <w:rFonts w:ascii="Arial" w:eastAsia="宋体" w:hAnsi="Arial" w:cs="Arial"/>
          <w:b/>
          <w:bCs/>
          <w:szCs w:val="20"/>
        </w:rPr>
        <w:sectPr w:rsidR="00234F60" w:rsidRPr="00234F60" w:rsidSect="00234F60">
          <w:pgSz w:w="16838" w:h="11906" w:orient="landscape"/>
          <w:pgMar w:top="1440" w:right="1440" w:bottom="1440" w:left="1440" w:header="720" w:footer="720" w:gutter="0"/>
          <w:pgNumType w:start="1"/>
          <w:cols w:space="720"/>
        </w:sectPr>
      </w:pPr>
    </w:p>
    <w:p w14:paraId="7E786E8F" w14:textId="77777777" w:rsidR="00234F60" w:rsidRPr="00234F60" w:rsidRDefault="00234F60" w:rsidP="00234F60">
      <w:pPr>
        <w:jc w:val="left"/>
        <w:rPr>
          <w:rFonts w:ascii="Arial" w:eastAsia="宋体" w:hAnsi="Arial" w:cs="Arial"/>
          <w:b/>
          <w:bCs/>
          <w:szCs w:val="20"/>
        </w:rPr>
      </w:pPr>
      <w:r w:rsidRPr="00234F60">
        <w:rPr>
          <w:rFonts w:ascii="Arial" w:eastAsia="宋体" w:hAnsi="Arial" w:cs="Arial"/>
          <w:b/>
          <w:bCs/>
          <w:szCs w:val="20"/>
        </w:rPr>
        <w:lastRenderedPageBreak/>
        <w:t xml:space="preserve">Supplementary Figure 1. Embedding ChatGPT within a Qualtrics Survey </w:t>
      </w:r>
    </w:p>
    <w:p w14:paraId="6D365E74" w14:textId="77777777" w:rsidR="00234F60" w:rsidRPr="00234F60" w:rsidRDefault="00234F60" w:rsidP="00234F60">
      <w:pPr>
        <w:jc w:val="center"/>
        <w:rPr>
          <w:rFonts w:ascii="Times New Roman" w:eastAsia="宋体" w:hAnsi="Times New Roman" w:cs="Arial"/>
          <w:sz w:val="24"/>
        </w:rPr>
      </w:pPr>
      <w:r w:rsidRPr="00234F60">
        <w:rPr>
          <w:rFonts w:ascii="Times New Roman" w:eastAsia="宋体" w:hAnsi="Times New Roman" w:cs="Arial"/>
          <w:noProof/>
          <w:sz w:val="24"/>
        </w:rPr>
        <w:drawing>
          <wp:inline distT="0" distB="0" distL="0" distR="0" wp14:anchorId="663E303C" wp14:editId="7ACD63A8">
            <wp:extent cx="5055079" cy="3326030"/>
            <wp:effectExtent l="0" t="0" r="0" b="8255"/>
            <wp:docPr id="349344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44114" name=""/>
                    <pic:cNvPicPr/>
                  </pic:nvPicPr>
                  <pic:blipFill>
                    <a:blip r:embed="rId7"/>
                    <a:stretch>
                      <a:fillRect/>
                    </a:stretch>
                  </pic:blipFill>
                  <pic:spPr>
                    <a:xfrm>
                      <a:off x="0" y="0"/>
                      <a:ext cx="5059851" cy="3329170"/>
                    </a:xfrm>
                    <a:prstGeom prst="rect">
                      <a:avLst/>
                    </a:prstGeom>
                  </pic:spPr>
                </pic:pic>
              </a:graphicData>
            </a:graphic>
          </wp:inline>
        </w:drawing>
      </w:r>
    </w:p>
    <w:p w14:paraId="59D287BE" w14:textId="77777777" w:rsidR="00234F60" w:rsidRPr="00234F60" w:rsidRDefault="00234F60" w:rsidP="00234F60">
      <w:pPr>
        <w:rPr>
          <w:rFonts w:ascii="Times New Roman" w:eastAsia="宋体" w:hAnsi="Times New Roman" w:cs="Arial"/>
          <w:sz w:val="24"/>
        </w:rPr>
      </w:pPr>
    </w:p>
    <w:p w14:paraId="7CAE6ABF"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b/>
          <w:bCs/>
          <w:i/>
          <w:iCs/>
          <w:szCs w:val="20"/>
        </w:rPr>
        <w:t>Note:</w:t>
      </w:r>
      <w:r w:rsidRPr="00234F60">
        <w:rPr>
          <w:rFonts w:ascii="Arial" w:eastAsia="宋体" w:hAnsi="Arial" w:cs="Arial"/>
          <w:szCs w:val="20"/>
        </w:rPr>
        <w:t xml:space="preserve"> As detailed by Velez (2023), the ChatGPT chat interface can be seamlessly integrated into a Qualtrics survey using the Qualtrics’ Web Service feature. This function facilitates an API call to an external platform, in this instance, OpenAI’s ChatGPT at </w:t>
      </w:r>
      <w:hyperlink r:id="rId8" w:history="1">
        <w:r w:rsidRPr="00234F60">
          <w:rPr>
            <w:rFonts w:ascii="Arial" w:eastAsia="宋体" w:hAnsi="Arial" w:cs="Arial"/>
            <w:color w:val="0563C1"/>
            <w:szCs w:val="20"/>
            <w:u w:val="single"/>
          </w:rPr>
          <w:t>https://api.openai.com/v1/completions</w:t>
        </w:r>
      </w:hyperlink>
      <w:r w:rsidRPr="00234F60">
        <w:rPr>
          <w:rFonts w:ascii="Arial" w:eastAsia="宋体" w:hAnsi="Arial" w:cs="Arial"/>
          <w:szCs w:val="20"/>
        </w:rPr>
        <w:t xml:space="preserve">. The following provides a step-by-step elucidation: </w:t>
      </w:r>
    </w:p>
    <w:p w14:paraId="4A4222B6" w14:textId="77777777" w:rsidR="00234F60" w:rsidRPr="00234F60" w:rsidRDefault="00234F60" w:rsidP="00234F60">
      <w:pPr>
        <w:spacing w:after="0" w:line="240" w:lineRule="auto"/>
        <w:jc w:val="left"/>
        <w:rPr>
          <w:rFonts w:ascii="Arial" w:eastAsia="宋体" w:hAnsi="Arial" w:cs="Arial"/>
          <w:szCs w:val="20"/>
        </w:rPr>
      </w:pPr>
    </w:p>
    <w:p w14:paraId="663A8DBC"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 xml:space="preserve">1. Participants complete a text-entry prompt within the Qualtrics survey. </w:t>
      </w:r>
    </w:p>
    <w:p w14:paraId="6F5C5B88"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2. Upon transitioning to the subsequent page, the pre-configured Web Service function is activated. For configuration:</w:t>
      </w:r>
    </w:p>
    <w:p w14:paraId="4530625F" w14:textId="77777777" w:rsidR="00234F60" w:rsidRPr="00234F60" w:rsidRDefault="00234F60" w:rsidP="00234F60">
      <w:pPr>
        <w:widowControl/>
        <w:numPr>
          <w:ilvl w:val="0"/>
          <w:numId w:val="1"/>
        </w:numPr>
        <w:spacing w:after="0" w:line="240" w:lineRule="auto"/>
        <w:contextualSpacing/>
        <w:jc w:val="left"/>
        <w:rPr>
          <w:rFonts w:ascii="Arial" w:eastAsia="宋体" w:hAnsi="Arial" w:cs="Arial"/>
          <w:szCs w:val="20"/>
        </w:rPr>
      </w:pPr>
      <w:r w:rsidRPr="00234F60">
        <w:rPr>
          <w:rFonts w:ascii="Arial" w:eastAsia="宋体" w:hAnsi="Arial" w:cs="Arial"/>
          <w:szCs w:val="20"/>
        </w:rPr>
        <w:t xml:space="preserve">Utilize the URL: </w:t>
      </w:r>
      <w:hyperlink r:id="rId9" w:history="1">
        <w:r w:rsidRPr="00234F60">
          <w:rPr>
            <w:rFonts w:ascii="Arial" w:eastAsia="宋体" w:hAnsi="Arial" w:cs="Arial"/>
            <w:color w:val="0563C1"/>
            <w:szCs w:val="20"/>
            <w:u w:val="single"/>
          </w:rPr>
          <w:t>https://api.openai.com/v1/completions</w:t>
        </w:r>
      </w:hyperlink>
      <w:r w:rsidRPr="00234F60">
        <w:rPr>
          <w:rFonts w:ascii="Arial" w:eastAsia="宋体" w:hAnsi="Arial" w:cs="Arial"/>
          <w:szCs w:val="20"/>
        </w:rPr>
        <w:t xml:space="preserve">. </w:t>
      </w:r>
    </w:p>
    <w:p w14:paraId="6C3ABAFD" w14:textId="77777777" w:rsidR="00234F60" w:rsidRPr="00234F60" w:rsidRDefault="00234F60" w:rsidP="00234F60">
      <w:pPr>
        <w:widowControl/>
        <w:numPr>
          <w:ilvl w:val="0"/>
          <w:numId w:val="1"/>
        </w:numPr>
        <w:spacing w:after="0" w:line="240" w:lineRule="auto"/>
        <w:contextualSpacing/>
        <w:jc w:val="left"/>
        <w:rPr>
          <w:rFonts w:ascii="Arial" w:eastAsia="宋体" w:hAnsi="Arial" w:cs="Arial"/>
          <w:szCs w:val="20"/>
        </w:rPr>
      </w:pPr>
      <w:r w:rsidRPr="00234F60">
        <w:rPr>
          <w:rFonts w:ascii="Arial" w:eastAsia="宋体" w:hAnsi="Arial" w:cs="Arial"/>
          <w:szCs w:val="20"/>
        </w:rPr>
        <w:t>Select the Method: POST.</w:t>
      </w:r>
    </w:p>
    <w:p w14:paraId="24246C01" w14:textId="77777777" w:rsidR="00234F60" w:rsidRPr="00234F60" w:rsidRDefault="00234F60" w:rsidP="00234F60">
      <w:pPr>
        <w:widowControl/>
        <w:numPr>
          <w:ilvl w:val="0"/>
          <w:numId w:val="1"/>
        </w:numPr>
        <w:spacing w:after="0" w:line="240" w:lineRule="auto"/>
        <w:contextualSpacing/>
        <w:jc w:val="left"/>
        <w:rPr>
          <w:rFonts w:ascii="Arial" w:eastAsia="宋体" w:hAnsi="Arial" w:cs="Arial"/>
          <w:szCs w:val="20"/>
        </w:rPr>
      </w:pPr>
      <w:r w:rsidRPr="00234F60">
        <w:rPr>
          <w:rFonts w:ascii="Arial" w:eastAsia="宋体" w:hAnsi="Arial" w:cs="Arial"/>
          <w:szCs w:val="20"/>
        </w:rPr>
        <w:t>Within Query Parameters, opt for the appropriate format, such as application/</w:t>
      </w:r>
      <w:proofErr w:type="spellStart"/>
      <w:r w:rsidRPr="00234F60">
        <w:rPr>
          <w:rFonts w:ascii="Arial" w:eastAsia="宋体" w:hAnsi="Arial" w:cs="Arial"/>
          <w:szCs w:val="20"/>
        </w:rPr>
        <w:t>json</w:t>
      </w:r>
      <w:proofErr w:type="spellEnd"/>
      <w:r w:rsidRPr="00234F60">
        <w:rPr>
          <w:rFonts w:ascii="Arial" w:eastAsia="宋体" w:hAnsi="Arial" w:cs="Arial"/>
          <w:szCs w:val="20"/>
        </w:rPr>
        <w:t>.</w:t>
      </w:r>
    </w:p>
    <w:p w14:paraId="24503204"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3. Regarding Body Parameters:</w:t>
      </w:r>
    </w:p>
    <w:p w14:paraId="339B7A27" w14:textId="77777777" w:rsidR="00234F60" w:rsidRPr="00234F60" w:rsidRDefault="00234F60" w:rsidP="00234F60">
      <w:pPr>
        <w:widowControl/>
        <w:numPr>
          <w:ilvl w:val="0"/>
          <w:numId w:val="2"/>
        </w:numPr>
        <w:spacing w:after="0" w:line="240" w:lineRule="auto"/>
        <w:contextualSpacing/>
        <w:jc w:val="left"/>
        <w:rPr>
          <w:rFonts w:ascii="Arial" w:eastAsia="宋体" w:hAnsi="Arial" w:cs="Arial"/>
          <w:szCs w:val="20"/>
        </w:rPr>
      </w:pPr>
      <w:r w:rsidRPr="00234F60">
        <w:rPr>
          <w:rFonts w:ascii="Arial" w:eastAsia="宋体" w:hAnsi="Arial" w:cs="Arial"/>
          <w:szCs w:val="20"/>
        </w:rPr>
        <w:t>Specify the model to a desired version, e.g., text-davinci-003</w:t>
      </w:r>
      <w:r w:rsidRPr="00234F60">
        <w:rPr>
          <w:rFonts w:ascii="Arial" w:eastAsia="宋体" w:hAnsi="Arial" w:cs="Arial" w:hint="eastAsia"/>
          <w:szCs w:val="20"/>
        </w:rPr>
        <w:t xml:space="preserve">, </w:t>
      </w:r>
      <w:r w:rsidRPr="00234F60">
        <w:rPr>
          <w:rFonts w:ascii="Arial" w:eastAsia="宋体" w:hAnsi="Arial" w:cs="Arial"/>
          <w:szCs w:val="20"/>
        </w:rPr>
        <w:t>gpt-3.5-turbo</w:t>
      </w:r>
      <w:r w:rsidRPr="00234F60">
        <w:rPr>
          <w:rFonts w:ascii="Arial" w:eastAsia="宋体" w:hAnsi="Arial" w:cs="Arial" w:hint="eastAsia"/>
          <w:szCs w:val="20"/>
        </w:rPr>
        <w:t xml:space="preserve">, etc. </w:t>
      </w:r>
    </w:p>
    <w:p w14:paraId="6EA9F492" w14:textId="77777777" w:rsidR="00234F60" w:rsidRPr="00234F60" w:rsidRDefault="00234F60" w:rsidP="00234F60">
      <w:pPr>
        <w:widowControl/>
        <w:numPr>
          <w:ilvl w:val="0"/>
          <w:numId w:val="2"/>
        </w:numPr>
        <w:spacing w:after="0" w:line="240" w:lineRule="auto"/>
        <w:contextualSpacing/>
        <w:jc w:val="left"/>
        <w:rPr>
          <w:rFonts w:ascii="Arial" w:eastAsia="宋体" w:hAnsi="Arial" w:cs="Arial"/>
          <w:szCs w:val="20"/>
        </w:rPr>
      </w:pPr>
      <w:r w:rsidRPr="00234F60">
        <w:rPr>
          <w:rFonts w:ascii="Arial" w:eastAsia="宋体" w:hAnsi="Arial" w:cs="Arial"/>
          <w:szCs w:val="20"/>
        </w:rPr>
        <w:t>Assign the participant’s input as the prompt, using Qualtrics’ “Insert Piped Text” function.</w:t>
      </w:r>
    </w:p>
    <w:p w14:paraId="09186D0B" w14:textId="77777777" w:rsidR="00234F60" w:rsidRPr="00234F60" w:rsidRDefault="00234F60" w:rsidP="00234F60">
      <w:pPr>
        <w:widowControl/>
        <w:numPr>
          <w:ilvl w:val="0"/>
          <w:numId w:val="2"/>
        </w:numPr>
        <w:spacing w:after="0" w:line="240" w:lineRule="auto"/>
        <w:contextualSpacing/>
        <w:jc w:val="left"/>
        <w:rPr>
          <w:rFonts w:ascii="Arial" w:eastAsia="宋体" w:hAnsi="Arial" w:cs="Arial"/>
          <w:szCs w:val="20"/>
        </w:rPr>
      </w:pPr>
      <w:r w:rsidRPr="00234F60">
        <w:rPr>
          <w:rFonts w:ascii="Arial" w:eastAsia="宋体" w:hAnsi="Arial" w:cs="Arial"/>
          <w:szCs w:val="20"/>
        </w:rPr>
        <w:t>Adjust parameters like “</w:t>
      </w:r>
      <w:proofErr w:type="spellStart"/>
      <w:r w:rsidRPr="00234F60">
        <w:rPr>
          <w:rFonts w:ascii="Arial" w:eastAsia="宋体" w:hAnsi="Arial" w:cs="Arial"/>
          <w:szCs w:val="20"/>
        </w:rPr>
        <w:t>max_tokens</w:t>
      </w:r>
      <w:proofErr w:type="spellEnd"/>
      <w:r w:rsidRPr="00234F60">
        <w:rPr>
          <w:rFonts w:ascii="Arial" w:eastAsia="宋体" w:hAnsi="Arial" w:cs="Arial"/>
          <w:szCs w:val="20"/>
        </w:rPr>
        <w:t>” and “temperature” based on research requirements.</w:t>
      </w:r>
    </w:p>
    <w:p w14:paraId="091BF6F9"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4. Proper Authorization is vital; hence, the OpenAI API key must be securely placed in the designated space.</w:t>
      </w:r>
    </w:p>
    <w:p w14:paraId="10DE55DF"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5. Once appropriately configured, the OpenAI API interprets the input and formulates a response.</w:t>
      </w:r>
    </w:p>
    <w:p w14:paraId="3C911451"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6. This output is subsequently captured using Qualtrics’ “Embedded Data” function, exemplified by the “</w:t>
      </w:r>
      <w:proofErr w:type="spellStart"/>
      <w:proofErr w:type="gramStart"/>
      <w:r w:rsidRPr="00234F60">
        <w:rPr>
          <w:rFonts w:ascii="Arial" w:eastAsia="宋体" w:hAnsi="Arial" w:cs="Arial"/>
          <w:szCs w:val="20"/>
        </w:rPr>
        <w:t>api.response</w:t>
      </w:r>
      <w:proofErr w:type="spellEnd"/>
      <w:proofErr w:type="gramEnd"/>
      <w:r w:rsidRPr="00234F60">
        <w:rPr>
          <w:rFonts w:ascii="Arial" w:eastAsia="宋体" w:hAnsi="Arial" w:cs="Arial"/>
          <w:szCs w:val="20"/>
        </w:rPr>
        <w:t xml:space="preserve">” </w:t>
      </w:r>
      <w:r w:rsidRPr="00234F60">
        <w:rPr>
          <w:rFonts w:ascii="Wingdings" w:eastAsia="Wingdings" w:hAnsi="Wingdings" w:cs="Wingdings"/>
          <w:szCs w:val="20"/>
        </w:rPr>
        <w:t>à</w:t>
      </w:r>
      <w:r w:rsidRPr="00234F60">
        <w:rPr>
          <w:rFonts w:ascii="Arial" w:eastAsia="宋体" w:hAnsi="Arial" w:cs="Arial"/>
          <w:szCs w:val="20"/>
        </w:rPr>
        <w:t xml:space="preserve"> “choices.0.text” mapping.</w:t>
      </w:r>
    </w:p>
    <w:p w14:paraId="24C54C22"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szCs w:val="20"/>
        </w:rPr>
        <w:t xml:space="preserve">7. As participants proceed to the next survey page, they are presented with ChatGPT’s interpretative response to their initial prompt. </w:t>
      </w:r>
    </w:p>
    <w:p w14:paraId="40066C9F" w14:textId="77777777" w:rsidR="00234F60" w:rsidRPr="00234F60" w:rsidRDefault="00234F60" w:rsidP="00234F60">
      <w:pPr>
        <w:widowControl/>
        <w:spacing w:after="0" w:line="276" w:lineRule="auto"/>
        <w:jc w:val="left"/>
        <w:rPr>
          <w:rFonts w:ascii="Arial" w:eastAsia="宋体" w:hAnsi="Arial" w:cs="Arial"/>
          <w:b/>
          <w:bCs/>
          <w:szCs w:val="20"/>
        </w:rPr>
      </w:pPr>
      <w:r w:rsidRPr="00234F60">
        <w:rPr>
          <w:rFonts w:ascii="Arial" w:eastAsia="宋体" w:hAnsi="Arial" w:cs="Arial"/>
          <w:b/>
          <w:bCs/>
          <w:szCs w:val="20"/>
        </w:rPr>
        <w:br w:type="page"/>
      </w:r>
    </w:p>
    <w:p w14:paraId="5181F969" w14:textId="77777777" w:rsidR="00234F60" w:rsidRPr="00234F60" w:rsidRDefault="00234F60" w:rsidP="00234F60">
      <w:pPr>
        <w:spacing w:after="0" w:line="240" w:lineRule="auto"/>
        <w:jc w:val="left"/>
        <w:rPr>
          <w:rFonts w:ascii="Arial" w:eastAsia="宋体" w:hAnsi="Arial" w:cs="Arial"/>
          <w:b/>
          <w:bCs/>
          <w:szCs w:val="20"/>
        </w:rPr>
      </w:pPr>
      <w:r w:rsidRPr="00234F60">
        <w:rPr>
          <w:rFonts w:ascii="Arial" w:eastAsia="宋体" w:hAnsi="Arial" w:cs="Arial"/>
          <w:b/>
          <w:bCs/>
          <w:szCs w:val="20"/>
        </w:rPr>
        <w:lastRenderedPageBreak/>
        <w:t xml:space="preserve">Supplementary Figure 2. Sample Evaluation Form </w:t>
      </w:r>
      <w:r w:rsidRPr="00234F60">
        <w:rPr>
          <w:rFonts w:ascii="Arial" w:eastAsia="宋体" w:hAnsi="Arial" w:cs="Arial" w:hint="eastAsia"/>
          <w:b/>
          <w:bCs/>
          <w:szCs w:val="20"/>
        </w:rPr>
        <w:t xml:space="preserve">(for </w:t>
      </w:r>
      <w:r w:rsidRPr="00234F60">
        <w:rPr>
          <w:rFonts w:ascii="Arial" w:eastAsia="宋体" w:hAnsi="Arial" w:cs="Arial"/>
          <w:b/>
          <w:bCs/>
          <w:szCs w:val="20"/>
        </w:rPr>
        <w:t>Study 1 Task 1</w:t>
      </w:r>
      <w:r w:rsidRPr="00234F60">
        <w:rPr>
          <w:rFonts w:ascii="Arial" w:eastAsia="宋体" w:hAnsi="Arial" w:cs="Arial" w:hint="eastAsia"/>
          <w:b/>
          <w:bCs/>
          <w:szCs w:val="20"/>
        </w:rPr>
        <w:t xml:space="preserve"> Output)</w:t>
      </w:r>
    </w:p>
    <w:p w14:paraId="024A0F55" w14:textId="77777777" w:rsidR="00234F60" w:rsidRPr="00234F60" w:rsidRDefault="00234F60" w:rsidP="00234F60">
      <w:pPr>
        <w:spacing w:after="0" w:line="240" w:lineRule="auto"/>
        <w:jc w:val="center"/>
        <w:rPr>
          <w:rFonts w:ascii="Arial" w:eastAsia="宋体" w:hAnsi="Arial" w:cs="Arial"/>
          <w:noProof/>
          <w:sz w:val="24"/>
        </w:rPr>
      </w:pPr>
    </w:p>
    <w:p w14:paraId="6E3AEFB7" w14:textId="77777777" w:rsidR="00234F60" w:rsidRPr="00234F60" w:rsidRDefault="00234F60" w:rsidP="00234F60">
      <w:pPr>
        <w:spacing w:after="0" w:line="240" w:lineRule="auto"/>
        <w:jc w:val="center"/>
        <w:rPr>
          <w:rFonts w:ascii="Arial" w:eastAsia="宋体" w:hAnsi="Arial" w:cs="Arial"/>
          <w:sz w:val="24"/>
        </w:rPr>
      </w:pPr>
      <w:r w:rsidRPr="00234F60">
        <w:rPr>
          <w:rFonts w:ascii="Arial" w:eastAsia="宋体" w:hAnsi="Arial" w:cs="Arial"/>
          <w:noProof/>
          <w:sz w:val="24"/>
        </w:rPr>
        <w:drawing>
          <wp:inline distT="0" distB="0" distL="0" distR="0" wp14:anchorId="34751985" wp14:editId="0B60D5F7">
            <wp:extent cx="5714400" cy="3871356"/>
            <wp:effectExtent l="0" t="0" r="635" b="0"/>
            <wp:docPr id="48099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98250" name=""/>
                    <pic:cNvPicPr/>
                  </pic:nvPicPr>
                  <pic:blipFill rotWithShape="1">
                    <a:blip r:embed="rId10"/>
                    <a:srcRect b="1710"/>
                    <a:stretch/>
                  </pic:blipFill>
                  <pic:spPr bwMode="auto">
                    <a:xfrm>
                      <a:off x="0" y="0"/>
                      <a:ext cx="5716253" cy="3872612"/>
                    </a:xfrm>
                    <a:prstGeom prst="rect">
                      <a:avLst/>
                    </a:prstGeom>
                    <a:ln>
                      <a:noFill/>
                    </a:ln>
                    <a:extLst>
                      <a:ext uri="{53640926-AAD7-44D8-BBD7-CCE9431645EC}">
                        <a14:shadowObscured xmlns:a14="http://schemas.microsoft.com/office/drawing/2010/main"/>
                      </a:ext>
                    </a:extLst>
                  </pic:spPr>
                </pic:pic>
              </a:graphicData>
            </a:graphic>
          </wp:inline>
        </w:drawing>
      </w:r>
    </w:p>
    <w:p w14:paraId="660B3664" w14:textId="77777777" w:rsidR="00234F60" w:rsidRPr="00234F60" w:rsidRDefault="00234F60" w:rsidP="00234F60">
      <w:pPr>
        <w:spacing w:after="0" w:line="240" w:lineRule="auto"/>
        <w:jc w:val="center"/>
        <w:rPr>
          <w:rFonts w:ascii="Arial" w:eastAsia="宋体" w:hAnsi="Arial" w:cs="Arial"/>
          <w:sz w:val="24"/>
        </w:rPr>
      </w:pPr>
    </w:p>
    <w:p w14:paraId="57329549" w14:textId="77777777" w:rsidR="00234F60" w:rsidRPr="00234F60" w:rsidRDefault="00234F60" w:rsidP="00234F60">
      <w:pPr>
        <w:spacing w:after="0" w:line="240" w:lineRule="auto"/>
        <w:rPr>
          <w:rFonts w:ascii="Arial" w:eastAsia="宋体" w:hAnsi="Arial" w:cs="Arial"/>
          <w:szCs w:val="20"/>
        </w:rPr>
      </w:pPr>
      <w:r w:rsidRPr="00234F60">
        <w:rPr>
          <w:rFonts w:ascii="Arial" w:eastAsia="宋体" w:hAnsi="Arial" w:cs="Arial"/>
          <w:b/>
          <w:bCs/>
          <w:i/>
          <w:iCs/>
          <w:szCs w:val="20"/>
        </w:rPr>
        <w:t>Note:</w:t>
      </w:r>
      <w:r w:rsidRPr="00234F60">
        <w:rPr>
          <w:rFonts w:ascii="Arial" w:eastAsia="宋体" w:hAnsi="Arial" w:cs="Arial"/>
          <w:szCs w:val="20"/>
        </w:rPr>
        <w:t xml:space="preserve"> Each post is evaluated based on two criteria: how Engaging and how Informative it is. A five-point rating scale, ranging from “Poor” to “Excellent”, is employed to quantify the assessment of each post for both criteria.</w:t>
      </w:r>
    </w:p>
    <w:p w14:paraId="4A95EE21" w14:textId="77777777" w:rsidR="00234F60" w:rsidRPr="00234F60" w:rsidRDefault="00234F60" w:rsidP="00234F60">
      <w:pPr>
        <w:spacing w:after="0" w:line="240" w:lineRule="auto"/>
        <w:rPr>
          <w:rFonts w:ascii="Arial" w:eastAsia="宋体" w:hAnsi="Arial" w:cs="Arial"/>
          <w:sz w:val="24"/>
        </w:rPr>
      </w:pPr>
    </w:p>
    <w:p w14:paraId="74DD554E" w14:textId="77777777" w:rsidR="00234F60" w:rsidRPr="00234F60" w:rsidRDefault="00234F60" w:rsidP="00234F60">
      <w:pPr>
        <w:widowControl/>
        <w:jc w:val="left"/>
        <w:rPr>
          <w:rFonts w:ascii="Arial" w:eastAsia="宋体" w:hAnsi="Arial" w:cs="Arial"/>
          <w:b/>
          <w:bCs/>
          <w:szCs w:val="20"/>
        </w:rPr>
      </w:pPr>
      <w:r w:rsidRPr="00234F60">
        <w:rPr>
          <w:rFonts w:ascii="Arial" w:eastAsia="宋体" w:hAnsi="Arial" w:cs="Arial"/>
          <w:b/>
          <w:bCs/>
          <w:szCs w:val="20"/>
        </w:rPr>
        <w:br w:type="page"/>
      </w:r>
    </w:p>
    <w:p w14:paraId="6A1E920F" w14:textId="77777777" w:rsidR="00234F60" w:rsidRPr="00234F60" w:rsidRDefault="00234F60" w:rsidP="00234F60">
      <w:pPr>
        <w:spacing w:after="0" w:line="240" w:lineRule="auto"/>
        <w:jc w:val="left"/>
        <w:rPr>
          <w:rFonts w:ascii="Arial" w:eastAsia="宋体" w:hAnsi="Arial" w:cs="Arial"/>
          <w:b/>
          <w:bCs/>
          <w:szCs w:val="20"/>
        </w:rPr>
      </w:pPr>
      <w:bookmarkStart w:id="0" w:name="_Hlk149324499"/>
      <w:r w:rsidRPr="00234F60">
        <w:rPr>
          <w:rFonts w:ascii="Arial" w:eastAsia="宋体" w:hAnsi="Arial" w:cs="Arial"/>
          <w:b/>
          <w:bCs/>
          <w:szCs w:val="20"/>
        </w:rPr>
        <w:lastRenderedPageBreak/>
        <w:t>Supplementary Figure 3. Sample Evaluation Form (</w:t>
      </w:r>
      <w:r w:rsidRPr="00234F60">
        <w:rPr>
          <w:rFonts w:ascii="Arial" w:eastAsia="宋体" w:hAnsi="Arial" w:cs="Arial" w:hint="eastAsia"/>
          <w:b/>
          <w:bCs/>
          <w:szCs w:val="20"/>
        </w:rPr>
        <w:t xml:space="preserve">for </w:t>
      </w:r>
      <w:r w:rsidRPr="00234F60">
        <w:rPr>
          <w:rFonts w:ascii="Arial" w:eastAsia="宋体" w:hAnsi="Arial" w:cs="Arial"/>
          <w:b/>
          <w:bCs/>
          <w:szCs w:val="20"/>
        </w:rPr>
        <w:t xml:space="preserve">Study 1 Task </w:t>
      </w:r>
      <w:r w:rsidRPr="00234F60">
        <w:rPr>
          <w:rFonts w:ascii="Arial" w:eastAsia="宋体" w:hAnsi="Arial" w:cs="Arial" w:hint="eastAsia"/>
          <w:b/>
          <w:bCs/>
          <w:szCs w:val="20"/>
        </w:rPr>
        <w:t>2 Output</w:t>
      </w:r>
      <w:r w:rsidRPr="00234F60">
        <w:rPr>
          <w:rFonts w:ascii="Arial" w:eastAsia="宋体" w:hAnsi="Arial" w:cs="Arial"/>
          <w:b/>
          <w:bCs/>
          <w:szCs w:val="20"/>
        </w:rPr>
        <w:t>)</w:t>
      </w:r>
    </w:p>
    <w:bookmarkEnd w:id="0"/>
    <w:p w14:paraId="31D64C0D" w14:textId="77777777" w:rsidR="00234F60" w:rsidRPr="00234F60" w:rsidRDefault="00234F60" w:rsidP="00234F60">
      <w:pPr>
        <w:spacing w:after="0" w:line="240" w:lineRule="auto"/>
        <w:jc w:val="left"/>
        <w:rPr>
          <w:rFonts w:ascii="Arial" w:eastAsia="宋体" w:hAnsi="Arial" w:cs="Arial"/>
          <w:b/>
          <w:bCs/>
          <w:szCs w:val="20"/>
        </w:rPr>
      </w:pPr>
    </w:p>
    <w:p w14:paraId="05305935" w14:textId="77777777" w:rsidR="00234F60" w:rsidRPr="00234F60" w:rsidRDefault="00234F60" w:rsidP="00234F60">
      <w:pPr>
        <w:spacing w:after="0" w:line="240" w:lineRule="auto"/>
        <w:jc w:val="center"/>
        <w:rPr>
          <w:rFonts w:ascii="Arial" w:eastAsia="宋体" w:hAnsi="Arial" w:cs="Arial"/>
          <w:sz w:val="24"/>
        </w:rPr>
      </w:pPr>
      <w:r w:rsidRPr="00234F60">
        <w:rPr>
          <w:rFonts w:ascii="Arial" w:eastAsia="宋体" w:hAnsi="Arial" w:cs="Arial"/>
          <w:noProof/>
          <w:sz w:val="24"/>
        </w:rPr>
        <w:drawing>
          <wp:inline distT="0" distB="0" distL="0" distR="0" wp14:anchorId="1CFD259F" wp14:editId="369903C7">
            <wp:extent cx="5744957" cy="3259810"/>
            <wp:effectExtent l="0" t="0" r="8255" b="0"/>
            <wp:docPr id="2116798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98652" name=""/>
                    <pic:cNvPicPr/>
                  </pic:nvPicPr>
                  <pic:blipFill>
                    <a:blip r:embed="rId11"/>
                    <a:stretch>
                      <a:fillRect/>
                    </a:stretch>
                  </pic:blipFill>
                  <pic:spPr>
                    <a:xfrm>
                      <a:off x="0" y="0"/>
                      <a:ext cx="5758582" cy="3267541"/>
                    </a:xfrm>
                    <a:prstGeom prst="rect">
                      <a:avLst/>
                    </a:prstGeom>
                  </pic:spPr>
                </pic:pic>
              </a:graphicData>
            </a:graphic>
          </wp:inline>
        </w:drawing>
      </w:r>
    </w:p>
    <w:p w14:paraId="2ADAE87F" w14:textId="77777777" w:rsidR="00234F60" w:rsidRPr="00234F60" w:rsidRDefault="00234F60" w:rsidP="00234F60">
      <w:pPr>
        <w:spacing w:after="0" w:line="240" w:lineRule="auto"/>
        <w:jc w:val="left"/>
        <w:rPr>
          <w:rFonts w:ascii="Arial" w:eastAsia="宋体" w:hAnsi="Arial" w:cs="Arial"/>
          <w:b/>
          <w:bCs/>
          <w:i/>
          <w:iCs/>
          <w:szCs w:val="20"/>
        </w:rPr>
      </w:pPr>
    </w:p>
    <w:p w14:paraId="2B162A5A"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b/>
          <w:bCs/>
          <w:i/>
          <w:iCs/>
          <w:szCs w:val="20"/>
        </w:rPr>
        <w:t>Note:</w:t>
      </w:r>
      <w:r w:rsidRPr="00234F60">
        <w:rPr>
          <w:rFonts w:ascii="Arial" w:eastAsia="宋体" w:hAnsi="Arial" w:cs="Arial"/>
          <w:szCs w:val="20"/>
        </w:rPr>
        <w:t xml:space="preserve"> The table delineates the alternative uses of soda cans as proposed by various participants. Each entry presents a list of innovative applications ranging from practical utilities to imaginative constructs. The accompanying evaluation column emphasizes the objective of identifying the most creative use from each participant’s list. The subsequent rating column adopts a five-point scale, from “Poor” to “Excellent”, designed to </w:t>
      </w:r>
      <w:r w:rsidRPr="00234F60">
        <w:rPr>
          <w:rFonts w:ascii="Arial" w:eastAsia="宋体" w:hAnsi="Arial" w:cs="Arial" w:hint="eastAsia"/>
          <w:szCs w:val="20"/>
        </w:rPr>
        <w:t>assess</w:t>
      </w:r>
      <w:r w:rsidRPr="00234F60">
        <w:rPr>
          <w:rFonts w:ascii="Arial" w:eastAsia="宋体" w:hAnsi="Arial" w:cs="Arial"/>
          <w:szCs w:val="20"/>
        </w:rPr>
        <w:t xml:space="preserve"> the creativity of the participant’s output. </w:t>
      </w:r>
    </w:p>
    <w:p w14:paraId="0C638CD9" w14:textId="77777777" w:rsidR="00234F60" w:rsidRPr="00234F60" w:rsidRDefault="00234F60" w:rsidP="00234F60">
      <w:pPr>
        <w:widowControl/>
        <w:spacing w:after="0" w:line="276" w:lineRule="auto"/>
        <w:jc w:val="left"/>
        <w:rPr>
          <w:rFonts w:ascii="Arial" w:eastAsia="宋体" w:hAnsi="Arial" w:cs="Arial"/>
          <w:kern w:val="0"/>
          <w:lang w:val="en"/>
          <w14:ligatures w14:val="none"/>
        </w:rPr>
      </w:pPr>
      <w:r w:rsidRPr="00234F60">
        <w:rPr>
          <w:rFonts w:ascii="Arial" w:eastAsia="宋体" w:hAnsi="Arial" w:cs="Arial"/>
          <w:kern w:val="0"/>
          <w:lang w:val="en"/>
          <w14:ligatures w14:val="none"/>
        </w:rPr>
        <w:br w:type="page"/>
      </w:r>
    </w:p>
    <w:p w14:paraId="621F259D" w14:textId="77777777" w:rsidR="00234F60" w:rsidRPr="00234F60" w:rsidRDefault="00234F60" w:rsidP="00234F60">
      <w:pPr>
        <w:spacing w:after="0" w:line="240" w:lineRule="auto"/>
        <w:jc w:val="left"/>
        <w:rPr>
          <w:rFonts w:ascii="Arial" w:eastAsia="宋体" w:hAnsi="Arial" w:cs="Arial"/>
          <w:b/>
          <w:bCs/>
          <w:szCs w:val="20"/>
        </w:rPr>
      </w:pPr>
      <w:r w:rsidRPr="00234F60">
        <w:rPr>
          <w:rFonts w:ascii="Arial" w:eastAsia="宋体" w:hAnsi="Arial" w:cs="Arial"/>
          <w:b/>
          <w:bCs/>
          <w:szCs w:val="20"/>
        </w:rPr>
        <w:lastRenderedPageBreak/>
        <w:t xml:space="preserve">Supplementary Figure </w:t>
      </w:r>
      <w:r w:rsidRPr="00234F60">
        <w:rPr>
          <w:rFonts w:ascii="Arial" w:eastAsia="宋体" w:hAnsi="Arial" w:cs="Arial" w:hint="eastAsia"/>
          <w:b/>
          <w:bCs/>
          <w:szCs w:val="20"/>
        </w:rPr>
        <w:t>4</w:t>
      </w:r>
      <w:r w:rsidRPr="00234F60">
        <w:rPr>
          <w:rFonts w:ascii="Arial" w:eastAsia="宋体" w:hAnsi="Arial" w:cs="Arial"/>
          <w:b/>
          <w:bCs/>
          <w:szCs w:val="20"/>
        </w:rPr>
        <w:t>. Sample Evaluation Form (</w:t>
      </w:r>
      <w:r w:rsidRPr="00234F60">
        <w:rPr>
          <w:rFonts w:ascii="Arial" w:eastAsia="宋体" w:hAnsi="Arial" w:cs="Arial" w:hint="eastAsia"/>
          <w:b/>
          <w:bCs/>
          <w:szCs w:val="20"/>
        </w:rPr>
        <w:t xml:space="preserve">for </w:t>
      </w:r>
      <w:r w:rsidRPr="00234F60">
        <w:rPr>
          <w:rFonts w:ascii="Arial" w:eastAsia="宋体" w:hAnsi="Arial" w:cs="Arial"/>
          <w:b/>
          <w:bCs/>
          <w:szCs w:val="20"/>
        </w:rPr>
        <w:t xml:space="preserve">Study </w:t>
      </w:r>
      <w:r w:rsidRPr="00234F60">
        <w:rPr>
          <w:rFonts w:ascii="Arial" w:eastAsia="宋体" w:hAnsi="Arial" w:cs="Arial" w:hint="eastAsia"/>
          <w:b/>
          <w:bCs/>
          <w:szCs w:val="20"/>
        </w:rPr>
        <w:t>2</w:t>
      </w:r>
      <w:r w:rsidRPr="00234F60">
        <w:rPr>
          <w:rFonts w:ascii="Arial" w:eastAsia="宋体" w:hAnsi="Arial" w:cs="Arial"/>
          <w:b/>
          <w:bCs/>
          <w:szCs w:val="20"/>
        </w:rPr>
        <w:t xml:space="preserve"> Task </w:t>
      </w:r>
      <w:r w:rsidRPr="00234F60">
        <w:rPr>
          <w:rFonts w:ascii="Arial" w:eastAsia="宋体" w:hAnsi="Arial" w:cs="Arial" w:hint="eastAsia"/>
          <w:b/>
          <w:bCs/>
          <w:szCs w:val="20"/>
        </w:rPr>
        <w:t>2 Output</w:t>
      </w:r>
      <w:r w:rsidRPr="00234F60">
        <w:rPr>
          <w:rFonts w:ascii="Arial" w:eastAsia="宋体" w:hAnsi="Arial" w:cs="Arial"/>
          <w:b/>
          <w:bCs/>
          <w:szCs w:val="20"/>
        </w:rPr>
        <w:t>)</w:t>
      </w:r>
    </w:p>
    <w:p w14:paraId="5FF2EE7F" w14:textId="77777777" w:rsidR="00234F60" w:rsidRPr="00234F60" w:rsidRDefault="00234F60" w:rsidP="00234F60">
      <w:pPr>
        <w:spacing w:after="0" w:line="240" w:lineRule="auto"/>
        <w:jc w:val="left"/>
        <w:rPr>
          <w:rFonts w:ascii="Arial" w:eastAsia="宋体" w:hAnsi="Arial" w:cs="Arial"/>
          <w:b/>
          <w:bCs/>
          <w:szCs w:val="20"/>
        </w:rPr>
      </w:pPr>
    </w:p>
    <w:p w14:paraId="05B45EA6" w14:textId="77777777" w:rsidR="00234F60" w:rsidRPr="00234F60" w:rsidRDefault="00234F60" w:rsidP="00234F60">
      <w:pPr>
        <w:spacing w:after="0" w:line="240" w:lineRule="auto"/>
        <w:jc w:val="center"/>
        <w:rPr>
          <w:rFonts w:ascii="Arial" w:eastAsia="宋体" w:hAnsi="Arial" w:cs="Arial"/>
          <w:sz w:val="24"/>
        </w:rPr>
      </w:pPr>
      <w:r w:rsidRPr="00234F60">
        <w:rPr>
          <w:rFonts w:ascii="Arial" w:eastAsia="宋体" w:hAnsi="Arial" w:cs="Arial"/>
          <w:noProof/>
          <w:kern w:val="0"/>
          <w:lang w:val="en"/>
          <w14:ligatures w14:val="none"/>
        </w:rPr>
        <w:drawing>
          <wp:inline distT="0" distB="0" distL="0" distR="0" wp14:anchorId="2732B9EB" wp14:editId="601330EE">
            <wp:extent cx="5731510" cy="2680970"/>
            <wp:effectExtent l="0" t="0" r="2540" b="5080"/>
            <wp:docPr id="2033621392" name="图片 1"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21392" name="图片 1" descr="表格&#10;&#10;描述已自动生成"/>
                    <pic:cNvPicPr/>
                  </pic:nvPicPr>
                  <pic:blipFill>
                    <a:blip r:embed="rId12"/>
                    <a:stretch>
                      <a:fillRect/>
                    </a:stretch>
                  </pic:blipFill>
                  <pic:spPr>
                    <a:xfrm>
                      <a:off x="0" y="0"/>
                      <a:ext cx="5731510" cy="2680970"/>
                    </a:xfrm>
                    <a:prstGeom prst="rect">
                      <a:avLst/>
                    </a:prstGeom>
                  </pic:spPr>
                </pic:pic>
              </a:graphicData>
            </a:graphic>
          </wp:inline>
        </w:drawing>
      </w:r>
    </w:p>
    <w:p w14:paraId="739FB7FB" w14:textId="77777777" w:rsidR="00234F60" w:rsidRPr="00234F60" w:rsidRDefault="00234F60" w:rsidP="00234F60">
      <w:pPr>
        <w:spacing w:after="0" w:line="240" w:lineRule="auto"/>
        <w:jc w:val="left"/>
        <w:rPr>
          <w:rFonts w:ascii="Arial" w:eastAsia="宋体" w:hAnsi="Arial" w:cs="Arial"/>
          <w:b/>
          <w:bCs/>
          <w:i/>
          <w:iCs/>
          <w:szCs w:val="20"/>
        </w:rPr>
      </w:pPr>
    </w:p>
    <w:p w14:paraId="5162026E"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b/>
          <w:bCs/>
          <w:i/>
          <w:iCs/>
          <w:szCs w:val="20"/>
        </w:rPr>
        <w:t>Note:</w:t>
      </w:r>
      <w:r w:rsidRPr="00234F60">
        <w:rPr>
          <w:rFonts w:ascii="Arial" w:eastAsia="宋体" w:hAnsi="Arial" w:cs="Arial"/>
          <w:szCs w:val="20"/>
        </w:rPr>
        <w:t xml:space="preserve"> The coding of these ideas, generated from the perspective of a product manager for </w:t>
      </w:r>
      <w:proofErr w:type="spellStart"/>
      <w:r w:rsidRPr="00234F60">
        <w:rPr>
          <w:rFonts w:ascii="Arial" w:eastAsia="宋体" w:hAnsi="Arial" w:cs="Arial"/>
          <w:szCs w:val="20"/>
        </w:rPr>
        <w:t>Everwrite</w:t>
      </w:r>
      <w:proofErr w:type="spellEnd"/>
      <w:r w:rsidRPr="00234F60">
        <w:rPr>
          <w:rFonts w:ascii="Arial" w:eastAsia="宋体" w:hAnsi="Arial" w:cs="Arial"/>
          <w:szCs w:val="20"/>
        </w:rPr>
        <w:t xml:space="preserve"> Co., focuses on enhancing the Interactive Whiteboard by assessing the ideas on two dimensions: novelty and usefulness. Novelty refers to the extent to which an idea is innovative and unique, while usefulness pertains to the idea’s ability to address the evolving demands of customers in modern work environments. </w:t>
      </w:r>
      <w:r w:rsidRPr="00234F60">
        <w:rPr>
          <w:rFonts w:ascii="Arial" w:eastAsia="宋体" w:hAnsi="Arial" w:cs="Arial" w:hint="eastAsia"/>
          <w:szCs w:val="20"/>
        </w:rPr>
        <w:t xml:space="preserve">Raters scored responses from each participant </w:t>
      </w:r>
      <w:r w:rsidRPr="00234F60">
        <w:rPr>
          <w:rFonts w:ascii="Arial" w:eastAsia="宋体" w:hAnsi="Arial" w:cs="Arial"/>
          <w:szCs w:val="20"/>
        </w:rPr>
        <w:t>from “Poor” to “Excellent”</w:t>
      </w:r>
      <w:r w:rsidRPr="00234F60">
        <w:rPr>
          <w:rFonts w:ascii="Arial" w:eastAsia="宋体" w:hAnsi="Arial" w:cs="Arial" w:hint="eastAsia"/>
          <w:szCs w:val="20"/>
        </w:rPr>
        <w:t xml:space="preserve">. </w:t>
      </w:r>
    </w:p>
    <w:p w14:paraId="380425AE" w14:textId="77777777" w:rsidR="00234F60" w:rsidRPr="00234F60" w:rsidRDefault="00234F60" w:rsidP="00234F60">
      <w:pPr>
        <w:widowControl/>
        <w:spacing w:after="0" w:line="276" w:lineRule="auto"/>
        <w:jc w:val="left"/>
        <w:rPr>
          <w:rFonts w:ascii="Arial" w:eastAsia="宋体" w:hAnsi="Arial" w:cs="Arial"/>
          <w:kern w:val="0"/>
          <w14:ligatures w14:val="none"/>
        </w:rPr>
      </w:pPr>
      <w:r w:rsidRPr="00234F60">
        <w:rPr>
          <w:rFonts w:ascii="Arial" w:eastAsia="宋体" w:hAnsi="Arial" w:cs="Arial"/>
          <w:kern w:val="0"/>
          <w14:ligatures w14:val="none"/>
        </w:rPr>
        <w:br w:type="page"/>
      </w:r>
    </w:p>
    <w:p w14:paraId="12265762" w14:textId="77777777" w:rsidR="00234F60" w:rsidRPr="00234F60" w:rsidRDefault="00234F60" w:rsidP="00234F60">
      <w:pPr>
        <w:spacing w:after="0" w:line="240" w:lineRule="auto"/>
        <w:jc w:val="left"/>
        <w:rPr>
          <w:rFonts w:ascii="Arial" w:eastAsia="宋体" w:hAnsi="Arial" w:cs="Arial"/>
          <w:b/>
          <w:bCs/>
          <w:szCs w:val="20"/>
        </w:rPr>
      </w:pPr>
      <w:r w:rsidRPr="00234F60">
        <w:rPr>
          <w:rFonts w:ascii="Arial" w:eastAsia="宋体" w:hAnsi="Arial" w:cs="Arial"/>
          <w:b/>
          <w:bCs/>
          <w:szCs w:val="20"/>
        </w:rPr>
        <w:lastRenderedPageBreak/>
        <w:t xml:space="preserve">Supplementary Figure </w:t>
      </w:r>
      <w:r w:rsidRPr="00234F60">
        <w:rPr>
          <w:rFonts w:ascii="Arial" w:eastAsia="宋体" w:hAnsi="Arial" w:cs="Arial" w:hint="eastAsia"/>
          <w:b/>
          <w:bCs/>
          <w:szCs w:val="20"/>
        </w:rPr>
        <w:t>5</w:t>
      </w:r>
      <w:r w:rsidRPr="00234F60">
        <w:rPr>
          <w:rFonts w:ascii="Arial" w:eastAsia="宋体" w:hAnsi="Arial" w:cs="Arial"/>
          <w:b/>
          <w:bCs/>
          <w:szCs w:val="20"/>
        </w:rPr>
        <w:t>. Sample Evaluation Form (</w:t>
      </w:r>
      <w:r w:rsidRPr="00234F60">
        <w:rPr>
          <w:rFonts w:ascii="Arial" w:eastAsia="宋体" w:hAnsi="Arial" w:cs="Arial" w:hint="eastAsia"/>
          <w:b/>
          <w:bCs/>
          <w:szCs w:val="20"/>
        </w:rPr>
        <w:t xml:space="preserve">for </w:t>
      </w:r>
      <w:r w:rsidRPr="00234F60">
        <w:rPr>
          <w:rFonts w:ascii="Arial" w:eastAsia="宋体" w:hAnsi="Arial" w:cs="Arial"/>
          <w:b/>
          <w:bCs/>
          <w:szCs w:val="20"/>
        </w:rPr>
        <w:t xml:space="preserve">Study </w:t>
      </w:r>
      <w:r w:rsidRPr="00234F60">
        <w:rPr>
          <w:rFonts w:ascii="Arial" w:eastAsia="宋体" w:hAnsi="Arial" w:cs="Arial" w:hint="eastAsia"/>
          <w:b/>
          <w:bCs/>
          <w:szCs w:val="20"/>
        </w:rPr>
        <w:t>3</w:t>
      </w:r>
      <w:r w:rsidRPr="00234F60">
        <w:rPr>
          <w:rFonts w:ascii="Arial" w:eastAsia="宋体" w:hAnsi="Arial" w:cs="Arial"/>
          <w:b/>
          <w:bCs/>
          <w:szCs w:val="20"/>
        </w:rPr>
        <w:t xml:space="preserve"> Task </w:t>
      </w:r>
      <w:r w:rsidRPr="00234F60">
        <w:rPr>
          <w:rFonts w:ascii="Arial" w:eastAsia="宋体" w:hAnsi="Arial" w:cs="Arial" w:hint="eastAsia"/>
          <w:b/>
          <w:bCs/>
          <w:szCs w:val="20"/>
        </w:rPr>
        <w:t>2 Output</w:t>
      </w:r>
      <w:r w:rsidRPr="00234F60">
        <w:rPr>
          <w:rFonts w:ascii="Arial" w:eastAsia="宋体" w:hAnsi="Arial" w:cs="Arial"/>
          <w:b/>
          <w:bCs/>
          <w:szCs w:val="20"/>
        </w:rPr>
        <w:t>)</w:t>
      </w:r>
    </w:p>
    <w:p w14:paraId="63F315E7" w14:textId="77777777" w:rsidR="00234F60" w:rsidRPr="00234F60" w:rsidRDefault="00234F60" w:rsidP="00234F60">
      <w:pPr>
        <w:spacing w:after="0" w:line="240" w:lineRule="auto"/>
        <w:rPr>
          <w:rFonts w:ascii="Arial" w:eastAsia="宋体" w:hAnsi="Arial" w:cs="Arial"/>
          <w:sz w:val="24"/>
        </w:rPr>
      </w:pPr>
    </w:p>
    <w:p w14:paraId="7F9C2DCF" w14:textId="77777777" w:rsidR="00234F60" w:rsidRPr="00234F60" w:rsidRDefault="00234F60" w:rsidP="00234F60">
      <w:pPr>
        <w:spacing w:after="0" w:line="240" w:lineRule="auto"/>
        <w:jc w:val="center"/>
        <w:rPr>
          <w:rFonts w:ascii="Arial" w:eastAsia="宋体" w:hAnsi="Arial" w:cs="Arial"/>
          <w:sz w:val="24"/>
        </w:rPr>
      </w:pPr>
      <w:r w:rsidRPr="00234F60">
        <w:rPr>
          <w:rFonts w:ascii="Arial" w:eastAsia="宋体" w:hAnsi="Arial" w:cs="Arial"/>
          <w:noProof/>
          <w:kern w:val="0"/>
          <w:lang w:val="en"/>
          <w14:ligatures w14:val="none"/>
        </w:rPr>
        <w:drawing>
          <wp:inline distT="0" distB="0" distL="0" distR="0" wp14:anchorId="5B48FC04" wp14:editId="19F91254">
            <wp:extent cx="5731510" cy="2810510"/>
            <wp:effectExtent l="0" t="0" r="2540" b="8890"/>
            <wp:docPr id="2001743144" name="图片 1" descr="表格&#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743144" name="图片 1" descr="表格&#10;&#10;中度可信度描述已自动生成"/>
                    <pic:cNvPicPr/>
                  </pic:nvPicPr>
                  <pic:blipFill>
                    <a:blip r:embed="rId13"/>
                    <a:stretch>
                      <a:fillRect/>
                    </a:stretch>
                  </pic:blipFill>
                  <pic:spPr>
                    <a:xfrm>
                      <a:off x="0" y="0"/>
                      <a:ext cx="5731510" cy="2810510"/>
                    </a:xfrm>
                    <a:prstGeom prst="rect">
                      <a:avLst/>
                    </a:prstGeom>
                  </pic:spPr>
                </pic:pic>
              </a:graphicData>
            </a:graphic>
          </wp:inline>
        </w:drawing>
      </w:r>
    </w:p>
    <w:p w14:paraId="259657CF" w14:textId="77777777" w:rsidR="00234F60" w:rsidRPr="00234F60" w:rsidRDefault="00234F60" w:rsidP="00234F60">
      <w:pPr>
        <w:spacing w:after="0" w:line="240" w:lineRule="auto"/>
        <w:jc w:val="left"/>
        <w:rPr>
          <w:rFonts w:ascii="Arial" w:eastAsia="宋体" w:hAnsi="Arial" w:cs="Arial"/>
          <w:b/>
          <w:bCs/>
          <w:i/>
          <w:iCs/>
          <w:szCs w:val="20"/>
        </w:rPr>
      </w:pPr>
    </w:p>
    <w:p w14:paraId="13B3728C" w14:textId="77777777" w:rsidR="00234F60" w:rsidRPr="00234F60" w:rsidRDefault="00234F60" w:rsidP="00234F60">
      <w:pPr>
        <w:spacing w:after="0" w:line="240" w:lineRule="auto"/>
        <w:jc w:val="left"/>
        <w:rPr>
          <w:rFonts w:ascii="Arial" w:eastAsia="宋体" w:hAnsi="Arial" w:cs="Arial"/>
          <w:szCs w:val="20"/>
        </w:rPr>
      </w:pPr>
      <w:r w:rsidRPr="00234F60">
        <w:rPr>
          <w:rFonts w:ascii="Arial" w:eastAsia="宋体" w:hAnsi="Arial" w:cs="Arial"/>
          <w:b/>
          <w:bCs/>
          <w:i/>
          <w:iCs/>
          <w:szCs w:val="20"/>
        </w:rPr>
        <w:t>Note:</w:t>
      </w:r>
      <w:r w:rsidRPr="00234F60">
        <w:rPr>
          <w:rFonts w:ascii="Arial" w:eastAsia="宋体" w:hAnsi="Arial" w:cs="Arial"/>
          <w:szCs w:val="20"/>
        </w:rPr>
        <w:t xml:space="preserve"> The coding of these ideas, generated from the perspective of a marketing manager for </w:t>
      </w:r>
      <w:proofErr w:type="spellStart"/>
      <w:r w:rsidRPr="00234F60">
        <w:rPr>
          <w:rFonts w:ascii="Arial" w:eastAsia="宋体" w:hAnsi="Arial" w:cs="Arial"/>
          <w:szCs w:val="20"/>
        </w:rPr>
        <w:t>EcoPure</w:t>
      </w:r>
      <w:proofErr w:type="spellEnd"/>
      <w:r w:rsidRPr="00234F60">
        <w:rPr>
          <w:rFonts w:ascii="Arial" w:eastAsia="宋体" w:hAnsi="Arial" w:cs="Arial"/>
          <w:szCs w:val="20"/>
        </w:rPr>
        <w:t>, focuses on enhancing marketing promotions by assessing the ideas on two dimensions: novelty and effectiveness. Novelty refers to the extent to which an idea is innovative and unique, while effectiveness pertains to the idea’s ability to captivate customers and spark their curiosity and interest in the environmentally friendly cleaning product. Responses from each participant were rated on a five-point scale ranging from “Poor” to “Excellent”</w:t>
      </w:r>
      <w:r w:rsidRPr="00234F60">
        <w:rPr>
          <w:rFonts w:ascii="Arial" w:eastAsia="宋体" w:hAnsi="Arial" w:cs="Arial" w:hint="eastAsia"/>
          <w:szCs w:val="20"/>
        </w:rPr>
        <w:t>.</w:t>
      </w:r>
      <w:r w:rsidRPr="00234F60">
        <w:rPr>
          <w:rFonts w:ascii="Arial" w:eastAsia="宋体" w:hAnsi="Arial" w:cs="Arial"/>
          <w:kern w:val="0"/>
          <w:lang w:val="en"/>
          <w14:ligatures w14:val="none"/>
        </w:rPr>
        <w:t xml:space="preserve"> </w:t>
      </w:r>
    </w:p>
    <w:p w14:paraId="58D4D568" w14:textId="77777777" w:rsidR="00292C6A" w:rsidRDefault="00292C6A"/>
    <w:sectPr w:rsidR="00292C6A" w:rsidSect="00234F60">
      <w:footerReference w:type="default" r:id="rId14"/>
      <w:pgSz w:w="11906" w:h="16838"/>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0D113" w14:textId="77777777" w:rsidR="00234F60" w:rsidRDefault="00234F60">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56393" w14:textId="77777777" w:rsidR="00234F60" w:rsidRDefault="00234F60">
    <w:pPr>
      <w:jc w:val="right"/>
    </w:pPr>
    <w:r>
      <w:fldChar w:fldCharType="begin"/>
    </w:r>
    <w:r>
      <w:instrText>PAGE</w:instrText>
    </w:r>
    <w:r>
      <w:fldChar w:fldCharType="separate"/>
    </w:r>
    <w:r>
      <w:rPr>
        <w:noProof/>
      </w:rPr>
      <w:t>1</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113E2"/>
    <w:multiLevelType w:val="hybridMultilevel"/>
    <w:tmpl w:val="0534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451056"/>
    <w:multiLevelType w:val="hybridMultilevel"/>
    <w:tmpl w:val="D798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B360AF"/>
    <w:multiLevelType w:val="hybridMultilevel"/>
    <w:tmpl w:val="B126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674323">
    <w:abstractNumId w:val="0"/>
  </w:num>
  <w:num w:numId="2" w16cid:durableId="102113805">
    <w:abstractNumId w:val="2"/>
  </w:num>
  <w:num w:numId="3" w16cid:durableId="1551577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60"/>
    <w:rsid w:val="000A5774"/>
    <w:rsid w:val="00234F60"/>
    <w:rsid w:val="00292C6A"/>
    <w:rsid w:val="00840F9E"/>
    <w:rsid w:val="00BE25FE"/>
    <w:rsid w:val="00FB65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75C0"/>
  <w15:chartTrackingRefBased/>
  <w15:docId w15:val="{3FA16E1A-E46D-44C4-ACA6-6888D303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34F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4F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4F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4F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4F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4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F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4F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4F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4F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4F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4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F60"/>
    <w:rPr>
      <w:rFonts w:eastAsiaTheme="majorEastAsia" w:cstheme="majorBidi"/>
      <w:color w:val="272727" w:themeColor="text1" w:themeTint="D8"/>
    </w:rPr>
  </w:style>
  <w:style w:type="paragraph" w:styleId="Title">
    <w:name w:val="Title"/>
    <w:basedOn w:val="Normal"/>
    <w:next w:val="Normal"/>
    <w:link w:val="TitleChar"/>
    <w:uiPriority w:val="10"/>
    <w:qFormat/>
    <w:rsid w:val="00234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F60"/>
    <w:pPr>
      <w:spacing w:before="160"/>
      <w:jc w:val="center"/>
    </w:pPr>
    <w:rPr>
      <w:i/>
      <w:iCs/>
      <w:color w:val="404040" w:themeColor="text1" w:themeTint="BF"/>
    </w:rPr>
  </w:style>
  <w:style w:type="character" w:customStyle="1" w:styleId="QuoteChar">
    <w:name w:val="Quote Char"/>
    <w:basedOn w:val="DefaultParagraphFont"/>
    <w:link w:val="Quote"/>
    <w:uiPriority w:val="29"/>
    <w:rsid w:val="00234F60"/>
    <w:rPr>
      <w:i/>
      <w:iCs/>
      <w:color w:val="404040" w:themeColor="text1" w:themeTint="BF"/>
    </w:rPr>
  </w:style>
  <w:style w:type="paragraph" w:styleId="ListParagraph">
    <w:name w:val="List Paragraph"/>
    <w:basedOn w:val="Normal"/>
    <w:uiPriority w:val="34"/>
    <w:qFormat/>
    <w:rsid w:val="00234F60"/>
    <w:pPr>
      <w:ind w:left="720"/>
      <w:contextualSpacing/>
    </w:pPr>
  </w:style>
  <w:style w:type="character" w:styleId="IntenseEmphasis">
    <w:name w:val="Intense Emphasis"/>
    <w:basedOn w:val="DefaultParagraphFont"/>
    <w:uiPriority w:val="21"/>
    <w:qFormat/>
    <w:rsid w:val="00234F60"/>
    <w:rPr>
      <w:i/>
      <w:iCs/>
      <w:color w:val="2F5496" w:themeColor="accent1" w:themeShade="BF"/>
    </w:rPr>
  </w:style>
  <w:style w:type="paragraph" w:styleId="IntenseQuote">
    <w:name w:val="Intense Quote"/>
    <w:basedOn w:val="Normal"/>
    <w:next w:val="Normal"/>
    <w:link w:val="IntenseQuoteChar"/>
    <w:uiPriority w:val="30"/>
    <w:qFormat/>
    <w:rsid w:val="00234F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4F60"/>
    <w:rPr>
      <w:i/>
      <w:iCs/>
      <w:color w:val="2F5496" w:themeColor="accent1" w:themeShade="BF"/>
    </w:rPr>
  </w:style>
  <w:style w:type="character" w:styleId="IntenseReference">
    <w:name w:val="Intense Reference"/>
    <w:basedOn w:val="DefaultParagraphFont"/>
    <w:uiPriority w:val="32"/>
    <w:qFormat/>
    <w:rsid w:val="00234F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i.openai.com/v1/completions"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hyperlink" Target="https://osf.io/xyjwh/?view_only=1c80758370cf4f8f8f2261a0b81398d3"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pi.openai.com/v1/completions"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1664</Words>
  <Characters>9489</Characters>
  <Application>Microsoft Office Word</Application>
  <DocSecurity>0</DocSecurity>
  <Lines>79</Lines>
  <Paragraphs>22</Paragraphs>
  <ScaleCrop>false</ScaleCrop>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Yukun Liu</dc:creator>
  <cp:keywords/>
  <dc:description/>
  <cp:lastModifiedBy>Yukun Liu</cp:lastModifiedBy>
  <cp:revision>1</cp:revision>
  <dcterms:created xsi:type="dcterms:W3CDTF">2024-12-17T13:29:00Z</dcterms:created>
  <dcterms:modified xsi:type="dcterms:W3CDTF">2024-12-17T13:29:00Z</dcterms:modified>
</cp:coreProperties>
</file>