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360" w:lineRule="auto"/>
        <w:jc w:val="center"/>
        <w:rPr>
          <w:b w:val="1"/>
          <w:sz w:val="24"/>
          <w:szCs w:val="24"/>
        </w:rPr>
      </w:pPr>
      <w:bookmarkStart w:colFirst="0" w:colLast="0" w:name="_heading=h.99plugr57v74" w:id="0"/>
      <w:bookmarkEnd w:id="0"/>
      <w:r w:rsidDel="00000000" w:rsidR="00000000" w:rsidRPr="00000000">
        <w:rPr>
          <w:b w:val="1"/>
          <w:sz w:val="24"/>
          <w:szCs w:val="24"/>
          <w:rtl w:val="0"/>
        </w:rPr>
        <w:t xml:space="preserve">Molecular insights into antibiofilm inhibitors of Streptococcus mutans glucosyltransferases through in silico approaches</w:t>
      </w:r>
      <w:r w:rsidDel="00000000" w:rsidR="00000000" w:rsidRPr="00000000">
        <w:rPr>
          <w:rtl w:val="0"/>
        </w:rPr>
      </w:r>
    </w:p>
    <w:p w:rsidR="00000000" w:rsidDel="00000000" w:rsidP="00000000" w:rsidRDefault="00000000" w:rsidRPr="00000000" w14:paraId="00000002">
      <w:pPr>
        <w:spacing w:after="140" w:line="360" w:lineRule="auto"/>
        <w:jc w:val="both"/>
        <w:rPr>
          <w:sz w:val="24"/>
          <w:szCs w:val="24"/>
        </w:rPr>
      </w:pPr>
      <w:r w:rsidDel="00000000" w:rsidR="00000000" w:rsidRPr="00000000">
        <w:rPr>
          <w:rtl w:val="0"/>
        </w:rPr>
      </w:r>
    </w:p>
    <w:p w:rsidR="00000000" w:rsidDel="00000000" w:rsidP="00000000" w:rsidRDefault="00000000" w:rsidRPr="00000000" w14:paraId="00000003">
      <w:pPr>
        <w:spacing w:after="140" w:line="360" w:lineRule="auto"/>
        <w:jc w:val="center"/>
        <w:rPr>
          <w:sz w:val="24"/>
          <w:szCs w:val="24"/>
        </w:rPr>
      </w:pPr>
      <w:r w:rsidDel="00000000" w:rsidR="00000000" w:rsidRPr="00000000">
        <w:rPr>
          <w:rtl w:val="0"/>
        </w:rPr>
      </w:r>
    </w:p>
    <w:p w:rsidR="00000000" w:rsidDel="00000000" w:rsidP="00000000" w:rsidRDefault="00000000" w:rsidRPr="00000000" w14:paraId="00000004">
      <w:pPr>
        <w:spacing w:after="140" w:line="360" w:lineRule="auto"/>
        <w:jc w:val="center"/>
        <w:rPr>
          <w:sz w:val="24"/>
          <w:szCs w:val="24"/>
        </w:rPr>
      </w:pPr>
      <w:r w:rsidDel="00000000" w:rsidR="00000000" w:rsidRPr="00000000">
        <w:rPr>
          <w:sz w:val="24"/>
          <w:szCs w:val="24"/>
          <w:rtl w:val="0"/>
        </w:rPr>
        <w:t xml:space="preserve">Lubna Atta</w:t>
      </w:r>
      <w:r w:rsidDel="00000000" w:rsidR="00000000" w:rsidRPr="00000000">
        <w:rPr>
          <w:sz w:val="24"/>
          <w:szCs w:val="24"/>
          <w:vertAlign w:val="superscript"/>
          <w:rtl w:val="0"/>
        </w:rPr>
        <w:t xml:space="preserve">1</w:t>
      </w:r>
      <w:r w:rsidDel="00000000" w:rsidR="00000000" w:rsidRPr="00000000">
        <w:rPr>
          <w:sz w:val="24"/>
          <w:szCs w:val="24"/>
          <w:rtl w:val="0"/>
        </w:rPr>
        <w:t xml:space="preserve">, Ali Raza Siddiqui</w:t>
      </w:r>
      <w:r w:rsidDel="00000000" w:rsidR="00000000" w:rsidRPr="00000000">
        <w:rPr>
          <w:sz w:val="24"/>
          <w:szCs w:val="24"/>
          <w:vertAlign w:val="superscript"/>
          <w:rtl w:val="0"/>
        </w:rPr>
        <w:t xml:space="preserve">1</w:t>
      </w:r>
      <w:r w:rsidDel="00000000" w:rsidR="00000000" w:rsidRPr="00000000">
        <w:rPr>
          <w:sz w:val="24"/>
          <w:szCs w:val="24"/>
          <w:rtl w:val="0"/>
        </w:rPr>
        <w:t xml:space="preserve">, Mamona Mushtaq</w:t>
      </w:r>
      <w:r w:rsidDel="00000000" w:rsidR="00000000" w:rsidRPr="00000000">
        <w:rPr>
          <w:sz w:val="24"/>
          <w:szCs w:val="24"/>
          <w:vertAlign w:val="superscript"/>
          <w:rtl w:val="0"/>
        </w:rPr>
        <w:t xml:space="preserve">2</w:t>
      </w:r>
      <w:r w:rsidDel="00000000" w:rsidR="00000000" w:rsidRPr="00000000">
        <w:rPr>
          <w:sz w:val="24"/>
          <w:szCs w:val="24"/>
          <w:rtl w:val="0"/>
        </w:rPr>
        <w:t xml:space="preserve">, Sajida Munsif</w:t>
      </w:r>
      <w:r w:rsidDel="00000000" w:rsidR="00000000" w:rsidRPr="00000000">
        <w:rPr>
          <w:sz w:val="24"/>
          <w:szCs w:val="24"/>
          <w:vertAlign w:val="superscript"/>
          <w:rtl w:val="0"/>
        </w:rPr>
        <w:t xml:space="preserve">2</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Mohammad Nur-e-Alam</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Aftab Ahmed</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sz w:val="24"/>
          <w:szCs w:val="24"/>
          <w:rtl w:val="0"/>
        </w:rPr>
        <w:t xml:space="preserve"> and Zaheer Ul Haq</w:t>
      </w:r>
      <w:r w:rsidDel="00000000" w:rsidR="00000000" w:rsidRPr="00000000">
        <w:rPr>
          <w:sz w:val="24"/>
          <w:szCs w:val="24"/>
          <w:vertAlign w:val="superscript"/>
          <w:rtl w:val="0"/>
        </w:rPr>
        <w:t xml:space="preserve">2</w:t>
      </w:r>
      <w:r w:rsidDel="00000000" w:rsidR="00000000" w:rsidRPr="00000000">
        <w:rPr>
          <w:sz w:val="24"/>
          <w:szCs w:val="24"/>
          <w:rtl w:val="0"/>
        </w:rPr>
        <w:t xml:space="preserve">*</w:t>
      </w:r>
    </w:p>
    <w:p w:rsidR="00000000" w:rsidDel="00000000" w:rsidP="00000000" w:rsidRDefault="00000000" w:rsidRPr="00000000" w14:paraId="00000005">
      <w:pPr>
        <w:rPr>
          <w:rFonts w:ascii="Times New Roman" w:cs="Times New Roman" w:eastAsia="Times New Roman" w:hAnsi="Times New Roman"/>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943600" cy="3162300"/>
            <wp:effectExtent b="0" l="0" r="0" t="0"/>
            <wp:docPr id="1842591448"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943600"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spacing w:after="1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S1: </w:t>
      </w:r>
      <w:r w:rsidDel="00000000" w:rsidR="00000000" w:rsidRPr="00000000">
        <w:rPr>
          <w:rFonts w:ascii="Times New Roman" w:cs="Times New Roman" w:eastAsia="Times New Roman" w:hAnsi="Times New Roman"/>
          <w:sz w:val="24"/>
          <w:szCs w:val="24"/>
          <w:rtl w:val="0"/>
        </w:rPr>
        <w:t xml:space="preserve">Optimized geometric structures of </w:t>
      </w:r>
      <w:r w:rsidDel="00000000" w:rsidR="00000000" w:rsidRPr="00000000">
        <w:rPr>
          <w:rFonts w:ascii="Times New Roman" w:cs="Times New Roman" w:eastAsia="Times New Roman" w:hAnsi="Times New Roman"/>
          <w:b w:val="1"/>
          <w:sz w:val="24"/>
          <w:szCs w:val="24"/>
          <w:rtl w:val="0"/>
        </w:rPr>
        <w:t xml:space="preserve">Compounds I-VI.</w: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C">
      <w:pPr>
        <w:jc w:val="center"/>
        <w:rPr/>
      </w:pPr>
      <w:r w:rsidDel="00000000" w:rsidR="00000000" w:rsidRPr="00000000">
        <w:rPr/>
        <w:drawing>
          <wp:inline distB="0" distT="0" distL="0" distR="0">
            <wp:extent cx="5943600" cy="4051300"/>
            <wp:effectExtent b="0" l="0" r="0" t="0"/>
            <wp:docPr descr="A structure of a molecule&#10;&#10;Description automatically generated with medium confidence" id="1842591450" name="image4.png"/>
            <a:graphic>
              <a:graphicData uri="http://schemas.openxmlformats.org/drawingml/2006/picture">
                <pic:pic>
                  <pic:nvPicPr>
                    <pic:cNvPr descr="A structure of a molecule&#10;&#10;Description automatically generated with medium confidence" id="0" name="image4.png"/>
                    <pic:cNvPicPr preferRelativeResize="0"/>
                  </pic:nvPicPr>
                  <pic:blipFill>
                    <a:blip r:embed="rId8"/>
                    <a:srcRect b="0" l="0" r="0" t="0"/>
                    <a:stretch>
                      <a:fillRect/>
                    </a:stretch>
                  </pic:blipFill>
                  <pic:spPr>
                    <a:xfrm>
                      <a:off x="0" y="0"/>
                      <a:ext cx="5943600" cy="40513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line="360" w:lineRule="auto"/>
        <w:jc w:val="both"/>
        <w:rPr>
          <w:color w:val="202124"/>
          <w:sz w:val="24"/>
          <w:szCs w:val="24"/>
        </w:rPr>
      </w:pPr>
      <w:r w:rsidDel="00000000" w:rsidR="00000000" w:rsidRPr="00000000">
        <w:rPr>
          <w:rFonts w:ascii="Times New Roman" w:cs="Times New Roman" w:eastAsia="Times New Roman" w:hAnsi="Times New Roman"/>
          <w:b w:val="1"/>
          <w:color w:val="000000"/>
          <w:sz w:val="24"/>
          <w:szCs w:val="24"/>
          <w:rtl w:val="0"/>
        </w:rPr>
        <w:t xml:space="preserve">Figure S2: </w:t>
      </w:r>
      <w:r w:rsidDel="00000000" w:rsidR="00000000" w:rsidRPr="00000000">
        <w:rPr>
          <w:sz w:val="24"/>
          <w:szCs w:val="24"/>
          <w:rtl w:val="0"/>
        </w:rPr>
        <w:t xml:space="preserve">The superimposition of the structural coordinates from protein data bank data with the corresponding PDB ID of 3AIC (goldenrod sticks) and the docked pose (cyan) generated via docking, aimed at the benchmarking of the docking protocol. The redocking revealed the RMSD value of 0.72 </w:t>
      </w:r>
      <w:r w:rsidDel="00000000" w:rsidR="00000000" w:rsidRPr="00000000">
        <w:rPr>
          <w:color w:val="202124"/>
          <w:sz w:val="24"/>
          <w:szCs w:val="24"/>
          <w:rtl w:val="0"/>
        </w:rPr>
        <w:t xml:space="preserve">Å.</w:t>
      </w:r>
    </w:p>
    <w:p w:rsidR="00000000" w:rsidDel="00000000" w:rsidP="00000000" w:rsidRDefault="00000000" w:rsidRPr="00000000" w14:paraId="0000000E">
      <w:pPr>
        <w:rPr>
          <w:color w:val="202124"/>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F">
      <w:pPr>
        <w:spacing w:line="360" w:lineRule="auto"/>
        <w:jc w:val="both"/>
        <w:rPr>
          <w:color w:val="202124"/>
          <w:sz w:val="24"/>
          <w:szCs w:val="24"/>
        </w:rPr>
      </w:pPr>
      <w:r w:rsidDel="00000000" w:rsidR="00000000" w:rsidRPr="00000000">
        <w:rPr>
          <w:color w:val="202124"/>
          <w:sz w:val="24"/>
          <w:szCs w:val="24"/>
        </w:rPr>
        <w:drawing>
          <wp:inline distB="0" distT="0" distL="0" distR="0">
            <wp:extent cx="5943600" cy="4036695"/>
            <wp:effectExtent b="0" l="0" r="0" t="0"/>
            <wp:docPr id="1842591449"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943600" cy="403669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spacing w:after="120" w:before="120" w:line="360" w:lineRule="auto"/>
        <w:jc w:val="both"/>
        <w:rPr>
          <w:sz w:val="24"/>
          <w:szCs w:val="24"/>
        </w:rPr>
      </w:pPr>
      <w:r w:rsidDel="00000000" w:rsidR="00000000" w:rsidRPr="00000000">
        <w:rPr>
          <w:rFonts w:ascii="Times New Roman" w:cs="Times New Roman" w:eastAsia="Times New Roman" w:hAnsi="Times New Roman"/>
          <w:b w:val="1"/>
          <w:color w:val="000000"/>
          <w:sz w:val="24"/>
          <w:szCs w:val="24"/>
          <w:rtl w:val="0"/>
        </w:rPr>
        <w:t xml:space="preserve">Figure S3: </w:t>
      </w:r>
      <w:r w:rsidDel="00000000" w:rsidR="00000000" w:rsidRPr="00000000">
        <w:rPr>
          <w:sz w:val="24"/>
          <w:szCs w:val="24"/>
          <w:rtl w:val="0"/>
        </w:rPr>
        <w:t xml:space="preserve">Mapping the 3D interaction landscape of Acarbose within the protein's binding site.</w:t>
      </w:r>
      <w:r w:rsidDel="00000000" w:rsidR="00000000" w:rsidRPr="00000000">
        <w:rPr>
          <w:sz w:val="24"/>
          <w:szCs w:val="24"/>
          <w:rtl w:val="0"/>
        </w:rPr>
        <w:t xml:space="preserve"> </w:t>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widowControl w:val="0"/>
        <w:spacing w:after="140" w:line="360" w:lineRule="auto"/>
        <w:jc w:val="center"/>
        <w:rPr>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6225165" cy="2631569"/>
            <wp:effectExtent b="0" l="0" r="0" t="0"/>
            <wp:docPr id="1842591451"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6225165" cy="2631569"/>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br w:type="textWrapping"/>
      </w:r>
      <w:r w:rsidDel="00000000" w:rsidR="00000000" w:rsidRPr="00000000">
        <w:rPr>
          <w:b w:val="1"/>
          <w:sz w:val="24"/>
          <w:szCs w:val="24"/>
          <w:rtl w:val="0"/>
        </w:rPr>
        <w:t xml:space="preserve">Figure S4: </w:t>
      </w:r>
      <w:r w:rsidDel="00000000" w:rsidR="00000000" w:rsidRPr="00000000">
        <w:rPr>
          <w:sz w:val="24"/>
          <w:szCs w:val="24"/>
          <w:rtl w:val="0"/>
        </w:rPr>
        <w:t xml:space="preserve">An overview of the electrostatic contacts i.e., hydrogen bonds observed during the simulation period for the tested compounds and the binding pocket residues.</w:t>
      </w:r>
    </w:p>
    <w:p w:rsidR="00000000" w:rsidDel="00000000" w:rsidP="00000000" w:rsidRDefault="00000000" w:rsidRPr="00000000" w14:paraId="00000015">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-294288</wp:posOffset>
            </wp:positionH>
            <wp:positionV relativeFrom="paragraph">
              <wp:posOffset>358337</wp:posOffset>
            </wp:positionV>
            <wp:extent cx="6629060" cy="3552496"/>
            <wp:effectExtent b="0" l="0" r="0" t="0"/>
            <wp:wrapSquare wrapText="bothSides" distB="0" distT="0" distL="114300" distR="114300"/>
            <wp:docPr id="1842591447"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629060" cy="3552496"/>
                    </a:xfrm>
                    <a:prstGeom prst="rect"/>
                    <a:ln/>
                  </pic:spPr>
                </pic:pic>
              </a:graphicData>
            </a:graphic>
          </wp:anchor>
        </w:drawing>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jc w:val="center"/>
        <w:rPr>
          <w:sz w:val="24"/>
          <w:szCs w:val="24"/>
        </w:rPr>
      </w:pPr>
      <w:r w:rsidDel="00000000" w:rsidR="00000000" w:rsidRPr="00000000">
        <w:rPr>
          <w:rFonts w:ascii="Times New Roman" w:cs="Times New Roman" w:eastAsia="Times New Roman" w:hAnsi="Times New Roman"/>
          <w:b w:val="1"/>
          <w:color w:val="000000"/>
          <w:sz w:val="24"/>
          <w:szCs w:val="24"/>
          <w:rtl w:val="0"/>
        </w:rPr>
        <w:t xml:space="preserve">Figure S5: </w:t>
      </w:r>
      <w:r w:rsidDel="00000000" w:rsidR="00000000" w:rsidRPr="00000000">
        <w:rPr>
          <w:rFonts w:ascii="Times New Roman" w:cs="Times New Roman" w:eastAsia="Times New Roman" w:hAnsi="Times New Roman"/>
          <w:color w:val="000000"/>
          <w:sz w:val="24"/>
          <w:szCs w:val="24"/>
          <w:rtl w:val="0"/>
        </w:rPr>
        <w:t xml:space="preserve">Per residue energy decomposition for the selected protein ligand complexes.</w:t>
      </w:r>
      <w:r w:rsidDel="00000000" w:rsidR="00000000" w:rsidRPr="00000000">
        <w:rPr>
          <w:rtl w:val="0"/>
        </w:rPr>
      </w:r>
    </w:p>
    <w:p w:rsidR="00000000" w:rsidDel="00000000" w:rsidP="00000000" w:rsidRDefault="00000000" w:rsidRPr="00000000" w14:paraId="0000001F">
      <w:pPr>
        <w:widowControl w:val="0"/>
        <w:spacing w:after="14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widowControl w:val="0"/>
        <w:spacing w:after="14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line="360" w:lineRule="auto"/>
        <w:jc w:val="both"/>
        <w:rPr>
          <w:color w:val="202124"/>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360" w:lineRule="auto"/>
        <w:jc w:val="center"/>
        <w:rPr>
          <w:color w:val="222222"/>
          <w:sz w:val="24"/>
          <w:szCs w:val="24"/>
        </w:rPr>
      </w:pPr>
      <w:bookmarkStart w:colFirst="0" w:colLast="0" w:name="_heading=h.9go9qnhnrpl2" w:id="1"/>
      <w:bookmarkEnd w:id="1"/>
      <w:r w:rsidDel="00000000" w:rsidR="00000000" w:rsidRPr="00000000">
        <w:rPr>
          <w:rFonts w:ascii="Times New Roman" w:cs="Times New Roman" w:eastAsia="Times New Roman" w:hAnsi="Times New Roman"/>
          <w:b w:val="1"/>
          <w:color w:val="000000"/>
          <w:sz w:val="24"/>
          <w:szCs w:val="24"/>
        </w:rPr>
        <w:drawing>
          <wp:inline distB="0" distT="0" distL="0" distR="0">
            <wp:extent cx="6489654" cy="2589811"/>
            <wp:effectExtent b="0" l="0" r="0" t="0"/>
            <wp:docPr id="1842591446" name="image7.png"/>
            <a:graphic>
              <a:graphicData uri="http://schemas.openxmlformats.org/drawingml/2006/picture">
                <pic:pic>
                  <pic:nvPicPr>
                    <pic:cNvPr id="0" name="image7.png"/>
                    <pic:cNvPicPr preferRelativeResize="0"/>
                  </pic:nvPicPr>
                  <pic:blipFill>
                    <a:blip r:embed="rId12"/>
                    <a:srcRect b="0" l="1569" r="0" t="0"/>
                    <a:stretch>
                      <a:fillRect/>
                    </a:stretch>
                  </pic:blipFill>
                  <pic:spPr>
                    <a:xfrm>
                      <a:off x="0" y="0"/>
                      <a:ext cx="6489654" cy="2589811"/>
                    </a:xfrm>
                    <a:prstGeom prst="rect"/>
                    <a:ln/>
                  </pic:spPr>
                </pic:pic>
              </a:graphicData>
            </a:graphic>
          </wp:inline>
        </w:drawing>
      </w:r>
      <w:r w:rsidDel="00000000" w:rsidR="00000000" w:rsidRPr="00000000">
        <w:rPr>
          <w:rFonts w:ascii="Times New Roman" w:cs="Times New Roman" w:eastAsia="Times New Roman" w:hAnsi="Times New Roman"/>
          <w:b w:val="1"/>
          <w:color w:val="000000"/>
          <w:sz w:val="24"/>
          <w:szCs w:val="24"/>
          <w:rtl w:val="0"/>
        </w:rPr>
        <w:t xml:space="preserve">Figure S6</w:t>
      </w:r>
      <w:r w:rsidDel="00000000" w:rsidR="00000000" w:rsidRPr="00000000">
        <w:rPr>
          <w:b w:val="1"/>
          <w:color w:val="000000"/>
          <w:sz w:val="24"/>
          <w:szCs w:val="24"/>
          <w:rtl w:val="0"/>
        </w:rPr>
        <w:t xml:space="preserve">: </w:t>
      </w:r>
      <w:r w:rsidDel="00000000" w:rsidR="00000000" w:rsidRPr="00000000">
        <w:rPr>
          <w:color w:val="222222"/>
          <w:sz w:val="24"/>
          <w:szCs w:val="24"/>
          <w:rtl w:val="0"/>
        </w:rPr>
        <w:t xml:space="preserve">Cumulative variance plot observed for GTFSI bound to a) Acarbose, b) </w:t>
      </w:r>
      <w:r w:rsidDel="00000000" w:rsidR="00000000" w:rsidRPr="00000000">
        <w:rPr>
          <w:b w:val="1"/>
          <w:color w:val="222222"/>
          <w:sz w:val="24"/>
          <w:szCs w:val="24"/>
          <w:rtl w:val="0"/>
        </w:rPr>
        <w:t xml:space="preserve">Compound I</w:t>
      </w:r>
      <w:r w:rsidDel="00000000" w:rsidR="00000000" w:rsidRPr="00000000">
        <w:rPr>
          <w:color w:val="222222"/>
          <w:sz w:val="24"/>
          <w:szCs w:val="24"/>
          <w:rtl w:val="0"/>
        </w:rPr>
        <w:t xml:space="preserve">, c) </w:t>
      </w:r>
      <w:r w:rsidDel="00000000" w:rsidR="00000000" w:rsidRPr="00000000">
        <w:rPr>
          <w:b w:val="1"/>
          <w:color w:val="222222"/>
          <w:sz w:val="24"/>
          <w:szCs w:val="24"/>
          <w:rtl w:val="0"/>
        </w:rPr>
        <w:t xml:space="preserve">Compound II,</w:t>
      </w:r>
      <w:r w:rsidDel="00000000" w:rsidR="00000000" w:rsidRPr="00000000">
        <w:rPr>
          <w:color w:val="222222"/>
          <w:sz w:val="24"/>
          <w:szCs w:val="24"/>
          <w:rtl w:val="0"/>
        </w:rPr>
        <w:t xml:space="preserve"> d</w:t>
      </w:r>
      <w:r w:rsidDel="00000000" w:rsidR="00000000" w:rsidRPr="00000000">
        <w:rPr>
          <w:b w:val="1"/>
          <w:color w:val="222222"/>
          <w:sz w:val="24"/>
          <w:szCs w:val="24"/>
          <w:rtl w:val="0"/>
        </w:rPr>
        <w:t xml:space="preserve">) Compound III</w:t>
      </w:r>
      <w:r w:rsidDel="00000000" w:rsidR="00000000" w:rsidRPr="00000000">
        <w:rPr>
          <w:color w:val="222222"/>
          <w:sz w:val="24"/>
          <w:szCs w:val="24"/>
          <w:rtl w:val="0"/>
        </w:rPr>
        <w:t xml:space="preserve">, e) </w:t>
      </w:r>
      <w:r w:rsidDel="00000000" w:rsidR="00000000" w:rsidRPr="00000000">
        <w:rPr>
          <w:b w:val="1"/>
          <w:color w:val="222222"/>
          <w:sz w:val="24"/>
          <w:szCs w:val="24"/>
          <w:rtl w:val="0"/>
        </w:rPr>
        <w:t xml:space="preserve">Compound IV</w:t>
      </w:r>
      <w:r w:rsidDel="00000000" w:rsidR="00000000" w:rsidRPr="00000000">
        <w:rPr>
          <w:color w:val="222222"/>
          <w:sz w:val="24"/>
          <w:szCs w:val="24"/>
          <w:rtl w:val="0"/>
        </w:rPr>
        <w:t xml:space="preserve">, f) </w:t>
      </w:r>
      <w:r w:rsidDel="00000000" w:rsidR="00000000" w:rsidRPr="00000000">
        <w:rPr>
          <w:b w:val="1"/>
          <w:color w:val="222222"/>
          <w:sz w:val="24"/>
          <w:szCs w:val="24"/>
          <w:rtl w:val="0"/>
        </w:rPr>
        <w:t xml:space="preserve">Compound V,</w:t>
      </w:r>
      <w:r w:rsidDel="00000000" w:rsidR="00000000" w:rsidRPr="00000000">
        <w:rPr>
          <w:color w:val="222222"/>
          <w:sz w:val="24"/>
          <w:szCs w:val="24"/>
          <w:rtl w:val="0"/>
        </w:rPr>
        <w:t xml:space="preserve"> and g) </w:t>
      </w:r>
      <w:r w:rsidDel="00000000" w:rsidR="00000000" w:rsidRPr="00000000">
        <w:rPr>
          <w:b w:val="1"/>
          <w:color w:val="222222"/>
          <w:sz w:val="24"/>
          <w:szCs w:val="24"/>
          <w:rtl w:val="0"/>
        </w:rPr>
        <w:t xml:space="preserve">Compound VI</w:t>
      </w:r>
      <w:r w:rsidDel="00000000" w:rsidR="00000000" w:rsidRPr="00000000">
        <w:rPr>
          <w:color w:val="222222"/>
          <w:sz w:val="24"/>
          <w:szCs w:val="24"/>
          <w:rtl w:val="0"/>
        </w:rPr>
        <w:t xml:space="preserve">.</w:t>
      </w:r>
    </w:p>
    <w:p w:rsidR="00000000" w:rsidDel="00000000" w:rsidP="00000000" w:rsidRDefault="00000000" w:rsidRPr="00000000" w14:paraId="00000025">
      <w:pPr>
        <w:rPr>
          <w:color w:val="222222"/>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6">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drawing>
          <wp:inline distB="0" distT="0" distL="0" distR="0">
            <wp:extent cx="6430122" cy="5958607"/>
            <wp:effectExtent b="0" l="0" r="0" t="0"/>
            <wp:docPr id="1842591445" name="image2.png"/>
            <a:graphic>
              <a:graphicData uri="http://schemas.openxmlformats.org/drawingml/2006/picture">
                <pic:pic>
                  <pic:nvPicPr>
                    <pic:cNvPr id="0" name="image2.png"/>
                    <pic:cNvPicPr preferRelativeResize="0"/>
                  </pic:nvPicPr>
                  <pic:blipFill>
                    <a:blip r:embed="rId13"/>
                    <a:srcRect b="0" l="1129" r="0" t="0"/>
                    <a:stretch>
                      <a:fillRect/>
                    </a:stretch>
                  </pic:blipFill>
                  <pic:spPr>
                    <a:xfrm>
                      <a:off x="0" y="0"/>
                      <a:ext cx="6430122" cy="5958607"/>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Figure S7</w:t>
      </w:r>
      <w:r w:rsidDel="00000000" w:rsidR="00000000" w:rsidRPr="00000000">
        <w:rPr>
          <w:b w:val="1"/>
          <w:color w:val="000000"/>
          <w:sz w:val="24"/>
          <w:szCs w:val="24"/>
          <w:rtl w:val="0"/>
        </w:rPr>
        <w:t xml:space="preserve">: </w:t>
      </w:r>
      <w:r w:rsidDel="00000000" w:rsidR="00000000" w:rsidRPr="00000000">
        <w:rPr>
          <w:color w:val="222222"/>
          <w:sz w:val="24"/>
          <w:szCs w:val="24"/>
          <w:rtl w:val="0"/>
        </w:rPr>
        <w:t xml:space="preserve">Time-dependent principal components of GTFSI bound to a) Acarbose, b) </w:t>
      </w:r>
      <w:r w:rsidDel="00000000" w:rsidR="00000000" w:rsidRPr="00000000">
        <w:rPr>
          <w:b w:val="1"/>
          <w:color w:val="222222"/>
          <w:sz w:val="24"/>
          <w:szCs w:val="24"/>
          <w:rtl w:val="0"/>
        </w:rPr>
        <w:t xml:space="preserve">Compound I, </w:t>
      </w:r>
      <w:r w:rsidDel="00000000" w:rsidR="00000000" w:rsidRPr="00000000">
        <w:rPr>
          <w:color w:val="222222"/>
          <w:sz w:val="24"/>
          <w:szCs w:val="24"/>
          <w:rtl w:val="0"/>
        </w:rPr>
        <w:t xml:space="preserve">c)</w:t>
      </w:r>
      <w:r w:rsidDel="00000000" w:rsidR="00000000" w:rsidRPr="00000000">
        <w:rPr>
          <w:b w:val="1"/>
          <w:color w:val="222222"/>
          <w:sz w:val="24"/>
          <w:szCs w:val="24"/>
          <w:rtl w:val="0"/>
        </w:rPr>
        <w:t xml:space="preserve"> Compound II, </w:t>
      </w:r>
      <w:r w:rsidDel="00000000" w:rsidR="00000000" w:rsidRPr="00000000">
        <w:rPr>
          <w:color w:val="222222"/>
          <w:sz w:val="24"/>
          <w:szCs w:val="24"/>
          <w:rtl w:val="0"/>
        </w:rPr>
        <w:t xml:space="preserve">d)</w:t>
      </w:r>
      <w:r w:rsidDel="00000000" w:rsidR="00000000" w:rsidRPr="00000000">
        <w:rPr>
          <w:b w:val="1"/>
          <w:color w:val="222222"/>
          <w:sz w:val="24"/>
          <w:szCs w:val="24"/>
          <w:rtl w:val="0"/>
        </w:rPr>
        <w:t xml:space="preserve"> Compound III</w:t>
      </w:r>
      <w:r w:rsidDel="00000000" w:rsidR="00000000" w:rsidRPr="00000000">
        <w:rPr>
          <w:color w:val="222222"/>
          <w:sz w:val="24"/>
          <w:szCs w:val="24"/>
          <w:rtl w:val="0"/>
        </w:rPr>
        <w:t xml:space="preserve">, e)</w:t>
      </w:r>
      <w:r w:rsidDel="00000000" w:rsidR="00000000" w:rsidRPr="00000000">
        <w:rPr>
          <w:b w:val="1"/>
          <w:color w:val="222222"/>
          <w:sz w:val="24"/>
          <w:szCs w:val="24"/>
          <w:rtl w:val="0"/>
        </w:rPr>
        <w:t xml:space="preserve"> Compound IV</w:t>
      </w:r>
      <w:r w:rsidDel="00000000" w:rsidR="00000000" w:rsidRPr="00000000">
        <w:rPr>
          <w:color w:val="222222"/>
          <w:sz w:val="24"/>
          <w:szCs w:val="24"/>
          <w:rtl w:val="0"/>
        </w:rPr>
        <w:t xml:space="preserve">, f)</w:t>
      </w:r>
      <w:r w:rsidDel="00000000" w:rsidR="00000000" w:rsidRPr="00000000">
        <w:rPr>
          <w:b w:val="1"/>
          <w:color w:val="222222"/>
          <w:sz w:val="24"/>
          <w:szCs w:val="24"/>
          <w:rtl w:val="0"/>
        </w:rPr>
        <w:t xml:space="preserve"> Compound V, </w:t>
      </w:r>
      <w:r w:rsidDel="00000000" w:rsidR="00000000" w:rsidRPr="00000000">
        <w:rPr>
          <w:color w:val="222222"/>
          <w:sz w:val="24"/>
          <w:szCs w:val="24"/>
          <w:rtl w:val="0"/>
        </w:rPr>
        <w:t xml:space="preserve">and g)</w:t>
      </w:r>
      <w:r w:rsidDel="00000000" w:rsidR="00000000" w:rsidRPr="00000000">
        <w:rPr>
          <w:b w:val="1"/>
          <w:color w:val="222222"/>
          <w:sz w:val="24"/>
          <w:szCs w:val="24"/>
          <w:rtl w:val="0"/>
        </w:rPr>
        <w:t xml:space="preserve"> Compound VI.</w:t>
      </w:r>
      <w:r w:rsidDel="00000000" w:rsidR="00000000" w:rsidRPr="00000000">
        <w:rPr>
          <w:rtl w:val="0"/>
        </w:rPr>
      </w:r>
    </w:p>
    <w:p w:rsidR="00000000" w:rsidDel="00000000" w:rsidP="00000000" w:rsidRDefault="00000000" w:rsidRPr="00000000" w14:paraId="00000028">
      <w:pPr>
        <w:spacing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A">
      <w:pPr>
        <w:spacing w:line="360" w:lineRule="auto"/>
        <w:jc w:val="both"/>
        <w:rPr>
          <w:rFonts w:ascii="Times New Roman" w:cs="Times New Roman" w:eastAsia="Times New Roman" w:hAnsi="Times New Roman"/>
          <w:color w:val="000000"/>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Caption">
    <w:name w:val="caption"/>
    <w:basedOn w:val="Normal"/>
    <w:next w:val="Normal"/>
    <w:uiPriority w:val="35"/>
    <w:unhideWhenUsed w:val="1"/>
    <w:qFormat w:val="1"/>
    <w:rsid w:val="00F13526"/>
    <w:pPr>
      <w:spacing w:after="200" w:line="360" w:lineRule="auto"/>
      <w:jc w:val="both"/>
    </w:pPr>
    <w:rPr>
      <w:rFonts w:ascii="Times New Roman" w:cs="Times New Roman" w:eastAsia="Times New Roman" w:hAnsi="Times New Roman"/>
      <w:iCs w:val="1"/>
      <w:color w:val="000000" w:themeColor="text1"/>
      <w:kern w:val="0"/>
      <w:sz w:val="24"/>
      <w:szCs w:val="18"/>
    </w:rPr>
  </w:style>
  <w:style w:type="paragraph" w:styleId="NormalWeb">
    <w:name w:val="Normal (Web)"/>
    <w:basedOn w:val="Normal"/>
    <w:uiPriority w:val="99"/>
    <w:semiHidden w:val="1"/>
    <w:unhideWhenUsed w:val="1"/>
    <w:rsid w:val="00B775B7"/>
    <w:pPr>
      <w:spacing w:after="100" w:afterAutospacing="1" w:before="100" w:beforeAutospacing="1" w:line="240" w:lineRule="auto"/>
    </w:pPr>
    <w:rPr>
      <w:rFonts w:ascii="Times New Roman" w:cs="Times New Roman" w:eastAsia="Times New Roman" w:hAnsi="Times New Roman"/>
      <w:kern w:val="0"/>
      <w:sz w:val="24"/>
      <w:szCs w:val="24"/>
    </w:rPr>
  </w:style>
  <w:style w:type="table" w:styleId="7" w:customStyle="1">
    <w:name w:val="7"/>
    <w:basedOn w:val="TableNormal"/>
    <w:rsid w:val="00061C8B"/>
    <w:rPr>
      <w:rFonts w:ascii="Times New Roman" w:cs="Times New Roman" w:eastAsia="Times New Roman" w:hAnsi="Times New Roman"/>
      <w:kern w:val="0"/>
      <w:sz w:val="32"/>
      <w:szCs w:val="32"/>
    </w:rPr>
    <w:tblPr>
      <w:tblStyleRowBandSize w:val="1"/>
      <w:tblStyleColBandSize w:val="1"/>
      <w:tblCellMar>
        <w:left w:w="115.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6.png"/><Relationship Id="rId13" Type="http://schemas.openxmlformats.org/officeDocument/2006/relationships/image" Target="media/image2.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xBG+T/vyVdiE9h3ykP1N4TUXA==">CgMxLjAyDmguOTlwbHVncjU3djc0Mg5oLjlnbzlxbmhucnBsMjgAciExYm9hd184OXoxa1NiUklVa1pwZVJ0eUlYN2N1LTBjLTg=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2025-03-08T20:35:00Z</dcterms:created>
  <dc:creator>Mamona Mushtaq</dc:creator>
</cp:coreProperties>
</file>