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C02E" w14:textId="77777777" w:rsidR="002C31E9" w:rsidRDefault="002C31E9" w:rsidP="002C31E9">
      <w:pPr>
        <w:keepNext/>
        <w:numPr>
          <w:ilvl w:val="2"/>
          <w:numId w:val="0"/>
        </w:numPr>
        <w:tabs>
          <w:tab w:val="num" w:pos="576"/>
        </w:tabs>
        <w:spacing w:after="0" w:line="360" w:lineRule="auto"/>
        <w:jc w:val="center"/>
        <w:outlineLvl w:val="2"/>
        <w:rPr>
          <w:rFonts w:ascii="Times New Roman" w:eastAsia="SimSun" w:hAnsi="Times New Roman" w:cs="Times New Roman"/>
          <w:b/>
          <w:bCs/>
          <w:sz w:val="24"/>
          <w:szCs w:val="24"/>
          <w14:ligatures w14:val="none"/>
        </w:rPr>
      </w:pPr>
      <w:bookmarkStart w:id="0" w:name="_Hlk192754347"/>
      <w:r>
        <w:rPr>
          <w:rFonts w:ascii="Times New Roman" w:eastAsia="SimSun" w:hAnsi="Times New Roman" w:cs="Times New Roman"/>
          <w:b/>
          <w:bCs/>
          <w:sz w:val="24"/>
          <w:szCs w:val="24"/>
          <w14:ligatures w14:val="none"/>
        </w:rPr>
        <w:t>Head kinematic variability is minimal near preferred cadence and independent of the vestibular control of locomotion</w:t>
      </w:r>
    </w:p>
    <w:bookmarkEnd w:id="0"/>
    <w:p w14:paraId="7BF46150" w14:textId="77777777" w:rsidR="002B0CBA" w:rsidRPr="002B0CBA" w:rsidRDefault="002B0CBA" w:rsidP="002B0CBA">
      <w:pPr>
        <w:keepNext/>
        <w:tabs>
          <w:tab w:val="num" w:pos="576"/>
        </w:tabs>
        <w:spacing w:after="0" w:line="360" w:lineRule="auto"/>
        <w:jc w:val="center"/>
        <w:outlineLvl w:val="2"/>
        <w:rPr>
          <w:rFonts w:ascii="Times New Roman" w:eastAsia="SimSun" w:hAnsi="Times New Roman" w:cs="Times New Roman"/>
          <w:sz w:val="24"/>
          <w:szCs w:val="24"/>
          <w:vertAlign w:val="superscript"/>
          <w:lang w:val="fr-CA"/>
          <w14:ligatures w14:val="none"/>
        </w:rPr>
      </w:pPr>
      <w:r w:rsidRPr="002B0CBA">
        <w:rPr>
          <w:rFonts w:ascii="Times New Roman" w:eastAsia="SimSun" w:hAnsi="Times New Roman" w:cs="Times New Roman"/>
          <w:sz w:val="24"/>
          <w:szCs w:val="24"/>
          <w:lang w:val="fr-CA"/>
          <w14:ligatures w14:val="none"/>
        </w:rPr>
        <w:t>Liam H Foulger</w:t>
      </w:r>
      <w:r w:rsidRPr="002B0CBA">
        <w:rPr>
          <w:rFonts w:ascii="Times New Roman" w:eastAsia="SimSun" w:hAnsi="Times New Roman" w:cs="Times New Roman"/>
          <w:sz w:val="24"/>
          <w:szCs w:val="24"/>
          <w:vertAlign w:val="superscript"/>
          <w:lang w:val="fr-CA"/>
          <w14:ligatures w14:val="none"/>
        </w:rPr>
        <w:t>1</w:t>
      </w:r>
      <w:r w:rsidRPr="002B0CBA">
        <w:rPr>
          <w:rFonts w:ascii="Times New Roman" w:eastAsia="SimSun" w:hAnsi="Times New Roman" w:cs="Times New Roman"/>
          <w:sz w:val="24"/>
          <w:szCs w:val="24"/>
          <w:lang w:val="fr-CA"/>
          <w14:ligatures w14:val="none"/>
        </w:rPr>
        <w:t>, Calvin Kuo</w:t>
      </w:r>
      <w:r w:rsidRPr="002B0CBA">
        <w:rPr>
          <w:rFonts w:ascii="Times New Roman" w:eastAsia="SimSun" w:hAnsi="Times New Roman" w:cs="Times New Roman"/>
          <w:sz w:val="24"/>
          <w:szCs w:val="24"/>
          <w:vertAlign w:val="superscript"/>
          <w:lang w:val="fr-CA"/>
          <w14:ligatures w14:val="none"/>
        </w:rPr>
        <w:t>2,3</w:t>
      </w:r>
      <w:r w:rsidRPr="002B0CBA">
        <w:rPr>
          <w:rFonts w:ascii="Times New Roman" w:eastAsia="SimSun" w:hAnsi="Times New Roman" w:cs="Times New Roman"/>
          <w:sz w:val="24"/>
          <w:szCs w:val="24"/>
          <w:lang w:val="fr-CA"/>
          <w14:ligatures w14:val="none"/>
        </w:rPr>
        <w:t>, Romeo Chua</w:t>
      </w:r>
      <w:r w:rsidRPr="002B0CBA">
        <w:rPr>
          <w:rFonts w:ascii="Times New Roman" w:eastAsia="SimSun" w:hAnsi="Times New Roman" w:cs="Times New Roman"/>
          <w:sz w:val="24"/>
          <w:szCs w:val="24"/>
          <w:vertAlign w:val="superscript"/>
          <w:lang w:val="fr-CA"/>
          <w14:ligatures w14:val="none"/>
        </w:rPr>
        <w:t>1</w:t>
      </w:r>
      <w:r w:rsidRPr="002B0CBA">
        <w:rPr>
          <w:rFonts w:ascii="Times New Roman" w:eastAsia="SimSun" w:hAnsi="Times New Roman" w:cs="Times New Roman"/>
          <w:sz w:val="24"/>
          <w:szCs w:val="24"/>
          <w:lang w:val="fr-CA"/>
          <w14:ligatures w14:val="none"/>
        </w:rPr>
        <w:t>, Jean-Sébastien Blouin</w:t>
      </w:r>
      <w:r w:rsidRPr="002B0CBA">
        <w:rPr>
          <w:rFonts w:ascii="Times New Roman" w:eastAsia="SimSun" w:hAnsi="Times New Roman" w:cs="Times New Roman"/>
          <w:sz w:val="24"/>
          <w:szCs w:val="24"/>
          <w:vertAlign w:val="superscript"/>
          <w:lang w:val="fr-CA"/>
          <w14:ligatures w14:val="none"/>
        </w:rPr>
        <w:t>1,4,5*</w:t>
      </w:r>
    </w:p>
    <w:p w14:paraId="694641FB" w14:textId="77777777" w:rsidR="002B0CBA" w:rsidRPr="002B0CBA" w:rsidRDefault="002B0CBA" w:rsidP="002B0CBA">
      <w:pPr>
        <w:spacing w:after="0" w:line="360" w:lineRule="auto"/>
        <w:jc w:val="center"/>
        <w:rPr>
          <w:rFonts w:ascii="Times New Roman" w:eastAsia="Calibri" w:hAnsi="Times New Roman" w:cs="Times New Roman"/>
          <w:sz w:val="18"/>
          <w:szCs w:val="18"/>
          <w14:ligatures w14:val="none"/>
        </w:rPr>
      </w:pPr>
      <w:r w:rsidRPr="002B0CBA">
        <w:rPr>
          <w:rFonts w:ascii="Times New Roman" w:eastAsia="Calibri" w:hAnsi="Times New Roman" w:cs="Times New Roman"/>
          <w:sz w:val="18"/>
          <w:szCs w:val="18"/>
          <w:vertAlign w:val="superscript"/>
          <w14:ligatures w14:val="none"/>
        </w:rPr>
        <w:t>1</w:t>
      </w:r>
      <w:r w:rsidRPr="002B0CBA">
        <w:rPr>
          <w:rFonts w:ascii="Times New Roman" w:eastAsia="Calibri" w:hAnsi="Times New Roman" w:cs="Times New Roman"/>
          <w:sz w:val="18"/>
          <w:szCs w:val="18"/>
          <w14:ligatures w14:val="none"/>
        </w:rPr>
        <w:t>School of Kinesiology, University of British Columbia, Vancouver, British Columbia, Canada</w:t>
      </w:r>
    </w:p>
    <w:p w14:paraId="475E2734" w14:textId="77777777" w:rsidR="002B0CBA" w:rsidRPr="002B0CBA" w:rsidRDefault="002B0CBA" w:rsidP="002B0CBA">
      <w:pPr>
        <w:spacing w:after="0" w:line="360" w:lineRule="auto"/>
        <w:jc w:val="center"/>
        <w:rPr>
          <w:rFonts w:ascii="Times New Roman" w:eastAsia="Calibri" w:hAnsi="Times New Roman" w:cs="Times New Roman"/>
          <w:sz w:val="18"/>
          <w:szCs w:val="18"/>
          <w14:ligatures w14:val="none"/>
        </w:rPr>
      </w:pPr>
      <w:r w:rsidRPr="002B0CBA">
        <w:rPr>
          <w:rFonts w:ascii="Times New Roman" w:eastAsia="Calibri" w:hAnsi="Times New Roman" w:cs="Times New Roman"/>
          <w:sz w:val="18"/>
          <w:szCs w:val="18"/>
          <w:vertAlign w:val="superscript"/>
          <w14:ligatures w14:val="none"/>
        </w:rPr>
        <w:t>2</w:t>
      </w:r>
      <w:r w:rsidRPr="002B0CBA">
        <w:rPr>
          <w:rFonts w:ascii="Times New Roman" w:eastAsia="Calibri" w:hAnsi="Times New Roman" w:cs="Times New Roman"/>
          <w:sz w:val="18"/>
          <w:szCs w:val="18"/>
          <w14:ligatures w14:val="none"/>
        </w:rPr>
        <w:t>School of Biomedical Engineering, University of British Columbia, Vancouver, British Columbia, Canada</w:t>
      </w:r>
    </w:p>
    <w:p w14:paraId="0212DAC0" w14:textId="77777777" w:rsidR="002B0CBA" w:rsidRPr="002B0CBA" w:rsidRDefault="002B0CBA" w:rsidP="002B0CBA">
      <w:pPr>
        <w:spacing w:after="0" w:line="360" w:lineRule="auto"/>
        <w:jc w:val="center"/>
        <w:rPr>
          <w:rFonts w:ascii="Times New Roman" w:eastAsia="Calibri" w:hAnsi="Times New Roman" w:cs="Times New Roman"/>
          <w:sz w:val="18"/>
          <w:szCs w:val="18"/>
          <w14:ligatures w14:val="none"/>
        </w:rPr>
      </w:pPr>
      <w:r w:rsidRPr="002B0CBA">
        <w:rPr>
          <w:rFonts w:ascii="Times New Roman" w:eastAsia="Calibri" w:hAnsi="Times New Roman" w:cs="Times New Roman"/>
          <w:sz w:val="18"/>
          <w:szCs w:val="18"/>
          <w:vertAlign w:val="superscript"/>
          <w14:ligatures w14:val="none"/>
        </w:rPr>
        <w:t>3</w:t>
      </w:r>
      <w:r w:rsidRPr="002B0CBA">
        <w:rPr>
          <w:rFonts w:ascii="Times New Roman" w:eastAsia="Calibri" w:hAnsi="Times New Roman" w:cs="Times New Roman"/>
          <w:sz w:val="18"/>
          <w:szCs w:val="18"/>
          <w14:ligatures w14:val="none"/>
        </w:rPr>
        <w:t>Centre for Hip Health and Mobility, University of British Columbia, Vancouver, British Columbia, Canada</w:t>
      </w:r>
    </w:p>
    <w:p w14:paraId="285E9799" w14:textId="77777777" w:rsidR="002B0CBA" w:rsidRPr="002B0CBA" w:rsidRDefault="002B0CBA" w:rsidP="002B0CBA">
      <w:pPr>
        <w:spacing w:after="0" w:line="360" w:lineRule="auto"/>
        <w:jc w:val="center"/>
        <w:rPr>
          <w:rFonts w:ascii="Times New Roman" w:eastAsia="Calibri" w:hAnsi="Times New Roman" w:cs="Times New Roman"/>
          <w:sz w:val="18"/>
          <w:szCs w:val="18"/>
          <w14:ligatures w14:val="none"/>
        </w:rPr>
      </w:pPr>
      <w:r w:rsidRPr="002B0CBA">
        <w:rPr>
          <w:rFonts w:ascii="Times New Roman" w:eastAsia="Calibri" w:hAnsi="Times New Roman" w:cs="Times New Roman"/>
          <w:sz w:val="18"/>
          <w:szCs w:val="18"/>
          <w:vertAlign w:val="superscript"/>
          <w14:ligatures w14:val="none"/>
        </w:rPr>
        <w:t>4</w:t>
      </w:r>
      <w:r w:rsidRPr="002B0CBA">
        <w:rPr>
          <w:rFonts w:ascii="Times New Roman" w:eastAsia="Calibri" w:hAnsi="Times New Roman" w:cs="Times New Roman"/>
          <w:sz w:val="18"/>
          <w:szCs w:val="18"/>
          <w14:ligatures w14:val="none"/>
        </w:rPr>
        <w:t>Djavad Mowafaghian</w:t>
      </w:r>
      <w:r w:rsidRPr="002B0CBA">
        <w:rPr>
          <w:rFonts w:ascii="Times New Roman" w:eastAsia="Calibri" w:hAnsi="Times New Roman" w:cs="Times New Roman"/>
          <w:sz w:val="18"/>
          <w:szCs w:val="18"/>
          <w:vertAlign w:val="superscript"/>
          <w14:ligatures w14:val="none"/>
        </w:rPr>
        <w:t xml:space="preserve"> </w:t>
      </w:r>
      <w:r w:rsidRPr="002B0CBA">
        <w:rPr>
          <w:rFonts w:ascii="Times New Roman" w:eastAsia="Calibri" w:hAnsi="Times New Roman" w:cs="Times New Roman"/>
          <w:sz w:val="18"/>
          <w:szCs w:val="18"/>
          <w14:ligatures w14:val="none"/>
        </w:rPr>
        <w:t>Centre for Brain Health, University of British Columbia, Vancouver, British Columbia, Canada</w:t>
      </w:r>
    </w:p>
    <w:p w14:paraId="4FEA83A1" w14:textId="77777777" w:rsidR="002B0CBA" w:rsidRPr="002B0CBA" w:rsidRDefault="002B0CBA" w:rsidP="002B0CBA">
      <w:pPr>
        <w:spacing w:after="0" w:line="360" w:lineRule="auto"/>
        <w:jc w:val="center"/>
        <w:rPr>
          <w:rFonts w:ascii="Times New Roman" w:eastAsia="Calibri" w:hAnsi="Times New Roman" w:cs="Times New Roman"/>
          <w:sz w:val="18"/>
          <w:szCs w:val="18"/>
          <w14:ligatures w14:val="none"/>
        </w:rPr>
      </w:pPr>
      <w:r w:rsidRPr="002B0CBA">
        <w:rPr>
          <w:rFonts w:ascii="Times New Roman" w:eastAsia="Calibri" w:hAnsi="Times New Roman" w:cs="Times New Roman"/>
          <w:sz w:val="18"/>
          <w:szCs w:val="18"/>
          <w:vertAlign w:val="superscript"/>
          <w14:ligatures w14:val="none"/>
        </w:rPr>
        <w:t>5</w:t>
      </w:r>
      <w:r w:rsidRPr="002B0CBA">
        <w:rPr>
          <w:rFonts w:ascii="Times New Roman" w:eastAsia="Calibri" w:hAnsi="Times New Roman" w:cs="Times New Roman"/>
          <w:sz w:val="18"/>
          <w:szCs w:val="18"/>
          <w14:ligatures w14:val="none"/>
        </w:rPr>
        <w:t>Institute for Computing, Information and Cognitive Systems, University of British Columbia, Vancouver, British Columbia, Canada</w:t>
      </w:r>
    </w:p>
    <w:p w14:paraId="1A863F08" w14:textId="77777777" w:rsidR="002B0CBA" w:rsidRDefault="002B0CBA">
      <w:pPr>
        <w:rPr>
          <w:rFonts w:ascii="Times New Roman" w:eastAsia="Cambria" w:hAnsi="Times New Roman" w:cs="Times New Roman"/>
          <w:b/>
          <w:bCs/>
          <w:sz w:val="24"/>
          <w:szCs w:val="24"/>
          <w14:ligatures w14:val="none"/>
        </w:rPr>
      </w:pPr>
    </w:p>
    <w:p w14:paraId="0627BEE4" w14:textId="3F2571A9" w:rsidR="009030FD" w:rsidRDefault="00000000">
      <w:pPr>
        <w:rPr>
          <w:rFonts w:ascii="Times New Roman" w:eastAsia="Cambria" w:hAnsi="Times New Roman" w:cs="Times New Roman"/>
          <w:b/>
          <w:bCs/>
          <w:sz w:val="24"/>
          <w:szCs w:val="24"/>
          <w14:ligatures w14:val="none"/>
        </w:rPr>
      </w:pPr>
      <w:r>
        <w:rPr>
          <w:rFonts w:ascii="Times New Roman" w:eastAsia="Cambria" w:hAnsi="Times New Roman" w:cs="Times New Roman"/>
          <w:b/>
          <w:bCs/>
          <w:sz w:val="24"/>
          <w:szCs w:val="24"/>
          <w14:ligatures w14:val="none"/>
        </w:rPr>
        <w:t>Results</w:t>
      </w:r>
    </w:p>
    <w:p w14:paraId="3DD2D877" w14:textId="42F25F3A" w:rsidR="009030FD" w:rsidRDefault="00000000">
      <w:pPr>
        <w:spacing w:line="480" w:lineRule="auto"/>
        <w:rPr>
          <w:rFonts w:ascii="Times New Roman" w:hAnsi="Times New Roman" w:cs="Times New Roman"/>
          <w:sz w:val="24"/>
          <w:szCs w:val="24"/>
        </w:rPr>
      </w:pPr>
      <w:bookmarkStart w:id="1" w:name="_Toc151908026"/>
      <w:r>
        <w:rPr>
          <w:rFonts w:ascii="Times New Roman" w:eastAsia="Cambria" w:hAnsi="Times New Roman" w:cs="Times New Roman"/>
          <w:sz w:val="24"/>
          <w:szCs w:val="24"/>
          <w14:ligatures w14:val="none"/>
        </w:rPr>
        <w:tab/>
        <w:t xml:space="preserve">Participants walked outdoors at step cadences ranging from 40% to 140% of their natural step cadence. </w:t>
      </w:r>
      <w:r w:rsidR="008B72B1">
        <w:rPr>
          <w:rFonts w:ascii="Times New Roman" w:eastAsia="Cambria" w:hAnsi="Times New Roman" w:cs="Times New Roman"/>
          <w:sz w:val="24"/>
          <w:szCs w:val="24"/>
          <w14:ligatures w14:val="none"/>
        </w:rPr>
        <w:t xml:space="preserve">Gait </w:t>
      </w:r>
      <w:r>
        <w:rPr>
          <w:rFonts w:ascii="Times New Roman" w:eastAsia="Cambria" w:hAnsi="Times New Roman" w:cs="Times New Roman"/>
          <w:sz w:val="24"/>
          <w:szCs w:val="24"/>
          <w14:ligatures w14:val="none"/>
        </w:rPr>
        <w:t xml:space="preserve">characteristics across the step cadence conditions are presented in Table S1. To characterize the vestibular-evoked balance responses, we calculated the time-dependent coherence between the electrical vestibular stimulation (EVS) and the back, right ankle, and left ankle mediolateral linear accelerations. The pooled time-dependent coherences for each of the IMU measures at each step cadence condition (during the trials with EVS) are presented in Figure S1. </w:t>
      </w:r>
      <m:oMath>
        <m:sSub>
          <m:sSubPr>
            <m:ctrlPr>
              <w:rPr>
                <w:rFonts w:ascii="Cambria Math" w:eastAsia="Cambria Math" w:hAnsi="Cambria Math" w:cs="Cambria Math"/>
                <w:i/>
                <w:iCs/>
                <w:sz w:val="24"/>
                <w:szCs w:val="26"/>
                <w:lang w:val="en-US"/>
                <w14:ligatures w14:val="none"/>
              </w:rPr>
            </m:ctrlPr>
          </m:sSubPr>
          <m:e>
            <m:r>
              <w:rPr>
                <w:rFonts w:ascii="Cambria Math" w:eastAsia="Times New Roman" w:hAnsi="Cambria Math" w:cs="Times New Roman"/>
                <w:sz w:val="24"/>
                <w:szCs w:val="26"/>
                <w14:ligatures w14:val="none"/>
              </w:rPr>
              <m:t>V</m:t>
            </m:r>
          </m:e>
          <m:sub>
            <m:r>
              <w:rPr>
                <w:rFonts w:ascii="Cambria Math" w:eastAsia="Times New Roman" w:hAnsi="Cambria Math" w:cs="Times New Roman"/>
                <w:sz w:val="24"/>
                <w:szCs w:val="26"/>
                <w14:ligatures w14:val="none"/>
              </w:rPr>
              <m:t>res</m:t>
            </m:r>
          </m:sub>
        </m:sSub>
      </m:oMath>
      <w:r>
        <w:rPr>
          <w:rFonts w:eastAsiaTheme="minorEastAsia"/>
          <w:iCs/>
          <w:sz w:val="24"/>
          <w:szCs w:val="26"/>
          <w:lang w:val="en-US"/>
          <w14:ligatures w14:val="none"/>
        </w:rPr>
        <w:t xml:space="preserve"> </w:t>
      </w:r>
      <w:r>
        <w:rPr>
          <w:rFonts w:ascii="Times New Roman" w:eastAsiaTheme="minorEastAsia" w:hAnsi="Times New Roman" w:cs="Times New Roman"/>
          <w:iCs/>
          <w:sz w:val="24"/>
          <w:szCs w:val="26"/>
          <w:lang w:val="en-US"/>
          <w14:ligatures w14:val="none"/>
        </w:rPr>
        <w:t xml:space="preserve">was calculated using the head IMU data to determine the head kinematic variability across strides during the trials with and without EVS. </w:t>
      </w:r>
    </w:p>
    <w:p w14:paraId="691F0C7E" w14:textId="77777777" w:rsidR="009030FD" w:rsidRDefault="00000000">
      <w:pPr>
        <w:keepNext/>
        <w:numPr>
          <w:ilvl w:val="4"/>
          <w:numId w:val="0"/>
        </w:numPr>
        <w:tabs>
          <w:tab w:val="num" w:pos="1008"/>
        </w:tabs>
        <w:spacing w:after="0" w:line="480" w:lineRule="auto"/>
        <w:outlineLvl w:val="4"/>
        <w:rPr>
          <w:rFonts w:ascii="Times New Roman" w:eastAsia="Times New Roman" w:hAnsi="Times New Roman" w:cs="Times New Roman"/>
          <w:i/>
          <w:iCs/>
          <w:sz w:val="24"/>
          <w:szCs w:val="26"/>
          <w14:ligatures w14:val="none"/>
        </w:rPr>
      </w:pPr>
      <m:oMath>
        <m:sSub>
          <m:sSubPr>
            <m:ctrlPr>
              <w:rPr>
                <w:rFonts w:ascii="Cambria Math" w:eastAsia="Cambria Math" w:hAnsi="Cambria Math" w:cs="Cambria Math"/>
                <w:i/>
                <w:iCs/>
                <w:sz w:val="24"/>
                <w:szCs w:val="26"/>
                <w:lang w:val="en-US"/>
                <w14:ligatures w14:val="none"/>
              </w:rPr>
            </m:ctrlPr>
          </m:sSubPr>
          <m:e>
            <m:r>
              <w:rPr>
                <w:rFonts w:ascii="Cambria Math" w:eastAsia="Times New Roman" w:hAnsi="Cambria Math" w:cs="Times New Roman"/>
                <w:sz w:val="24"/>
                <w:szCs w:val="26"/>
                <w14:ligatures w14:val="none"/>
              </w:rPr>
              <m:t>V</m:t>
            </m:r>
          </m:e>
          <m:sub>
            <m:r>
              <w:rPr>
                <w:rFonts w:ascii="Cambria Math" w:eastAsia="Times New Roman" w:hAnsi="Cambria Math" w:cs="Times New Roman"/>
                <w:sz w:val="24"/>
                <w:szCs w:val="26"/>
                <w14:ligatures w14:val="none"/>
              </w:rPr>
              <m:t>res</m:t>
            </m:r>
          </m:sub>
        </m:sSub>
      </m:oMath>
      <w:r>
        <w:rPr>
          <w:rFonts w:ascii="Times New Roman" w:eastAsia="Times New Roman" w:hAnsi="Times New Roman" w:cs="Times New Roman"/>
          <w:i/>
          <w:iCs/>
          <w:sz w:val="24"/>
          <w:szCs w:val="26"/>
          <w:lang w:val="en-US"/>
          <w14:ligatures w14:val="none"/>
        </w:rPr>
        <w:t xml:space="preserve"> in trials without EVS</w:t>
      </w:r>
      <w:bookmarkEnd w:id="1"/>
    </w:p>
    <w:p w14:paraId="40AB6D5A" w14:textId="5123148A" w:rsidR="009030FD" w:rsidRDefault="00000000">
      <w:pPr>
        <w:spacing w:line="480" w:lineRule="auto"/>
        <w:ind w:firstLine="720"/>
        <w:rPr>
          <w:rFonts w:ascii="Times New Roman" w:eastAsia="Cambria" w:hAnsi="Times New Roman" w:cs="Times New Roman"/>
          <w:b/>
          <w:bCs/>
          <w:sz w:val="24"/>
          <w:szCs w:val="24"/>
          <w14:ligatures w14:val="none"/>
        </w:rPr>
      </w:pPr>
      <w:r>
        <w:rPr>
          <w:rFonts w:ascii="Times New Roman" w:eastAsia="Cambria" w:hAnsi="Times New Roman" w:cs="Times New Roman"/>
          <w:sz w:val="24"/>
          <w:szCs w:val="24"/>
          <w14:ligatures w14:val="none"/>
        </w:rPr>
        <w:t xml:space="preserve">Given that EVS evokes neck muscle responses via the </w:t>
      </w:r>
      <w:proofErr w:type="spellStart"/>
      <w:r>
        <w:rPr>
          <w:rFonts w:ascii="Times New Roman" w:eastAsia="Cambria" w:hAnsi="Times New Roman" w:cs="Times New Roman"/>
          <w:sz w:val="24"/>
          <w:szCs w:val="24"/>
          <w14:ligatures w14:val="none"/>
        </w:rPr>
        <w:t>vestibulo</w:t>
      </w:r>
      <w:proofErr w:type="spellEnd"/>
      <w:r>
        <w:rPr>
          <w:rFonts w:ascii="Times New Roman" w:eastAsia="Cambria" w:hAnsi="Times New Roman" w:cs="Times New Roman"/>
          <w:sz w:val="24"/>
          <w:szCs w:val="24"/>
          <w14:ligatures w14:val="none"/>
        </w:rPr>
        <w:t>-colic reflex and whole-body balance responses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{"citationID":"uOosqXwS","properties":{"formattedCitation":"\\super 1\\nosupersub{}","plainCitation":"1","noteIndex":0},"citationItems":[{"id":742,"uris":["http://zotero.org/users/8910128/items/DHXQCXTX"],"itemData":{"id":742,"type":"article-journal","abstract":"The vestibular system is crucial for postural control; however there are considerable differences in the task dependence and frequency response of vestibular reflexes in appendicular and axial muscles. For example, vestibular reflexes are only evoked in appendicular muscles when vestibular information is relevant to postural control, while in neck muscles they are maintained regardless of the requirement to maintain head on trunk balance. Recent investigations have also shown that the bandwidth of vestibular input on neck muscles is much broader than appendicular muscles (up to a factor of 3). This result challenges the notion that vestibular reflexes only contribute to postural control across the behavioral and physiological frequency range of the vestibular organ (i.e., 0–20 Hz). In this review, we explore and integrate these task-, muscle- and frequency-related differences in the vestibular system’s contribution to posture, and propose that the human nervous system has adapted vestibular signals to match the mechanical properties of the system that each group of muscles controls.","container-title":"Frontiers in Integrative Neuroscience","ISSN":"1662-5145","source":"Frontiers","title":"Task, muscle and frequency dependent vestibular control of posture","URL":"https://www.frontiersin.org/article/10.3389/fnint.2014.00094","volume":"8","author":[{"family":"Forbes","given":"Patrick A."},{"family":"Siegmund","given":"Gunter P."},{"family":"Schouten","given":"Alfred C."},{"family":"Blouin","given":"Jean-Sébastien"}],"accessed":{"date-parts":[["2022",4,12]]},"issued":{"date-parts":[["2015"]]}}}],"schema":"https://github.com/citation-style-language/schema/raw/master/csl-citation.json"}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xml:space="preserve">, we also calculated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measures from the trials where no EVS was applied. Overall, EVS induced a ~11-23% increase in the mean </w:t>
      </w:r>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lang w:val="en-US"/>
          <w14:ligatures w14:val="none"/>
        </w:rPr>
        <w:t xml:space="preserve"> that was mainly driven by a </w:t>
      </w:r>
      <w:r w:rsidR="000023C0">
        <w:rPr>
          <w:rFonts w:ascii="Times New Roman" w:eastAsia="Cambria" w:hAnsi="Times New Roman" w:cs="Times New Roman"/>
          <w:sz w:val="24"/>
          <w:szCs w:val="24"/>
          <w:lang w:val="en-US"/>
          <w14:ligatures w14:val="none"/>
        </w:rPr>
        <w:t>larger</w:t>
      </w:r>
      <w:r>
        <w:rPr>
          <w:rFonts w:ascii="Times New Roman" w:eastAsia="Cambria" w:hAnsi="Times New Roman" w:cs="Times New Roman"/>
          <w:sz w:val="24"/>
          <w:szCs w:val="24"/>
          <w:lang w:val="en-US"/>
          <w14:ligatures w14:val="none"/>
        </w:rPr>
        <w:t xml:space="preserve"> residual variability. However, </w:t>
      </w:r>
      <w:r>
        <w:rPr>
          <w:rFonts w:ascii="Times New Roman" w:eastAsia="Cambria" w:hAnsi="Times New Roman" w:cs="Times New Roman"/>
          <w:sz w:val="24"/>
          <w:szCs w:val="24"/>
          <w14:ligatures w14:val="none"/>
        </w:rPr>
        <w:t xml:space="preserve">the changes to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across step cadence conditions were similar between the trials with EVS (presented in the main manuscript) and without EVS (Table S2 and Figure S2).  </w:t>
      </w:r>
    </w:p>
    <w:p w14:paraId="0617DABC" w14:textId="49D7DDA8" w:rsidR="009030FD" w:rsidRDefault="00000000">
      <w:pPr>
        <w:keepNext/>
        <w:numPr>
          <w:ilvl w:val="3"/>
          <w:numId w:val="0"/>
        </w:numPr>
        <w:tabs>
          <w:tab w:val="num" w:pos="792"/>
        </w:tabs>
        <w:spacing w:after="0" w:line="480" w:lineRule="auto"/>
        <w:outlineLvl w:val="3"/>
        <w:rPr>
          <w:rFonts w:ascii="Times New Roman" w:eastAsia="SimSun" w:hAnsi="Times New Roman" w:cs="Times New Roman"/>
          <w:i/>
          <w:sz w:val="24"/>
          <w:szCs w:val="24"/>
          <w14:ligatures w14:val="none"/>
        </w:rPr>
      </w:pPr>
      <w:bookmarkStart w:id="2" w:name="_Toc151908023"/>
      <w:r>
        <w:rPr>
          <w:rFonts w:ascii="Times New Roman" w:eastAsia="SimSun" w:hAnsi="Times New Roman" w:cs="Times New Roman"/>
          <w:i/>
          <w:sz w:val="24"/>
          <w:szCs w:val="24"/>
          <w14:ligatures w14:val="none"/>
        </w:rPr>
        <w:lastRenderedPageBreak/>
        <w:t>Head kinematic changes beyond preferred cadence</w:t>
      </w:r>
      <w:bookmarkEnd w:id="2"/>
    </w:p>
    <w:p w14:paraId="134B5BCE" w14:textId="172A010E"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tab/>
        <w:t>Significant increases in head kinematic variability beyond the preferred step cadence were the same between the trials with and without EVS</w:t>
      </w:r>
      <w:r w:rsidR="00165AC4">
        <w:rPr>
          <w:rFonts w:ascii="Times New Roman" w:eastAsia="Cambria" w:hAnsi="Times New Roman" w:cs="Times New Roman"/>
          <w:sz w:val="24"/>
          <w:szCs w:val="24"/>
          <w14:ligatures w14:val="none"/>
        </w:rPr>
        <w:t xml:space="preserve"> (Table S2 and Figure S2)</w:t>
      </w:r>
      <w:r>
        <w:rPr>
          <w:rFonts w:ascii="Times New Roman" w:eastAsia="Cambria" w:hAnsi="Times New Roman" w:cs="Times New Roman"/>
          <w:sz w:val="24"/>
          <w:szCs w:val="24"/>
          <w14:ligatures w14:val="none"/>
        </w:rPr>
        <w:t xml:space="preserve">, with one exception: there was a significant increase (1.15×) in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from the 100% to the 120% condition in the trials without EVS that was not significant in the trials with EVS. </w:t>
      </w:r>
      <w:proofErr w:type="gramStart"/>
      <w:r>
        <w:rPr>
          <w:rFonts w:ascii="Times New Roman" w:eastAsia="Cambria" w:hAnsi="Times New Roman" w:cs="Times New Roman"/>
          <w:sz w:val="24"/>
          <w:szCs w:val="24"/>
          <w14:ligatures w14:val="none"/>
        </w:rPr>
        <w:t>Similar to</w:t>
      </w:r>
      <w:proofErr w:type="gramEnd"/>
      <w:r>
        <w:rPr>
          <w:rFonts w:ascii="Times New Roman" w:eastAsia="Cambria" w:hAnsi="Times New Roman" w:cs="Times New Roman"/>
          <w:sz w:val="24"/>
          <w:szCs w:val="24"/>
          <w14:ligatures w14:val="none"/>
        </w:rPr>
        <w:t xml:space="preserve"> the trials with EVS, </w:t>
      </w:r>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hAnsi="Cambria Math"/>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also increased (1.74×) from the 100% step cadence condition to the 140% condition. </w:t>
      </w:r>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hAnsi="Cambria Math"/>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ML</m:t>
            </m:r>
          </m:sub>
        </m:sSub>
      </m:oMath>
      <w:r>
        <w:rPr>
          <w:rFonts w:ascii="Times New Roman" w:eastAsia="Cambria" w:hAnsi="Times New Roman" w:cs="Times New Roman"/>
          <w:sz w:val="24"/>
          <w:szCs w:val="24"/>
          <w14:ligatures w14:val="none"/>
        </w:rPr>
        <w:t xml:space="preserve"> increased from the 100% condition to both the 120% condition (1.34×) and the 140% condition (1.47×). </w:t>
      </w:r>
    </w:p>
    <w:p w14:paraId="16319817" w14:textId="120C96A8" w:rsidR="009030FD" w:rsidRDefault="00000000">
      <w:pPr>
        <w:keepNext/>
        <w:numPr>
          <w:ilvl w:val="3"/>
          <w:numId w:val="0"/>
        </w:numPr>
        <w:tabs>
          <w:tab w:val="num" w:pos="792"/>
        </w:tabs>
        <w:spacing w:after="0" w:line="480" w:lineRule="auto"/>
        <w:outlineLvl w:val="3"/>
        <w:rPr>
          <w:rFonts w:ascii="Times New Roman" w:eastAsia="SimSun" w:hAnsi="Times New Roman" w:cs="Times New Roman"/>
          <w:i/>
          <w:sz w:val="24"/>
          <w:szCs w:val="24"/>
          <w14:ligatures w14:val="none"/>
        </w:rPr>
      </w:pPr>
      <w:bookmarkStart w:id="3" w:name="_Toc151908027"/>
      <w:r>
        <w:rPr>
          <w:rFonts w:ascii="Times New Roman" w:eastAsia="SimSun" w:hAnsi="Times New Roman" w:cs="Times New Roman"/>
          <w:i/>
          <w:sz w:val="24"/>
          <w:szCs w:val="24"/>
          <w14:ligatures w14:val="none"/>
        </w:rPr>
        <w:t>Fitting head kinematic changes across step cadence and gait speed</w:t>
      </w:r>
      <w:bookmarkEnd w:id="3"/>
    </w:p>
    <w:p w14:paraId="49A78F6B" w14:textId="77777777" w:rsidR="009030FD" w:rsidRDefault="00000000">
      <w:pPr>
        <w:spacing w:after="0" w:line="480" w:lineRule="auto"/>
        <w:ind w:firstLine="720"/>
        <w:rPr>
          <w:rFonts w:ascii="Times New Roman" w:eastAsia="Cambria" w:hAnsi="Times New Roman" w:cs="Times New Roman"/>
          <w:i/>
          <w:iCs/>
          <w:sz w:val="24"/>
          <w:szCs w:val="24"/>
          <w14:ligatures w14:val="none"/>
        </w:rPr>
      </w:pPr>
      <w:r>
        <w:rPr>
          <w:rFonts w:ascii="Times New Roman" w:eastAsia="Cambria" w:hAnsi="Times New Roman" w:cs="Times New Roman"/>
          <w:sz w:val="24"/>
          <w:szCs w:val="24"/>
          <w14:ligatures w14:val="none"/>
        </w:rPr>
        <w:t>Similar to the results with the EVS (see results in the main manuscript), the AIC was lower for the polynomial fits compared to the exponential decay fits across step cadences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-73.4,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0.92 ± 0.05;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ML</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-30.5,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0.41 ± 0.59;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-43.6,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0.71 ± 0.25;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roll</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-13.5,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0.57 ± 0.34; Figure S3A) and gait speeds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-49.4,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0.77 ± 0.18;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ML</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-30.4,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0.37 ± 0.60;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-52.0,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0.56 ± 0.35;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roll</m:t>
            </m:r>
          </m:sub>
        </m:sSub>
      </m:oMath>
      <w:r>
        <w:rPr>
          <w:rFonts w:ascii="Times New Roman" w:eastAsia="Cambria" w:hAnsi="Times New Roman" w:cs="Times New Roman"/>
          <w:sz w:val="24"/>
          <w:szCs w:val="24"/>
          <w14:ligatures w14:val="none"/>
        </w:rPr>
        <w:t xml:space="preserve">: </w:t>
      </w:r>
      <m:oMath>
        <m:r>
          <w:rPr>
            <w:rFonts w:ascii="Cambria Math" w:eastAsia="Cambria" w:hAnsi="Cambria Math" w:cs="Times New Roman"/>
            <w:sz w:val="24"/>
            <w:szCs w:val="24"/>
            <w14:ligatures w14:val="none"/>
          </w:rPr>
          <m:t xml:space="preserve">∆AIC </m:t>
        </m:r>
      </m:oMath>
      <w:r>
        <w:rPr>
          <w:rFonts w:ascii="Times New Roman" w:eastAsia="Cambria" w:hAnsi="Times New Roman" w:cs="Times New Roman"/>
          <w:sz w:val="24"/>
          <w:szCs w:val="24"/>
          <w14:ligatures w14:val="none"/>
        </w:rPr>
        <w:t xml:space="preserve">= -28.3, polynomial </w:t>
      </w:r>
      <m:oMath>
        <m:sSup>
          <m:sSupPr>
            <m:ctrlPr>
              <w:rPr>
                <w:rFonts w:ascii="Cambria Math" w:eastAsia="Cambria Math" w:hAnsi="Cambria Math" w:cs="Cambria Math"/>
                <w:sz w:val="24"/>
                <w:szCs w:val="24"/>
                <w14:ligatures w14:val="none"/>
              </w:rPr>
            </m:ctrlPr>
          </m:sSupPr>
          <m:e>
            <m:acc>
              <m:accPr>
                <m:chr m:val="̅"/>
                <m:ctrlPr>
                  <w:rPr>
                    <w:rFonts w:ascii="Cambria Math" w:eastAsia="Cambria Math" w:hAnsi="Cambria Math" w:cs="Cambria Math"/>
                    <w:sz w:val="24"/>
                    <w:szCs w:val="24"/>
                    <w14:ligatures w14:val="none"/>
                  </w:rPr>
                </m:ctrlPr>
              </m:accPr>
              <m:e>
                <m:r>
                  <w:rPr>
                    <w:rFonts w:ascii="Cambria Math" w:eastAsia="Cambria" w:hAnsi="Cambria Math" w:cs="Times New Roman"/>
                    <w:sz w:val="24"/>
                    <w:szCs w:val="24"/>
                    <w14:ligatures w14:val="none"/>
                  </w:rPr>
                  <m:t>R</m:t>
                </m:r>
              </m:e>
            </m:acc>
          </m:e>
          <m:sup>
            <m:r>
              <w:rPr>
                <w:rFonts w:ascii="Cambria Math" w:eastAsia="Cambria" w:hAnsi="Cambria Math" w:cs="Times New Roman"/>
                <w:sz w:val="24"/>
                <w:szCs w:val="24"/>
                <w14:ligatures w14:val="none"/>
              </w:rPr>
              <m:t>2</m:t>
            </m:r>
          </m:sup>
        </m:sSup>
      </m:oMath>
      <w:r>
        <w:rPr>
          <w:rFonts w:ascii="Times New Roman" w:eastAsia="Cambria" w:hAnsi="Times New Roman" w:cs="Times New Roman"/>
          <w:sz w:val="24"/>
          <w:szCs w:val="24"/>
          <w14:ligatures w14:val="none"/>
        </w:rPr>
        <w:t xml:space="preserve">= 0.48 ± 0.43; Figure S3B). </w:t>
      </w:r>
    </w:p>
    <w:p w14:paraId="0A6D316D" w14:textId="110C341E" w:rsidR="009030FD" w:rsidRDefault="00000000">
      <w:pPr>
        <w:spacing w:after="0" w:line="480" w:lineRule="auto"/>
        <w:ind w:firstLine="720"/>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t>To determine the cadence and speed at which head kinematic variability was minimal during natural locomotion, we extracted the minima for each participant’s 2</w:t>
      </w:r>
      <w:r>
        <w:rPr>
          <w:rFonts w:ascii="Times New Roman" w:eastAsia="Cambria" w:hAnsi="Times New Roman" w:cs="Times New Roman"/>
          <w:sz w:val="24"/>
          <w:szCs w:val="24"/>
          <w:vertAlign w:val="superscript"/>
          <w14:ligatures w14:val="none"/>
        </w:rPr>
        <w:t>nd</w:t>
      </w:r>
      <w:r>
        <w:rPr>
          <w:rFonts w:ascii="Times New Roman" w:eastAsia="Cambria" w:hAnsi="Times New Roman" w:cs="Times New Roman"/>
          <w:sz w:val="24"/>
          <w:szCs w:val="24"/>
          <w14:ligatures w14:val="none"/>
        </w:rPr>
        <w:t xml:space="preserve"> degree polynomial function. The locations of the minima were similar to the trials with EVS (see results in the main manuscript) and varied between </w:t>
      </w:r>
      <w:r w:rsidR="004E458C">
        <w:rPr>
          <w:rFonts w:ascii="Times New Roman" w:eastAsia="Cambria" w:hAnsi="Times New Roman" w:cs="Times New Roman"/>
          <w:sz w:val="24"/>
          <w:szCs w:val="24"/>
          <w14:ligatures w14:val="none"/>
        </w:rPr>
        <w:t>88</w:t>
      </w:r>
      <w:r>
        <w:rPr>
          <w:rFonts w:ascii="Times New Roman" w:eastAsia="Cambria" w:hAnsi="Times New Roman" w:cs="Times New Roman"/>
          <w:sz w:val="24"/>
          <w:szCs w:val="24"/>
          <w14:ligatures w14:val="none"/>
        </w:rPr>
        <w:t>-12</w:t>
      </w:r>
      <w:r w:rsidR="004E458C">
        <w:rPr>
          <w:rFonts w:ascii="Times New Roman" w:eastAsia="Cambria" w:hAnsi="Times New Roman" w:cs="Times New Roman"/>
          <w:sz w:val="24"/>
          <w:szCs w:val="24"/>
          <w14:ligatures w14:val="none"/>
        </w:rPr>
        <w:t>0</w:t>
      </w:r>
      <w:r>
        <w:rPr>
          <w:rFonts w:ascii="Times New Roman" w:eastAsia="Cambria" w:hAnsi="Times New Roman" w:cs="Times New Roman"/>
          <w:sz w:val="24"/>
          <w:szCs w:val="24"/>
          <w14:ligatures w14:val="none"/>
        </w:rPr>
        <w:t xml:space="preserve"> steps/min across step cadences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at 114 ± 7 steps/min;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ML</m:t>
            </m:r>
          </m:sub>
        </m:sSub>
      </m:oMath>
      <w:r>
        <w:rPr>
          <w:rFonts w:ascii="Times New Roman" w:eastAsia="Cambria" w:hAnsi="Times New Roman" w:cs="Times New Roman"/>
          <w:sz w:val="24"/>
          <w:szCs w:val="24"/>
          <w14:ligatures w14:val="none"/>
        </w:rPr>
        <w:t xml:space="preserve"> at 88 ± 22 steps/min;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at 120 ± 16 steps/min;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i/>
                <w:sz w:val="24"/>
                <w:szCs w:val="24"/>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roll</m:t>
            </m:r>
          </m:sub>
        </m:sSub>
      </m:oMath>
      <w:r>
        <w:rPr>
          <w:rFonts w:ascii="Times New Roman" w:eastAsia="Cambria" w:hAnsi="Times New Roman" w:cs="Times New Roman"/>
          <w:sz w:val="24"/>
          <w:szCs w:val="24"/>
          <w14:ligatures w14:val="none"/>
        </w:rPr>
        <w:t xml:space="preserve"> at 120 ± 24 </w:t>
      </w:r>
      <w:r>
        <w:rPr>
          <w:rFonts w:ascii="Times New Roman" w:eastAsia="Cambria" w:hAnsi="Times New Roman" w:cs="Times New Roman"/>
          <w:sz w:val="24"/>
          <w:szCs w:val="24"/>
          <w14:ligatures w14:val="none"/>
        </w:rPr>
        <w:lastRenderedPageBreak/>
        <w:t xml:space="preserve">steps/min; Figure S3A) and </w:t>
      </w:r>
      <w:r w:rsidR="004E458C">
        <w:rPr>
          <w:rFonts w:ascii="Times New Roman" w:eastAsia="Cambria" w:hAnsi="Times New Roman" w:cs="Times New Roman"/>
          <w:sz w:val="24"/>
          <w:szCs w:val="24"/>
          <w14:ligatures w14:val="none"/>
        </w:rPr>
        <w:t>0.9</w:t>
      </w:r>
      <w:r>
        <w:rPr>
          <w:rFonts w:ascii="Times New Roman" w:eastAsia="Cambria" w:hAnsi="Times New Roman" w:cs="Times New Roman"/>
          <w:sz w:val="24"/>
          <w:szCs w:val="24"/>
          <w14:ligatures w14:val="none"/>
        </w:rPr>
        <w:t>-1.</w:t>
      </w:r>
      <w:r w:rsidR="004E458C">
        <w:rPr>
          <w:rFonts w:ascii="Times New Roman" w:eastAsia="Cambria" w:hAnsi="Times New Roman" w:cs="Times New Roman"/>
          <w:sz w:val="24"/>
          <w:szCs w:val="24"/>
          <w14:ligatures w14:val="none"/>
        </w:rPr>
        <w:t>4</w:t>
      </w:r>
      <w:r>
        <w:rPr>
          <w:rFonts w:ascii="Times New Roman" w:eastAsia="Cambria" w:hAnsi="Times New Roman" w:cs="Times New Roman"/>
          <w:sz w:val="24"/>
          <w:szCs w:val="24"/>
          <w14:ligatures w14:val="none"/>
        </w:rPr>
        <w:t xml:space="preserve"> m/s across gait speeds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at 1.3 ± 0.1 m/s;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ML</m:t>
            </m:r>
          </m:sub>
        </m:sSub>
      </m:oMath>
      <w:r>
        <w:rPr>
          <w:rFonts w:ascii="Times New Roman" w:eastAsia="Cambria" w:hAnsi="Times New Roman" w:cs="Times New Roman"/>
          <w:sz w:val="24"/>
          <w:szCs w:val="24"/>
          <w14:ligatures w14:val="none"/>
        </w:rPr>
        <w:t xml:space="preserve"> at 0.9 ± 0.4 m/s;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at 1.4 ± 0.3 m/s;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eastAsia="Cambria Math" w:hAnsi="Cambria Math" w:cs="Cambria Math"/>
                <w:sz w:val="24"/>
                <w:szCs w:val="24"/>
                <w:lang w:val="en-US"/>
                <w14:ligatures w14:val="none"/>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roll</m:t>
            </m:r>
          </m:sub>
        </m:sSub>
      </m:oMath>
      <w:r>
        <w:rPr>
          <w:rFonts w:ascii="Times New Roman" w:eastAsia="Cambria" w:hAnsi="Times New Roman" w:cs="Times New Roman"/>
          <w:sz w:val="24"/>
          <w:szCs w:val="24"/>
          <w14:ligatures w14:val="none"/>
        </w:rPr>
        <w:t xml:space="preserve"> at 1.4 ± 0.3 m/s; Figure S3B).</w:t>
      </w:r>
    </w:p>
    <w:p w14:paraId="7E16F96F" w14:textId="77777777"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i/>
          <w:iCs/>
          <w:sz w:val="24"/>
          <w:szCs w:val="24"/>
          <w14:ligatures w14:val="none"/>
        </w:rPr>
        <w:t>Bootstrapped Coherence, Gain, and Power Differences</w:t>
      </w:r>
    </w:p>
    <w:p w14:paraId="526C0F6F" w14:textId="271BA50F" w:rsidR="009030FD" w:rsidRDefault="00000000" w:rsidP="003849F5">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tab/>
        <w:t xml:space="preserve">To confirm that the changes in coherence across locomotor cadences we observed represented modulations in </w:t>
      </w:r>
      <w:proofErr w:type="spellStart"/>
      <w:r>
        <w:rPr>
          <w:rFonts w:ascii="Times New Roman" w:eastAsia="Cambria" w:hAnsi="Times New Roman" w:cs="Times New Roman"/>
          <w:sz w:val="24"/>
          <w:szCs w:val="24"/>
          <w14:ligatures w14:val="none"/>
        </w:rPr>
        <w:t>vestibulo</w:t>
      </w:r>
      <w:proofErr w:type="spellEnd"/>
      <w:r>
        <w:rPr>
          <w:rFonts w:ascii="Times New Roman" w:eastAsia="Cambria" w:hAnsi="Times New Roman" w:cs="Times New Roman"/>
          <w:sz w:val="24"/>
          <w:szCs w:val="24"/>
          <w14:ligatures w14:val="none"/>
        </w:rPr>
        <w:t>-motor responses and were not driven only by increased linear acceleration spectral power, we performed bootstrapping of the differences in coherence, gain, and power</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{"citationID":"PE5JCv8l","properties":{"formattedCitation":"\\super 2,3\\nosupersub{}","plainCitation":"2,3","noteIndex":0},"citationItems":[{"id":1844,"uris":["http://zotero.org/users/8910128/items/CQ36Z3V5"],"itemData":{"id":1844,"type":"article-journal","abstract":"IntroductionThe vestibular system, which encodes our head movement in space, plays an important role in maintaining our balance as we navigate the environment. While in-laboratory research demonstrates that the vestibular system exerts a context-dependent influence on the control of balance during locomotion, differences in whole-body and head kinematics between indoor treadmill and real-world locomotion challenge the generalizability of these findings. Thus, the goal of this study was to characterize vestibular-evoked balance responses in the real world using a fully portable system.MethodsWhile experiencing stochastic electrical vestibular stimulation (0–20 Hz, amplitude peak ± 4.5 mA, root mean square 1.25 mA) and wearing inertial measurement units (IMUs) on the head, low back, and ankles, 10 participants walked outside at 52 steps/minute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0.4 m/s) and 78 steps/minute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 xml:space="preserve">0.8 m/s). We calculated time-dependent coherence (a measure of correlation in the frequency domain) between the applied stimulus and the mediolateral back, right ankle, and left ankle linear accelerations to infer the vestibular control of balance during locomotion.ResultsIn all participants, we observed vestibular-evoked balance responses. These responses exhibited phasic modulation across the stride cycle, peaking during the middle of the single-leg stance in the back and during the stance phase for the ankles. Coherence decreased with increasing locomotor cadence and speed, as observed in both bootstrapped coherence differences (p &lt; 0.01) and peak coherence (low back: 0.23 ± 0.07 vs. 0.16 ± 0.14, p = 0.021; right ankle: 0.38 ± 0.12 vs. 0.25 ± 0.10, p &lt; 0.001; left ankle: 0.33 ± 0.09 vs. 0.21 ± 0.09, p &lt; 0.001).DiscussionThese results replicate previous in-laboratory studies, thus providing further insight into the vestibular control of balance during naturalistic movements and validating the use of this portable system as a method to characterize real-world vestibular responses. This study will help support future work that seeks to better understand how the vestibular system contributes to balance in variable real-world environments.","container-title":"Frontiers in Human Neuroscience","ISSN":"1662-5161","license":"All rights reserved","source":"Frontiers","title":"Real-world characterization of vestibular contributions during locomotion","URL":"https://doi.org/10.3389/fnhum.2023.1329097","volume":"17","author":[{"family":"Foulger","given":"Liam H."},{"family":"Charlton","given":"Jesse M."},{"family":"Blouin","given":"Jean-Sébastien"}],"accessed":{"date-parts":[["2024",1,7]]},"issued":{"date-parts":[["2024"]]}}},{"id":756,"uris":["http://zotero.org/users/8910128/items/VHMAS3MW"],"itemData":{"id":756,"type":"article-journal","abstract":"The ability to move and maintain posture is critically dependent on motion and orientation information provided by the vestibular system. When this system delivers noisy or erred information it can, in some cases, be attenuated through habituation. Here we investigate whether multiple mechanisms of attenuation act to decrease vestibular gain due to noise added using supra-threshold random-waveform galvanic vestibular stimulation (GVS). Forty-five participants completed one of three conditions. Each condition consisted of two 4-min standing periods with stimulation surrounding a 1-h period of either walking with stimulation, walking without stimulation, or sitting quietly. An instrumented treadmill recorded horizontal forces at the feet during standing and walking. We quantified response attenuation to GVS by comparing vestibular stimulus-horizontal force gain between conditions. First stimulus exposure caused an 18% decrease in gain during the first 40 s of standing. Attenuation recommenced only when subjects walked with stimulation, resulting in a 38% decrease in gain over 60 min that did not transfer to standing following walking. The disparity in attenuation dynamics and absent carry over between standing and walking suggests that two mechanisms of attenuation, one associated with first exposure to the stimulus and another that is task specific, may act to decrease vestibulomotor gain.","container-title":"Scientific Reports","DOI":"10.1038/s41598-021-87485-4","ISSN":"2045-2322","issue":"1","journalAbbreviation":"Sci Rep","language":"en","license":"2021 The Author(s)","note":"number: 1\npublisher: Nature Publishing Group","page":"8127","source":"www.nature.com","title":"Vestibular attenuation to random-waveform galvanic vestibular stimulation during standing and treadmill walking","volume":"11","author":[{"family":"Hannan","given":"Kelci B."},{"family":"Todd","given":"Makina K."},{"family":"Pearson","given":"Nicole J."},{"family":"Forbes","given":"Patrick A."},{"family":"Dakin","given":"Christopher J."}],"issued":{"date-parts":[["2021",4,14]]}}}],"schema":"https://github.com/citation-style-language/schema/raw/master/csl-citation.json"}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2,3</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We compared responses between the 40% step cadence condition and the 60%, 80%, 100%, 120%, and 140% step cadence conditions. To compute the bootstrapped differences, we randomly selected 12 participants (with replacement), computed the pooled coherence, gain, and spectral power for the desired cadence conditions, and calculated the differences for each measure. This process was repeated 10,000 times. At each time step and frequency, the differences were sorted in ascending order (across the 10,000 resamples). Points (across time and frequency) in the coherence, gain, and spectral power output differences where zero was outside of a 99% confidence interval (50</w:t>
      </w:r>
      <w:r w:rsidRPr="003849F5">
        <w:rPr>
          <w:rFonts w:ascii="Times New Roman" w:eastAsia="Cambria" w:hAnsi="Times New Roman" w:cs="Times New Roman"/>
          <w:sz w:val="24"/>
          <w:szCs w:val="24"/>
          <w:vertAlign w:val="superscript"/>
          <w14:ligatures w14:val="none"/>
        </w:rPr>
        <w:t>th</w:t>
      </w:r>
      <w:r>
        <w:rPr>
          <w:rFonts w:ascii="Times New Roman" w:eastAsia="Cambria" w:hAnsi="Times New Roman" w:cs="Times New Roman"/>
          <w:sz w:val="24"/>
          <w:szCs w:val="24"/>
          <w14:ligatures w14:val="none"/>
        </w:rPr>
        <w:t xml:space="preserve"> and 9950</w:t>
      </w:r>
      <w:r w:rsidRPr="003849F5">
        <w:rPr>
          <w:rFonts w:ascii="Times New Roman" w:eastAsia="Cambria" w:hAnsi="Times New Roman" w:cs="Times New Roman"/>
          <w:sz w:val="24"/>
          <w:szCs w:val="24"/>
          <w:vertAlign w:val="superscript"/>
          <w14:ligatures w14:val="none"/>
        </w:rPr>
        <w:t>th</w:t>
      </w:r>
      <w:r>
        <w:rPr>
          <w:rFonts w:ascii="Times New Roman" w:eastAsia="Cambria" w:hAnsi="Times New Roman" w:cs="Times New Roman"/>
          <w:sz w:val="24"/>
          <w:szCs w:val="24"/>
          <w14:ligatures w14:val="none"/>
        </w:rPr>
        <w:t xml:space="preserve"> data points) </w:t>
      </w:r>
      <w:proofErr w:type="gramStart"/>
      <w:r>
        <w:rPr>
          <w:rFonts w:ascii="Times New Roman" w:eastAsia="Cambria" w:hAnsi="Times New Roman" w:cs="Times New Roman"/>
          <w:sz w:val="24"/>
          <w:szCs w:val="24"/>
          <w14:ligatures w14:val="none"/>
        </w:rPr>
        <w:t>were considered to be</w:t>
      </w:r>
      <w:proofErr w:type="gramEnd"/>
      <w:r>
        <w:rPr>
          <w:rFonts w:ascii="Times New Roman" w:eastAsia="Cambria" w:hAnsi="Times New Roman" w:cs="Times New Roman"/>
          <w:sz w:val="24"/>
          <w:szCs w:val="24"/>
          <w14:ligatures w14:val="none"/>
        </w:rPr>
        <w:t xml:space="preserve"> significantly different between cadences. In the back, right ankle, and left ankle bootstrapped differences (Figures S4-S6), we observed that gain either decreased concurrently with coherence or did not change in regions where coherence decreased. This confirmed that while spectral power did increase with faster step cadences, the observed reductions in coherence with faster locomotor cadence/speed were not simply a consequence of </w:t>
      </w:r>
      <w:r w:rsidR="000303DE">
        <w:rPr>
          <w:rFonts w:ascii="Times New Roman" w:eastAsia="Cambria" w:hAnsi="Times New Roman" w:cs="Times New Roman"/>
          <w:sz w:val="24"/>
          <w:szCs w:val="24"/>
          <w14:ligatures w14:val="none"/>
        </w:rPr>
        <w:t xml:space="preserve">increased </w:t>
      </w:r>
      <w:r>
        <w:rPr>
          <w:rFonts w:ascii="Times New Roman" w:eastAsia="Cambria" w:hAnsi="Times New Roman" w:cs="Times New Roman"/>
          <w:sz w:val="24"/>
          <w:szCs w:val="24"/>
          <w14:ligatures w14:val="none"/>
        </w:rPr>
        <w:t xml:space="preserve">variability in locomotor responses but rather represented modulations in vestibular-evoked motor responses. </w:t>
      </w:r>
    </w:p>
    <w:p w14:paraId="2704BD3B" w14:textId="77777777" w:rsidR="009030FD" w:rsidRDefault="00000000">
      <w:pPr>
        <w:spacing w:after="0" w:line="480" w:lineRule="auto"/>
        <w:rPr>
          <w:rFonts w:ascii="Times New Roman" w:eastAsia="Cambria" w:hAnsi="Times New Roman" w:cs="Times New Roman"/>
          <w:i/>
          <w:iCs/>
          <w:sz w:val="24"/>
          <w:szCs w:val="24"/>
          <w14:ligatures w14:val="none"/>
        </w:rPr>
      </w:pPr>
      <w:r>
        <w:rPr>
          <w:rFonts w:ascii="Times New Roman" w:eastAsia="Cambria" w:hAnsi="Times New Roman" w:cs="Times New Roman"/>
          <w:i/>
          <w:iCs/>
          <w:sz w:val="24"/>
          <w:szCs w:val="24"/>
          <w14:ligatures w14:val="none"/>
        </w:rPr>
        <w:t>Modelling Vestibular Afferent Responses to Head Motion and EVS</w:t>
      </w:r>
    </w:p>
    <w:p w14:paraId="7BDC4943" w14:textId="1059C641"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tab/>
        <w:t xml:space="preserve">The encoding of head kinematic signals by the primary vestibular afferents and central vestibular pathways include non-linearities associated, for example, with larger signal </w:t>
      </w:r>
      <w:r>
        <w:rPr>
          <w:rFonts w:ascii="Times New Roman" w:eastAsia="Cambria" w:hAnsi="Times New Roman" w:cs="Times New Roman"/>
          <w:sz w:val="24"/>
          <w:szCs w:val="24"/>
          <w14:ligatures w14:val="none"/>
        </w:rPr>
        <w:lastRenderedPageBreak/>
        <w:t>amplitudes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{"citationID":"AblTzJLN","properties":{"formattedCitation":"\\super 4,5\\nosupersub{}","plainCitation":"4,5","noteIndex":0},"citationItems":[{"id":848,"uris":["http://zotero.org/users/8910128/items/BRFZNH4Y"],"itemData":{"id":848,"type":"article-journal","abstract":"Efficient processing of incoming sensory input is essential for an organism's survival. A growing body of evidence suggests that sensory systems have developed coding strategies that are constrained by the statistics of the natural environment. Consequently, it is necessary to first characterize neural responses to natural stimuli to uncover the coding strategies used by a given sensory system. Here we report for the first time the statistics of vestibular rotational and translational stimuli experienced by rhesus monkeys during natural (e.g., walking, grooming) behaviors. We find that these stimuli can reach intensities as high as 1500 deg/s and 8 G. Recordings from afferents during naturalistic rotational and linear motion further revealed strongly nonlinear responses in the form of rectification and saturation, which could not be accurately predicted by traditional linear models of vestibular processing. Accordingly, we used linear–nonlinear cascade models and found that these could accurately predict responses to naturalistic stimuli. Finally, we tested whether the statistics of natural vestibular signals constrain the neural coding strategies used by peripheral afferents. We found that both irregular otolith and semicircular canal afferents, because of their higher sensitivities, were more optimized for processing natural vestibular stimuli as compared with their regular counterparts. Our results therefore provide the first evidence supporting the hypothesis that the neural coding strategies used by the vestibular system are matched to the statistics of natural stimuli.","container-title":"Journal of Neuroscience","DOI":"10.1523/JNEUROSCI.3841-14.2015","ISSN":"0270-6474, 1529-2401","issue":"14","journalAbbreviation":"J. Neurosci.","language":"en","license":"Copyright © 2015 the authors 0270-6474/15/355522-15$15.00/0","note":"publisher: Society for Neuroscience\nsection: Articles\nPMID: 25855169","page":"5522-5536","source":"www-jneurosci-org.eu1.proxy.openathens.net","title":"The increased sensitivity of irregular peripheral canal and otolith vestibular afferents optimizes their encoding of natural stimuli","volume":"35","author":[{"family":"Schneider","given":"Adam D."},{"family":"Jamali","given":"Mohsen"},{"family":"Carriot","given":"Jerome"},{"family":"Chacron","given":"Maurice J."},{"family":"Cullen","given":"Kathleen E."}],"issued":{"date-parts":[["2015",4,8]]}}},{"id":2115,"uris":["http://zotero.org/users/8910128/items/TPDTBCUS"],"itemData":{"id":2115,"type":"article-journal","abstract":"Early vestibular processing in macaque monkeys is inherently nonlinear and is optimized to detect specific features of self-motion.","container-title":"PLOS Biology","DOI":"10.1371/journal.pbio.1001365","ISSN":"1545-7885","issue":"7","journalAbbreviation":"PLOS Biology","language":"en","note":"publisher: Public Library of Science","page":"e1001365","source":"PLoS Journals","title":"The Vestibular System Implements a Linear–Nonlinear Transformation In Order to Encode Self-Motion","volume":"10","author":[{"family":"Massot","given":"Corentin"},{"family":"Schneider","given":"Adam D."},{"family":"Chacron","given":"Maurice J."},{"family":"Cullen","given":"Kathleen E."}],"issued":{"date-parts":[["2012",7,24]]}}}],"schema":"https://github.com/citation-style-language/schema/raw/master/csl-citation.json"}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4,5</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xml:space="preserve">. Given that we used linear system analyses to estimate vestibular-evoked responses, these non-linearities could lead to decreased coherence as the amplitude of head kinematic signals increased with step cadence (see Figures 2 and 3 in main manuscript). To confirm that the attenuation of EVS-evoked balance responses at the faster step cadences was not driven by non-linear processes in vestibular pathways, we modelled the peripheral afferents and central responses to head motion and EVS experienced during the locomotor trials. Using the transformed head linear accelerations (with gravity included given the otoliths sense </w:t>
      </w:r>
      <w:proofErr w:type="spellStart"/>
      <w:r>
        <w:rPr>
          <w:rFonts w:ascii="Times New Roman" w:eastAsia="Cambria" w:hAnsi="Times New Roman" w:cs="Times New Roman"/>
          <w:sz w:val="24"/>
          <w:szCs w:val="24"/>
          <w14:ligatures w14:val="none"/>
        </w:rPr>
        <w:t>gravito</w:t>
      </w:r>
      <w:proofErr w:type="spellEnd"/>
      <w:r>
        <w:rPr>
          <w:rFonts w:ascii="Times New Roman" w:eastAsia="Cambria" w:hAnsi="Times New Roman" w:cs="Times New Roman"/>
          <w:sz w:val="24"/>
          <w:szCs w:val="24"/>
          <w14:ligatures w14:val="none"/>
        </w:rPr>
        <w:t>-inertial accelerations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{"citationID":"mi1UW4Di","properties":{"formattedCitation":"\\super 6\\nosupersub{}","plainCitation":"6","noteIndex":0},"citationItems":[{"id":1245,"uris":["http://zotero.org/users/8910128/items/YCA973ZM"],"itemData":{"id":1245,"type":"chapter","abstract":"Gravity is a defining force that governs the evolution of mechanical forms, shapes and anchors our perception of the environment, and imposes fundamental constraints on our interactions with the world. Within the animal kingdom, humans are relatively unique in having evolved a vertical, bipedal posture. Although a vertical posture confers numerous benefits, it also renders us less stable than quadrupeds, increasing susceptibility to falls. The ability to accurately and precisely estimate our orientation relative to gravity is therefore of utmost importance. Here we review sensory information and computational processes underlying gravity estimation and verticality perception. Central to gravity estimation and verticality perception is multisensory cue combination, which serves to improve the precision of perception and resolve ambiguities in sensory representations by combining information from across the visual, vestibular, and somatosensory systems. We additionally review experimental paradigms for evaluating verticality perception, and discuss how particular disorders affect the perception of upright. Together, the work reviewed here highlights the critical role of multisensory cue combination in gravity estimation, verticality perception, and creating stable gravity-centered representations of our environment.","container-title":"Handbook of Clinical Neurology","ISBN":"978-0-444-63916-5","language":"en","note":"DOI: 10.1016/B978-0-444-63916-5.00003-3","page":"43-59","publisher":"Elsevier","source":"DOI.org (Crossref)","title":"Gravity estimation and verticality perception","URL":"https://linkinghub.elsevier.com/retrieve/pii/B9780444639165000033","volume":"159","author":[{"family":"Dakin","given":"Christopher J."},{"family":"Rosenberg","given":"Ari"}],"accessed":{"date-parts":[["2022",11,7]]},"issued":{"date-parts":[["2018"]]}}}],"schema":"https://github.com/citation-style-language/schema/raw/master/csl-citation.json"}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6</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and angular velocities, the motion was first decomposed into the sensing axes of the bilateral canals (anterior, horizontal, posterior) and otolith components (saccule pars superior, saccule pars inferior, utricle pars medialis, and utricle pars lateralis)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{"citationID":"t5CRajm9","properties":{"formattedCitation":"\\super 7\\uc0\\u8211{}10\\nosupersub{}","plainCitation":"7–10","noteIndex":0},"citationItems":[{"id":1826,"uris":["http://zotero.org/users/8910128/items/VDMXX8XY"],"itemData":{"id":1826,"type":"thesis","abstract":"Humans, as with other organisms, rely on sensing for survival. The principles implemented by the brain to interpret this sensory information; however, remain open for investigation. The vestibular sense provides information about self-motion and orientation, which in part allows us to properly perceive self-motion in space and to navigate the surrounding environment. The purpose of this thesis was to advance the current knowledge of how the brain processes sensory cues of motion. Because the mechanisms that govern the central integration of vestibular information are difficult to reveal through everyday experiences, we used experimentally controlled sensory stimuli to probe vestibular-related neurophysiological and psychophysical behaviours. Studies presented in this thesis emerge from a first principles approach looking at integration of signals from primary vestibular afferents using a novel sampling-based dynamical inference model. Experiment 1 characterized perceptual self-motion during and following constant vestibular stimulation and contextualized how percepts arise from the integration of differently adapting primary vestibular afferents based on the brain’s expectation about one’s self-motion. Experiment 2 examined why perception changes when different vestibular end-organs encodes the same gravity-neutral whole-body motion. We showed that vestibular otoliths provide the brain additional information of self-rotation, a role primarily attributed to the vestibular semicircular canals. Experiments 3 and 4 together evaluated electrical vestibular stimulation for probing the vestibular system in humans. Here, we used current physiological data of primary vestibular afferent responses to both mechanical and electrical stimuli to predict and evaluate their equivalence in central processing in humans. Subsequently, a real-time solution for human-in-the-loop vestibular sense modulation using electrical vestibular stimulation during active head movements was developed using our identified equivalency. Altogether, this thesis highlights that our perceptions are shaped by our past experiences. Likewise, we show that equivalent perceptual and oculomotor behaviours can be elicited by matching the predicted response of primary vestibular afferents. The novel work presented here offers new theoretical and applied principles about vestibular processing, and the sensory integration process at large. More importantly, this may lead to novel and testable hypotheses for future studies to build upon in both fundamental and clinical areas.","event-place":"University of British Columbia","genre":"PhD Thesis","language":"eng","publisher":"University of British Columbia","publisher-place":"University of British Columbia","title":"Physiological computations underlying our internal representation of vestibular self-motion","URL":"https://open.library.ubc.ca/collections/24/items/1.0435115","author":[{"family":"Chen","given":"Anthony"}],"issued":{"date-parts":[["2023"]]}}},{"id":320,"uris":["http://zotero.org/users/8910128/items/32Z7BMI8"],"itemData":{"id":320,"type":"article-journal","abstract":"Analysis of vestibulo-ocular reflex experiments requires knowledge of the absolute orientations (with respect to skull landmarks) of semicircular canals (SCC). Data relating SCC orientations to accessible skull landmarks in humans are sparse, apart from a classic study of 10 skulls, which concluded that the horizontal and anterior SCC are not mutually orthogonal (111 +/- 7.6 degrees). Multiple studies of isolated labyrinths have shown the inter-SCC angles are close to 90 degrees. We hypothesized that a larger sample would yield mean absolute SCC orientations closer to the mutual orthogonality demonstrated for isolated labyrinths. We measured canal orientations with respect to accessible skull landmarks using 3-D multiplanar reconstructions of computerized tomography scans of the temporal bones of 22 human subjects. Images were acquired with 0.5-mm thickness and reconstructed with in-plane resolution of 234 microm. There was no significant difference between the left and a mirror image of the right (p &gt; 0.57 on multiway ANOVA of orientation vector coefficients), so data were pooled for the 44 labyrinths. The angle between the anterior and posterior SCC was 94.0 +/- 4.0 degrees (mean +/- SD). The angle between the anterior and horizontal SCC was 90.6 +/- 6.2 degrees. The angle between the horizontal and posterior SCC was 90.4 +/- 4.9 degrees. The direction angles between a vector normal to the left horizontal SCC and the positive Reid's stereotaxic X (+nasal), Y (+left), and Z (+superior) axes were 108.7 +/- 7.5 degrees, 92.2 +/- 5.7 degrees, and 19.9 +/- 7.0 degrees, respectively. The angles between a vector normal to the left anterior SCC and the positive Reid's stereotaxic X, Y, and Z axes were 125.9 +/- 5.2 degrees, 38.4 +/- 5.1 degrees, and 100.1 +/- 6.2 degrees, respectively. The angles between a vector normal to the left posterior SCC and the positive Reid's stereotaxic X, Y, and Z axes were 133.6 +/- 5.3 degrees, 131.5 +/- 5.1 degrees, and 105.6 +/- 6.6 degrees, respectively. The mean anterior SCC-contralateral posterior SCC angle was 15.3 +/- 7.2 degrees. The absolute orientations of human SCC are more nearly orthogonal than previously reported.","container-title":"Journal of the Association for Research in Otolaryngology","DOI":"10.1007/s10162-005-0003-x","ISSN":"15253961","issue":"3","page":"191–206","title":"Orientation of human semicircular canals measured by three-dimensional multiplanar CT reconstruction","volume":"6","author":[{"family":"Della Santina","given":"Charles C"},{"family":"Potyagaylo","given":"Valeria"},{"family":"Migliaccio","given":"Americo A"},{"family":"Minor","given":"Lloyd B"},{"family":"Carey","given":"John P"}],"issued":{"date-parts":[["2005"]]}}},{"id":575,"uris":["http://zotero.org/users/8910128/items/KKE5TK2Q"],"itemData":{"id":575,"type":"article-journal","abstract":"Passing current through mastoid electrodes (conventionally termed galvanic vestibular stimulation; GVS) evokes a balance response containing a short- and a medium-latency response. The origins of these two responses are debated. Here we test the hypotheses that they originate from net signals evoked by stimulation of otolith and semi-circular canal afferents, respectively. Based on anatomy and function, we predicted the directions of the stimulus-evoked net head rotation vector from the canals and the linear acceleration net vector from the otoliths. We tested these predictions in healthy adults by obtaining responses with the head in strategic postures to alter the relevance of the signals to the balance system. Cross-covariance between a stochastic waveform of stimulating current and motor output was used to assess the balance responses. Consistent with the canal hypothesis, with the head pitched down the medium-latency EMG response was abolished while the short-latency EMG response was maintained. The results, however, did not support the otolith hypothesis. The direction of the linear acceleration signal from the otoliths was predicted to change substantially when using monaural stimuli compared to binaural stimuli. In contrast, short-latency response direction measured from ground-reaction forces was not altered. It was always directed along the inter-aural axis irrespective of whether the stimulus was applied binaurally or monaurally, whether the head was turned in yaw through 90 deg, whether the head was pitched down through 90 deg, or combinations of these manipulations. We conclude that a net canal signal evoked by GVS contributes to the medium-latency response whilst a net otolith signal does not make a significant contribution to either the short- or medium-latency responses.","container-title":"The Journal of Physiology","DOI":"10.1113/jphysiol.2010.195222","ISSN":"1469-7793","issue":"22","language":"en","note":"_eprint: https://onlinelibrary.wiley.com/doi/pdf/10.1113/jphysiol.2010.195222","page":"4441-4451","source":"Wiley Online Library","title":"Lack of otolith involvement in balance responses evoked by mastoid electrical stimulation","volume":"588","author":[{"family":"Mian","given":"Omar S."},{"family":"Dakin","given":"Christopher J."},{"family":"Blouin","given":"Jean-Sébastien"},{"family":"Fitzpatrick","given":"Richard C."},{"family":"Day","given":"Brian L."}],"issued":{"date-parts":[["2010"]]}}},{"id":2138,"uris":["http://zotero.org/users/8910128/items/L2ZM56CE"],"itemData":{"id":2138,"type":"article-journal","abstract":"A morphometric analysis of 43 human maculae utriculi is presented. Individual data on the shape, total area and relative area of the pars interna are given. In addition, the sensitivity of the entire macula to shear stimuli in different directions was estimated. The mean area of 39 maculae from adults and children was 4.30 +/- 0.30 (SD) mm(2). The pars interna was slightly but significantly smaller than the pars externa. The interindividual variability was larger for the shape of the macula than for the total area and the percentage of the pars interna. The estimated responsiveness of the macula was largest for shear directed anteromedially and smallest for shear directed posteriorly. The data are discussed taking into consideration clinical findings on patients with unilateral loss of otolith function.","container-title":"Audiology &amp; Neuro-Otology","DOI":"10.1159/000046815","ISSN":"1420-3030","issue":"2","journalAbbreviation":"Audiol Neurootol","language":"eng","note":"PMID: 11385183","page":"98-107","source":"PubMed","title":"Directional sensitivity of the human macula utriculi based on morphological characteristics","volume":"6","author":[{"family":"Tribukait","given":"A."},{"family":"Rosenhall","given":"U."}],"issued":{"date-parts":[["2001"]]}}}],"schema":"https://github.com/citation-style-language/schema/raw/master/csl-citation.json"}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7–10</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In trials with vestibular stimulation, the EVS signal was distributed to all the vestibular organ components because EVS modulates all vestibular afferents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{"citationID":"5qcoRmAx","properties":{"formattedCitation":"\\super 11,12\\nosupersub{}","plainCitation":"11,12","noteIndex":0},"citationItems":[{"id":314,"uris":["http://zotero.org/users/8910128/items/LK3MSA4Q"],"itemData":{"id":314,"type":"article-journal","container-title":"Nature Communications","DOI":"10.1038/s41467-019-09738-1","issue":"1","title":"Neural substrates, dynamics and thresholds of galvanic vestibular stimulation in the behaving primate","volume":"10","author":[{"family":"Kwan","given":"Annie"},{"family":"Forbes","given":"Patrick A"},{"family":"Mitchell","given":"Diana E"},{"family":"Blouin","given":"Jean-Sébastien"},{"family":"Cullen","given":"Kathleen E"}],"issued":{"date-parts":[["2019"]]}}},{"id":539,"uris":["http://zotero.org/users/8910128/items/TBPGHUWL"],"itemData":{"id":539,"type":"article-journal","container-title":"Brain Research","DOI":"10.1016/0006-8993(82)90990-8","ISSN":"0006-8993","issue":"1","journalAbbreviation":"Brain Research","language":"en","page":"156-160","source":"ScienceDirect","title":"Responses of vestibular-nerve afferents in the squirrel monkey to externally applied galvanic currents","volume":"252","author":[{"family":"Goldberg","given":"J. M."},{"family":"Fernandez","given":"C."},{"family":"Smith","given":"C. E."}],"issued":{"date-parts":[["1982",12,2]]}}}],"schema":"https://github.com/citation-style-language/schema/raw/master/csl-citation.json"}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11,12</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As binaural bipolar EVS induces afferent depolarization on cathode and afferent hyperpolarization on the anode</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{"citationID":"7OdcL8Jz","properties":{"formattedCitation":"\\super 13\\nosupersub{}","plainCitation":"13","noteIndex":0},"citationItems":[{"id":318,"uris":["http://zotero.org/users/8910128/items/3URCCTSX"],"itemData":{"id":318,"type":"article-journal","abstract":"Galvanic vestibular stimulation (GVS) is a simple, safe, and specific way to elicit vestibular reflexes. Yet, despite a long history, it has only recently found popularity as a research tool and is rarely used clinically. The obstacle to advancing and exploiting GVS is that we cannot interpret the evoked responses with certainty because we do not understand how the stimulus acts as an input to the system. This paper examines the electrophysiology and anatomy of the vestibular organs and the effects of GVS on human balance control and develops a model that explains the observed balance responses. These responses are large and highly organized over all body segments and adapt to postural and balance requirements. To achieve this, neurons in the vestibular nuclei receive convergent signals from all vestibular receptors and somatosensory and cortical inputs. GVS sway responses are affected by other sources of information about balance but can appear as the sum of otolithic and semicircular canal responses. Electrophysiological studies showing similar activation of primary afferents from the otolith organs and canals and their convergence in the vestibular nuclei support this. On the basis of the morphology of the cristae and the alignment of the semicircular canals in the skull, rotational vectors calculated for every mode of GVS agree with the observed sway. However, vector summation of signals from all utricular afferents does not explain the observed sway. Thus we propose the hypothesis that the otolithic component of the balance response originates from only the pars medialis of the utricular macula.","container-title":"Journal of Applied Physiology","DOI":"10.1152/japplphysiol.00008.2004","ISSN":"87507587","issue":"6","page":"2301–2316","title":"Probing the human vestibular system with galvanic stimulation","volume":"96","author":[{"family":"Fitzpatrick","given":"Richard C."},{"family":"Day","given":"Brian L."}],"issued":{"date-parts":[["2004"]]}}}],"schema":"https://github.com/citation-style-language/schema/raw/master/csl-citation.json"}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13</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the EVS signal was multiplied by -1 for the anode-side vestibular organs. Following this, the head motion and EVS signals were passed through motion-to-afferent and EVS-to-afferent transfer functions, respectively, for the canals and otoliths, to determine the regular and irregular afferent firing rate changes as a response to the mechanical an</w:t>
      </w:r>
      <w:r w:rsidR="008E630F">
        <w:rPr>
          <w:rFonts w:ascii="Times New Roman" w:eastAsia="Cambria" w:hAnsi="Times New Roman" w:cs="Times New Roman"/>
          <w:sz w:val="24"/>
          <w:szCs w:val="24"/>
          <w14:ligatures w14:val="none"/>
        </w:rPr>
        <w:t>d</w:t>
      </w:r>
      <w:r>
        <w:rPr>
          <w:rFonts w:ascii="Times New Roman" w:eastAsia="Cambria" w:hAnsi="Times New Roman" w:cs="Times New Roman"/>
          <w:sz w:val="24"/>
          <w:szCs w:val="24"/>
          <w14:ligatures w14:val="none"/>
        </w:rPr>
        <w:t xml:space="preserve"> electrical stimuli</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{"citationID":"XisKLozs","properties":{"formattedCitation":"\\super 4,11,14\\nosupersub{}","plainCitation":"4,11,14","noteIndex":0},"citationItems":[{"id":848,"uris":["http://zotero.org/users/8910128/items/BRFZNH4Y"],"itemData":{"id":848,"type":"article-journal","abstract":"Efficient processing of incoming sensory input is essential for an organism's survival. A growing body of evidence suggests that sensory systems have developed coding strategies that are constrained by the statistics of the natural environment. Consequently, it is necessary to first characterize neural responses to natural stimuli to uncover the coding strategies used by a given sensory system. Here we report for the first time the statistics of vestibular rotational and translational stimuli experienced by rhesus monkeys during natural (e.g., walking, grooming) behaviors. We find that these stimuli can reach intensities as high as 1500 deg/s and 8 G. Recordings from afferents during naturalistic rotational and linear motion further revealed strongly nonlinear responses in the form of rectification and saturation, which could not be accurately predicted by traditional linear models of vestibular processing. Accordingly, we used linear–nonlinear cascade models and found that these could accurately predict responses to naturalistic stimuli. Finally, we tested whether the statistics of natural vestibular signals constrain the neural coding strategies used by peripheral afferents. We found that both irregular otolith and semicircular canal afferents, because of their higher sensitivities, were more optimized for processing natural vestibular stimuli as compared with their regular counterparts. Our results therefore provide the first evidence supporting the hypothesis that the neural coding strategies used by the vestibular system are matched to the statistics of natural stimuli.","container-title":"Journal of Neuroscience","DOI":"10.1523/JNEUROSCI.3841-14.2015","ISSN":"0270-6474, 1529-2401","issue":"14","journalAbbreviation":"J. Neurosci.","language":"en","license":"Copyright © 2015 the authors 0270-6474/15/355522-15$15.00/0","note":"publisher: Society for Neuroscience\nsection: Articles\nPMID: 25855169","page":"5522-5536","source":"www-jneurosci-org.eu1.proxy.openathens.net","title":"The increased sensitivity of irregular peripheral canal and otolith vestibular afferents optimizes their encoding of natural stimuli","volume":"35","author":[{"family":"Schneider","given":"Adam D."},{"family":"Jamali","given":"Mohsen"},{"family":"Carriot","given":"Jerome"},{"family":"Chacron","given":"Maurice J."},{"family":"Cullen","given":"Kathleen E."}],"issued":{"date-parts":[["2015",4,8]]}}},{"id":314,"uris":["http://zotero.org/users/8910128/items/LK3MSA4Q"],"itemData":{"id":314,"type":"article-journal","container-title":"Nature Communications","DOI":"10.1038/s41467-019-09738-1","issue":"1","title":"Neural substrates, dynamics and thresholds of galvanic vestibular stimulation in the behaving primate","volume":"10","author":[{"family":"Kwan","given":"Annie"},{"family":"Forbes","given":"Patrick A"},{"family":"Mitchell","given":"Diana E"},{"family":"Blouin","given":"Jean-Sébastien"},{"family":"Cullen","given":"Kathleen E"}],"issued":{"date-parts":[["2019"]]}}},{"id":133,"uris":["http://zotero.org/users/8910128/items/EXI7J2QA"],"itemData":{"id":133,"type":"article-journal","abstract":"The vestibular end-organs encode for linear and angular head accelerations in space contributing to our internal representation of self-motion. Activation of the vestibular system with transmastoid electrical current has recently grown in popularity; however, a direct relationship between electrically evoked and mechanically evoked vestibular responses remains elusive in humans. We have developed and tested a mechanical-to-electrical vestibular stimulus conversion model incorporating physiological activation of primary vestibular afferents identified in nonhuman primates. We compared ocular torsional responses between mechanical (chair rotation) and model-derived electrical (binaural-bipolar) stimuli in separate experiments for an angular velocity step change (±10 deg/s over 1 s, ±4-mA peak amplitude; n = 10) and multisine angular velocities (±10 deg/s, 9.7 mA peak to peak, 0.05-1 Hz; n = 5), respectively. Perception of whole body rotation (n = 18) to our step-change stimuli was also evaluated. Ocular torsional slow-phase velocity responses between stimulation types were similar (paired two one-sided tests of equivalence: multiple P &lt; 0.002; one-sample t test: P = 0.178) and correlated (Pearson's coefficient: multiple P &lt; 0.001). Bootstrap analysis of perceived angular velocity likewise showed similarity in perceptual decay dynamics. These data suggest that central processing between stimuli was similar, and our vestibular stimulus conversion model with a conversion factor of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 xml:space="preserve">0.4 mA per deg/s for an angular velocity step change can generate electrical stimuli that replicates dynamic vestibular activation elicited by mechanical whole body rotations. This proposed vestibular conversion model represents an initial framework for using electrical stimuli to generate mechanically equivalent activation of primary vestibular afferents for use in biomedical applications and immersive reality technologies.NEW &amp; NOTEWORTHY With the growing popularity of electrical vestibular stimulation in biomedical and immersive reality applications, a direct conversion model between electrical and mechanical vestibular stimuli is needed. We developed a model to generate electrical stimuli mimicking the physiological activation of vestibular afferents evoked by mechanical rotations. Ocular and perceptual responses evoked by mechanical and model-derived electrical stimuli were similar, thus providing a critical first step toward generation of electrically induced vestibular responses that have a realistic mechanical equivalent.","container-title":"Journal of neurophysiology","DOI":"10.1152/jn.00276.2019","ISSN":"15221598","issue":"2","note":"publisher: NLM (Medline)","page":"548–559","title":"Development of a conversion model between mechanical and electrical vestibular stimuli","volume":"123","author":[{"family":"Chen","given":"A."},{"family":"Khosravi-Hashemi","given":"N."},{"family":"Kuo","given":"C."},{"family":"Kramer","given":"J. K."},{"family":"Blouin","given":"J. S."}],"issued":{"date-parts":[["2020",2]]}}}],"schema":"https://github.com/citation-style-language/schema/raw/master/csl-citation.json"}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4,11,14</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To account for anatomical differences between nonhuman primates (on which the transfer functions were determined) and humans, a gain of 1/</w:t>
      </w:r>
      <w:r>
        <w:t xml:space="preserve"> </w:t>
      </w:r>
      <w:r>
        <w:rPr>
          <w:rFonts w:ascii="Times New Roman" w:eastAsia="Cambria" w:hAnsi="Times New Roman" w:cs="Times New Roman"/>
          <w:sz w:val="24"/>
          <w:szCs w:val="24"/>
          <w14:ligatures w14:val="none"/>
        </w:rPr>
        <w:t>9.2248 was applied to the EVS afferent responses. Previously, a gain of 4.23 was used for afferent-to-EVS conversion (or 1/4.23 for EVS-to-afferent conversion), but it was increased to account for the equal activation of all canals and to obtain a conversion ratio of 0.37 mA/(deg/s)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{"citationID":"RDgIQmKM","properties":{"formattedCitation":"\\super 14,15\\nosupersub{}","plainCitation":"14,15","noteIndex":0},"citationItems":[{"id":133,"uris":["http://zotero.org/users/8910128/items/EXI7J2QA"],"itemData":{"id":133,"type":"article-journal","abstract":"The vestibular end-organs encode for linear and angular head accelerations in space contributing to our internal representation of self-motion. Activation of the vestibular system with transmastoid electrical current has recently grown in popularity; however, a direct relationship between electrically evoked and mechanically evoked vestibular responses remains elusive in humans. We have developed and tested a mechanical-to-electrical vestibular stimulus conversion model incorporating physiological activation of primary vestibular afferents identified in nonhuman primates. We compared ocular torsional responses between mechanical (chair rotation) and model-derived electrical (binaural-bipolar) stimuli in separate experiments for an angular velocity step change (±10 deg/s over 1 s, ±4-mA peak amplitude; n = 10) and multisine angular velocities (±10 deg/s, 9.7 mA peak to peak, 0.05-1 Hz; n = 5), respectively. Perception of whole body rotation (n = 18) to our step-change stimuli was also evaluated. Ocular torsional slow-phase velocity responses between stimulation types were similar (paired two one-sided tests of equivalence: multiple P &lt; 0.002; one-sample t test: P = 0.178) and correlated (Pearson's coefficient: multiple P &lt; 0.001). Bootstrap analysis of perceived angular velocity likewise showed similarity in perceptual decay dynamics. These data suggest that central processing between stimuli was similar, and our vestibular stimulus conversion model with a conversion factor of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 xml:space="preserve">0.4 mA per deg/s for an angular velocity step change can generate electrical stimuli that replicates dynamic vestibular activation elicited by mechanical whole body rotations. This proposed vestibular conversion model represents an initial framework for using electrical stimuli to generate mechanically equivalent activation of primary vestibular afferents for use in biomedical applications and immersive reality technologies.NEW &amp; NOTEWORTHY With the growing popularity of electrical vestibular stimulation in biomedical and immersive reality applications, a direct conversion model between electrical and mechanical vestibular stimuli is needed. We developed a model to generate electrical stimuli mimicking the physiological activation of vestibular afferents evoked by mechanical rotations. Ocular and perceptual responses evoked by mechanical and model-derived electrical stimuli were similar, thus providing a critical first step toward generation of electrically induced vestibular responses that have a realistic mechanical equivalent.","container-title":"Journal of neurophysiology","DOI":"10.1152/jn.00276.2019","ISSN":"15221598","issue":"2","note":"publisher: NLM (Medline)","page":"548–559","title":"Development of a conversion model between mechanical and electrical vestibular stimuli","volume":"123","author":[{"family":"Chen","given":"A."},{"family":"Khosravi-Hashemi","given":"N."},{"family":"Kuo","given":"C."},{"family":"Kramer","given":"J. K."},{"family":"Blouin","given":"J. S."}],"issued":{"date-parts":[["2020",2]]}}},{"id":1178,"uris":["http://zotero.org/users/8910128/items/B8V2P4LQ"],"itemData":{"id":1178,"type":"article-journal","abstract":"Background\nThe vestibular system encodes head motion in space which is naturally accompanied by other sensory cues. Electrical stimuli, applied across the mastoid processes, selectively activate primary vestibular afferents which has spurred clinical and biomedical applications of electrical vestibular stimulation (EVS). When properly matched to head motion, EVS may also manipulate the closed-loop relationship between actions and vestibular feedback to reveal the mechanisms of sensorimotor recalibration and learning.\nNew method\nWe designed a portable, low-cost real-time EVS system using an Arduino microcontroller programmed through Simulink that provides electrical currents based on head angular motion. We used well-characterized vestibular afferent physiological responses to head angular velocity and electrical current to compute head-motion equivalent of real-time modulatory EVS currents. We also examined if our system induced recalibration of the vestibular system during human balance control.\nResults\nOur system operated at 199.997 Hz ( ± 0.005 Hz) and delivered head-motion-equivalent electrical currents with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 xml:space="preserve">10 ms delay. The output driving the current stimulator matched the implemented linear model for physiological vestibular afferent dynamics with minimal background noise (&lt;0.2% of ± 10 V range). Participants recalibrated to the modulated closed-loop vestibular feedback using visual cues during standing balance, replicating earlier findings.\nComparison with existing methods\nEVS is typically used to impose external perturbations that are independent of one’s own movement. We provided a solution using open-source hardware to implement a real-time, physiology based, and task-relevant vestibular modulations using EVS.\nConclusions\nOur portable, low-cost vestibular modulation system will make physiological closed-loop vestibular manipulations more accessible thus encouraging novel investigations and biomedical applications of EVS.","container-title":"Journal of Neuroscience Methods","DOI":"10.1016/j.jneumeth.2022.109709","ISSN":"0165-0270","journalAbbreviation":"Journal of Neuroscience Methods","language":"en","page":"109709","source":"ScienceDirect","title":"A portable and low-cost solution for real-time manipulation of the vestibular sense","volume":"382","author":[{"family":"Chen","given":"Anthony"},{"family":"Kuo","given":"Calvin"},{"family":"Blouin","given":"Jean-Sébastien"}],"issued":{"date-parts":[["2022",12,1]]}}}],"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14,15</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The overall firing rate was calculated as the sum of the resting firing rate (canals = 104 Hz; otoliths = 79 Hz)</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{"citationID":"XnFTg0zT","properties":{"formattedCitation":"\\super 16,17\\nosupersub{}","plainCitation":"16,17","noteIndex":0},"citationItems":[{"id":867,"uris":["http://zotero.org/users/8910128/items/6MDMQKX4"],"itemData":{"id":867,"type":"article-journal","container-title":"Journal of Neuroscience","DOI":"10.1523/JNEUROSCI.4690-06.2007","ISSN":"0270-6474, 1529-2401","issue":"4","journalAbbreviation":"Journal of Neuroscience","language":"en","page":"771-781","source":"DOI.org (Crossref)","title":"Neural variability, detection thresholds, and information transmission in the vestibular system","volume":"27","author":[{"family":"Sadeghi","given":"S. G."},{"family":"Chacron","given":"M. J."},{"family":"Taylor","given":"M. C."},{"family":"Cullen","given":"K. E."}],"issued":{"date-parts":[["2007",1,24]]}}},{"id":1782,"uris":["http://zotero.org/users/8910128/items/KBV82RDI"],"itemData":{"id":1782,"type":"article-journal","container-title":"Journal of Neuroscience","DOI":"10.1523/JNEUROSCI.0459-13.2013","ISSN":"0270-6474, 1529-2401","issue":"27","journalAbbreviation":"Journal of Neuroscience","language":"en","page":"11302-11313","source":"DOI.org (Crossref)","title":"Strong correlations between sensitivity and variability give rise to constant discrimination thresholds across the otolith afferent population","volume":"33","author":[{"family":"Jamali","given":"M."},{"family":"Carriot","given":"J."},{"family":"Chacron","given":"M. J."},{"family":"Cullen","given":"K. E."}],"issued":{"date-parts":[["2013",7,3]]}}}],"schema":"https://github.com/citation-style-language/schema/raw/master/csl-citation.json"}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16,17</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xml:space="preserve">, the change in firing rate resulting from the head motion, and, </w:t>
      </w:r>
      <w:r>
        <w:rPr>
          <w:rFonts w:ascii="Times New Roman" w:eastAsia="Cambria" w:hAnsi="Times New Roman" w:cs="Times New Roman"/>
          <w:sz w:val="24"/>
          <w:szCs w:val="24"/>
          <w14:ligatures w14:val="none"/>
        </w:rPr>
        <w:lastRenderedPageBreak/>
        <w:t>when applicable, the change in firing rate from the applied EVS. The overall firing rate was determined for the regular and irregular afferents for all bilateral canals and otolith end-organs. To account for non-linearities in the afferent firing rates due to their inability to fire below 0 Hz or above 270 Hz, a sigmoid function was applied to the raw afferent firing rates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{"citationID":"OhCWWtOF","properties":{"formattedCitation":"\\super 4,18\\nosupersub{}","plainCitation":"4,18","noteIndex":0},"citationItems":[{"id":848,"uris":["http://zotero.org/users/8910128/items/BRFZNH4Y"],"itemData":{"id":848,"type":"article-journal","abstract":"Efficient processing of incoming sensory input is essential for an organism's survival. A growing body of evidence suggests that sensory systems have developed coding strategies that are constrained by the statistics of the natural environment. Consequently, it is necessary to first characterize neural responses to natural stimuli to uncover the coding strategies used by a given sensory system. Here we report for the first time the statistics of vestibular rotational and translational stimuli experienced by rhesus monkeys during natural (e.g., walking, grooming) behaviors. We find that these stimuli can reach intensities as high as 1500 deg/s and 8 G. Recordings from afferents during naturalistic rotational and linear motion further revealed strongly nonlinear responses in the form of rectification and saturation, which could not be accurately predicted by traditional linear models of vestibular processing. Accordingly, we used linear–nonlinear cascade models and found that these could accurately predict responses to naturalistic stimuli. Finally, we tested whether the statistics of natural vestibular signals constrain the neural coding strategies used by peripheral afferents. We found that both irregular otolith and semicircular canal afferents, because of their higher sensitivities, were more optimized for processing natural vestibular stimuli as compared with their regular counterparts. Our results therefore provide the first evidence supporting the hypothesis that the neural coding strategies used by the vestibular system are matched to the statistics of natural stimuli.","container-title":"Journal of Neuroscience","DOI":"10.1523/JNEUROSCI.3841-14.2015","ISSN":"0270-6474, 1529-2401","issue":"14","journalAbbreviation":"J. Neurosci.","language":"en","license":"Copyright © 2015 the authors 0270-6474/15/355522-15$15.00/0","note":"publisher: Society for Neuroscience\nsection: Articles\nPMID: 25855169","page":"5522-5536","source":"www-jneurosci-org.eu1.proxy.openathens.net","title":"The increased sensitivity of irregular peripheral canal and otolith vestibular afferents optimizes their encoding of natural stimuli","volume":"35","author":[{"family":"Schneider","given":"Adam D."},{"family":"Jamali","given":"Mohsen"},{"family":"Carriot","given":"Jerome"},{"family":"Chacron","given":"Maurice J."},{"family":"Cullen","given":"Kathleen E."}],"issued":{"date-parts":[["2015",4,8]]}}},{"id":417,"uris":["http://zotero.org/users/8910128/items/RXZWZ6EI"],"itemData":{"id":417,"type":"article-journal","abstract":"Abstract\n            The vestibular system detects head motion to coordinate vital reflexes and provide our sense of balance and spatial orientation. A long-standing hypothesis has been that projections from the central vestibular system back to the vestibular sensory organs (i.e., the efferent vestibular system) mediate adaptive sensory coding during voluntary locomotion. However, direct proof for this idea has been lacking. Here we recorded from individual semicircular canal and otolith afferents during walking and running in monkeys. Using a combination of mathematical modeling and nonlinear analysis, we show that afferent encoding is actually identical across passive and active conditions, irrespective of context. Thus, taken together our results are instead consistent with the view that the vestibular periphery relays robust information to the brain during primate locomotion, suggesting that context-dependent modulation instead occurs centrally to ensure that coding is consistent with behavioral goals during locomotion.","container-title":"Nature Communications","DOI":"10.1038/s41467-021-27753-z","ISSN":"2041-1723","issue":"1","journalAbbreviation":"Nat Commun","language":"en","page":"120","source":"DOI.org (Crossref)","title":"Context-independent encoding of passive and active self-motion in vestibular afferent fibers during locomotion in primates","volume":"13","author":[{"family":"Mackrous","given":"Isabelle"},{"family":"Carriot","given":"Jérome"},{"family":"Cullen","given":"Kathleen E."}],"issued":{"date-parts":[["2022",12]]}}}],"schema":"https://github.com/citation-style-language/schema/raw/master/csl-citation.json"}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4,18</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Central vestibular neurons also exhibit non-linearities between their afferent input and output firing rates which can be estimated using a piecewise linear function</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{"citationID":"tHBUorKa","properties":{"formattedCitation":"\\super 5\\nosupersub{}","plainCitation":"5","noteIndex":0},"citationItems":[{"id":2115,"uris":["http://zotero.org/users/8910128/items/TPDTBCUS"],"itemData":{"id":2115,"type":"article-journal","abstract":"Early vestibular processing in macaque monkeys is inherently nonlinear and is optimized to detect specific features of self-motion.","container-title":"PLOS Biology","DOI":"10.1371/journal.pbio.1001365","ISSN":"1545-7885","issue":"7","journalAbbreviation":"PLOS Biology","language":"en","note":"publisher: Public Library of Science","page":"e1001365","source":"PLoS Journals","title":"The Vestibular System Implements a Linear–Nonlinear Transformation In Order to Encode Self-Motion","volume":"10","author":[{"family":"Massot","given":"Corentin"},{"family":"Schneider","given":"Adam D."},{"family":"Chacron","given":"Maurice J."},{"family":"Cullen","given":"Kathleen E."}],"issued":{"date-parts":[["2012",7,24]]}}}],"schema":"https://github.com/citation-style-language/schema/raw/master/csl-citation.json"}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5</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xml:space="preserve">. We applied this bi-linear function to estimate the central encoding of vestibular stimuli. </w:t>
      </w:r>
    </w:p>
    <w:p w14:paraId="4D19BCF3" w14:textId="3012634A" w:rsidR="009030FD" w:rsidRDefault="00000000" w:rsidP="003849F5">
      <w:pPr>
        <w:spacing w:after="0" w:line="480" w:lineRule="auto"/>
        <w:ind w:firstLine="720"/>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t xml:space="preserve">Both canal (Figure S8) and otolith (Figure S9) afferent responses mainly occurred in the linear response regions (~50-200 Hz) of the sigmoid functions (less than </w:t>
      </w:r>
      <w:r w:rsidR="003025A5">
        <w:rPr>
          <w:rFonts w:ascii="Times New Roman" w:eastAsia="Cambria" w:hAnsi="Times New Roman" w:cs="Times New Roman"/>
          <w:sz w:val="24"/>
          <w:szCs w:val="24"/>
          <w14:ligatures w14:val="none"/>
        </w:rPr>
        <w:t>2</w:t>
      </w:r>
      <w:r>
        <w:rPr>
          <w:rFonts w:ascii="Times New Roman" w:eastAsia="Cambria" w:hAnsi="Times New Roman" w:cs="Times New Roman"/>
          <w:sz w:val="24"/>
          <w:szCs w:val="24"/>
          <w14:ligatures w14:val="none"/>
        </w:rPr>
        <w:t>% of responses occurred outside this range, across all conditions), indicating that there was minimal saturation of the vestibular afferents across all step cadences. The irregular otolith afferents displayed the largest variation in afferent responses (i.e., only irregular afferent responses reached &lt; 50 Hz) with some occurring in the non-linear response regions; however, this occurred at both the slow and fast step cadence conditions. These observations suggest it was unlikely that non-linear processing in the vestibular pathways would explain the attenuation of the vestibular-evoked balance responses at faster step cadences.</w:t>
      </w:r>
    </w:p>
    <w:p w14:paraId="7090FEF3" w14:textId="6841CD04"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tab/>
        <w:t xml:space="preserve">To confirm that the non-linear processes in vestibular pathways did not affect the linear estimates of the calculated vestibular-evoked balance responses, we computed the stationary coherence between the central vestibular estimate of the EVS signal (that included non-linear processes) and the body kinematics (for the back, right ankle and left ankle as previously described) and the stationary coherence between the true EVS signal and the body kinematics. While we previously used time-dependent coherence in our analyses, we chose to use a stationary coherence analysis here because coherence at specific time intervals was less relevant, </w:t>
      </w:r>
      <w:r>
        <w:rPr>
          <w:rFonts w:ascii="Times New Roman" w:eastAsia="Cambria" w:hAnsi="Times New Roman" w:cs="Times New Roman"/>
          <w:sz w:val="24"/>
          <w:szCs w:val="24"/>
          <w14:ligatures w14:val="none"/>
        </w:rPr>
        <w:lastRenderedPageBreak/>
        <w:t>and stationary coherence provides an overall summary of the relationship between two signals. To determine the central vestibular estimate of the EVS signal, we first estimated the central encoding (following the non-linear corrections) of the bilateral semicircular canals from 1) the combination of kinematic and EVS inputs and 2) only the kinematic inputs (i.e., only the head motion). To determine the “EVS-only” encoding (accounting for possible saturation due to non-linearities), we then took the difference between these two firing rates. We chose to only use the canals to estimate the central encoding given that the otolith responses to EVS are predicted to almost completely cancel out due to the opposite directions of the response axes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{"citationID":"l02nZ0tM","properties":{"formattedCitation":"\\super 10,13,19\\nosupersub{}","plainCitation":"10,13,19","noteIndex":0},"citationItems":[{"id":2138,"uris":["http://zotero.org/users/8910128/items/L2ZM56CE"],"itemData":{"id":2138,"type":"article-journal","abstract":"A morphometric analysis of 43 human maculae utriculi is presented. Individual data on the shape, total area and relative area of the pars interna are given. In addition, the sensitivity of the entire macula to shear stimuli in different directions was estimated. The mean area of 39 maculae from adults and children was 4.30 +/- 0.30 (SD) mm(2). The pars interna was slightly but significantly smaller than the pars externa. The interindividual variability was larger for the shape of the macula than for the total area and the percentage of the pars interna. The estimated responsiveness of the macula was largest for shear directed anteromedially and smallest for shear directed posteriorly. The data are discussed taking into consideration clinical findings on patients with unilateral loss of otolith function.","container-title":"Audiology &amp; Neuro-Otology","DOI":"10.1159/000046815","ISSN":"1420-3030","issue":"2","journalAbbreviation":"Audiol Neurootol","language":"eng","note":"PMID: 11385183","page":"98-107","source":"PubMed","title":"Directional sensitivity of the human macula utriculi based on morphological characteristics","volume":"6","author":[{"family":"Tribukait","given":"A."},{"family":"Rosenhall","given":"U."}],"issued":{"date-parts":[["2001"]]}}},{"id":318,"uris":["http://zotero.org/users/8910128/items/3URCCTSX"],"itemData":{"id":318,"type":"article-journal","abstract":"Galvanic vestibular stimulation (GVS) is a simple, safe, and specific way to elicit vestibular reflexes. Yet, despite a long history, it has only recently found popularity as a research tool and is rarely used clinically. The obstacle to advancing and exploiting GVS is that we cannot interpret the evoked responses with certainty because we do not understand how the stimulus acts as an input to the system. This paper examines the electrophysiology and anatomy of the vestibular organs and the effects of GVS on human balance control and develops a model that explains the observed balance responses. These responses are large and highly organized over all body segments and adapt to postural and balance requirements. To achieve this, neurons in the vestibular nuclei receive convergent signals from all vestibular receptors and somatosensory and cortical inputs. GVS sway responses are affected by other sources of information about balance but can appear as the sum of otolithic and semicircular canal responses. Electrophysiological studies showing similar activation of primary afferents from the otolith organs and canals and their convergence in the vestibular nuclei support this. On the basis of the morphology of the cristae and the alignment of the semicircular canals in the skull, rotational vectors calculated for every mode of GVS agree with the observed sway. However, vector summation of signals from all utricular afferents does not explain the observed sway. Thus we propose the hypothesis that the otolithic component of the balance response originates from only the pars medialis of the utricular macula.","container-title":"Journal of Applied Physiology","DOI":"10.1152/japplphysiol.00008.2004","ISSN":"87507587","issue":"6","page":"2301–2316","title":"Probing the human vestibular system with galvanic stimulation","volume":"96","author":[{"family":"Fitzpatrick","given":"Richard C."},{"family":"Day","given":"Brian L."}],"issued":{"date-parts":[["2004"]]}}},{"id":1463,"uris":["http://zotero.org/users/8910128/items/XFBZ625B"],"itemData":{"id":1463,"type":"article-journal","abstract":"Noninvasive electrical stimulation of the vestibular system in humans has become an increasingly popular tool with a broad range of research and clinical applications. However, common assumptions regarding the neural mechanisms that underlie the activation of central vestibular pathways through such stimulation, known as galvanic vestibular stimulation (GVS), have not been directly tested. Here, we show that GVS is encoded by VIIIth nerve vestibular afferents with nonlinear dynamics that differ markedly from those predicted by current models. GVS produced asymmetric activation of both semicircular canal and otolith afferents to the onset versus offset and cathode versus anode of applied current, that in turn produced asymmetric eye movement responses in three awake-behaving male monkeys. Additionally, using computational methods, we demonstrate that the experimentally observed nonlinear neural response dynamics lead to an unexpected directional bias in the net population response when the information from both vestibular nerves is centrally integrated. Together our findings reveal the neural basis by which GVS activates the vestibular system, establish that neural response dynamics differ markedly from current predictions, and advance our mechanistic understanding of how asymmetric activation of the peripheral vestibular system alters vestibular function. We suggest that such nonlinear encoding is a general feature of neural processing that will be common across different noninvasive electrical stimulation approaches.\n            \n              SIGNIFICANCE STATEMENT\n              Here, we show that the application of noninvasive electrical currents to the vestibular system (GVS) induces more complex responses than commonly assumed. We recorded vestibular afferent activity in macaque monkeys exposed to GVS using a setup analogous to human studies. GVS evoked notable asymmetries in irregular afferent responses to cathodal versus anodal currents. We developed a nonlinear model explaining these GVS-evoked afferent responses. Our model predicts that GVS induces directional biases in centrally integrated head motion signals and establishes electrical stimuli that recreate physiologically plausible sensations of motion. Altogether, our findings provide new insights into how GVS activates the vestibular system, which will be vital to advancing new clinical and biomedical applications.","container-title":"The Journal of Neuroscience","DOI":"10.1523/JNEUROSCI.0987-22.2023","ISSN":"0270-6474, 1529-2401","issue":"11","journalAbbreviation":"J. Neurosci.","language":"en","page":"1905-1919","source":"DOI.org (Crossref)","title":"The neural basis for biased behavioral responses evoked by galvanic vestibular stimulation in primates","volume":"43","author":[{"family":"Forbes","given":"Patrick A."},{"family":"Kwan","given":"Annie"},{"family":"Mitchell","given":"Diana E."},{"family":"Blouin","given":"Jean-Sébastien"},{"family":"Cullen","given":"Kathleen E."}],"issued":{"date-parts":[["2023",3,15]]}}}],"schema":"https://github.com/citation-style-language/schema/raw/master/csl-citation.json"}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10,13,19</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Then, the weighted firing rate from each canal was estimated by combining the regular and irregular responses, with an estimated distribution of 3:1 regular-to-irregular afferents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{"citationID":"uVTCw7OL","properties":{"formattedCitation":"\\super 14,15\\nosupersub{}","plainCitation":"14,15","noteIndex":0},"citationItems":[{"id":133,"uris":["http://zotero.org/users/8910128/items/EXI7J2QA"],"itemData":{"id":133,"type":"article-journal","abstract":"The vestibular end-organs encode for linear and angular head accelerations in space contributing to our internal representation of self-motion. Activation of the vestibular system with transmastoid electrical current has recently grown in popularity; however, a direct relationship between electrically evoked and mechanically evoked vestibular responses remains elusive in humans. We have developed and tested a mechanical-to-electrical vestibular stimulus conversion model incorporating physiological activation of primary vestibular afferents identified in nonhuman primates. We compared ocular torsional responses between mechanical (chair rotation) and model-derived electrical (binaural-bipolar) stimuli in separate experiments for an angular velocity step change (±10 deg/s over 1 s, ±4-mA peak amplitude; n = 10) and multisine angular velocities (±10 deg/s, 9.7 mA peak to peak, 0.05-1 Hz; n = 5), respectively. Perception of whole body rotation (n = 18) to our step-change stimuli was also evaluated. Ocular torsional slow-phase velocity responses between stimulation types were similar (paired two one-sided tests of equivalence: multiple P &lt; 0.002; one-sample t test: P = 0.178) and correlated (Pearson's coefficient: multiple P &lt; 0.001). Bootstrap analysis of perceived angular velocity likewise showed similarity in perceptual decay dynamics. These data suggest that central processing between stimuli was similar, and our vestibular stimulus conversion model with a conversion factor of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 xml:space="preserve">0.4 mA per deg/s for an angular velocity step change can generate electrical stimuli that replicates dynamic vestibular activation elicited by mechanical whole body rotations. This proposed vestibular conversion model represents an initial framework for using electrical stimuli to generate mechanically equivalent activation of primary vestibular afferents for use in biomedical applications and immersive reality technologies.NEW &amp; NOTEWORTHY With the growing popularity of electrical vestibular stimulation in biomedical and immersive reality applications, a direct conversion model between electrical and mechanical vestibular stimuli is needed. We developed a model to generate electrical stimuli mimicking the physiological activation of vestibular afferents evoked by mechanical rotations. Ocular and perceptual responses evoked by mechanical and model-derived electrical stimuli were similar, thus providing a critical first step toward generation of electrically induced vestibular responses that have a realistic mechanical equivalent.","container-title":"Journal of neurophysiology","DOI":"10.1152/jn.00276.2019","ISSN":"15221598","issue":"2","note":"publisher: NLM (Medline)","page":"548–559","title":"Development of a conversion model between mechanical and electrical vestibular stimuli","volume":"123","author":[{"family":"Chen","given":"A."},{"family":"Khosravi-Hashemi","given":"N."},{"family":"Kuo","given":"C."},{"family":"Kramer","given":"J. K."},{"family":"Blouin","given":"J. S."}],"issued":{"date-parts":[["2020",2]]}}},{"id":1178,"uris":["http://zotero.org/users/8910128/items/B8V2P4LQ"],"itemData":{"id":1178,"type":"article-journal","abstract":"Background\nThe vestibular system encodes head motion in space which is naturally accompanied by other sensory cues. Electrical stimuli, applied across the mastoid processes, selectively activate primary vestibular afferents which has spurred clinical and biomedical applications of electrical vestibular stimulation (EVS). When properly matched to head motion, EVS may also manipulate the closed-loop relationship between actions and vestibular feedback to reveal the mechanisms of sensorimotor recalibration and learning.\nNew method\nWe designed a portable, low-cost real-time EVS system using an Arduino microcontroller programmed through Simulink that provides electrical currents based on head angular motion. We used well-characterized vestibular afferent physiological responses to head angular velocity and electrical current to compute head-motion equivalent of real-time modulatory EVS currents. We also examined if our system induced recalibration of the vestibular system during human balance control.\nResults\nOur system operated at 199.997 Hz ( ± 0.005 Hz) and delivered head-motion-equivalent electrical currents with </w:instrText>
      </w:r>
      <w:r>
        <w:rPr>
          <w:rFonts w:ascii="Cambria Math" w:eastAsia="Cambria" w:hAnsi="Cambria Math" w:cs="Cambria Math"/>
          <w:sz w:val="24"/>
          <w:szCs w:val="24"/>
          <w14:ligatures w14:val="none"/>
        </w:rPr>
        <w:instrText>∼</w:instrText>
      </w:r>
      <w:r>
        <w:rPr>
          <w:rFonts w:ascii="Times New Roman" w:eastAsia="Cambria" w:hAnsi="Times New Roman" w:cs="Times New Roman"/>
          <w:sz w:val="24"/>
          <w:szCs w:val="24"/>
          <w14:ligatures w14:val="none"/>
        </w:rPr>
        <w:instrText xml:space="preserve">10 ms delay. The output driving the current stimulator matched the implemented linear model for physiological vestibular afferent dynamics with minimal background noise (&lt;0.2% of ± 10 V range). Participants recalibrated to the modulated closed-loop vestibular feedback using visual cues during standing balance, replicating earlier findings.\nComparison with existing methods\nEVS is typically used to impose external perturbations that are independent of one’s own movement. We provided a solution using open-source hardware to implement a real-time, physiology based, and task-relevant vestibular modulations using EVS.\nConclusions\nOur portable, low-cost vestibular modulation system will make physiological closed-loop vestibular manipulations more accessible thus encouraging novel investigations and biomedical applications of EVS.","container-title":"Journal of Neuroscience Methods","DOI":"10.1016/j.jneumeth.2022.109709","ISSN":"0165-0270","journalAbbreviation":"Journal of Neuroscience Methods","language":"en","page":"109709","source":"ScienceDirect","title":"A portable and low-cost solution for real-time manipulation of the vestibular sense","volume":"382","author":[{"family":"Chen","given":"Anthony"},{"family":"Kuo","given":"Calvin"},{"family":"Blouin","given":"Jean-Sébastien"}],"issued":{"date-parts":[["2022",12,1]]}}}],"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14,15</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The firing rates from each canal were then projected back to the head reference frame (based on the sensing axes) to determine the XYZ components, sum of which was then taken across all canals on each side. The vector norms were calculated for the right and left sides, and the net firing rate was calculated as the average between the sides</w:t>
      </w:r>
      <w:r>
        <w:rPr>
          <w:rFonts w:ascii="Times New Roman" w:eastAsia="Cambria" w:hAnsi="Times New Roman" w:cs="Times New Roman"/>
          <w:sz w:val="24"/>
          <w:szCs w:val="24"/>
          <w14:ligatures w14:val="none"/>
        </w:rPr>
        <w:fldChar w:fldCharType="begin"/>
      </w:r>
      <w:r>
        <w:rPr>
          <w:rFonts w:ascii="Times New Roman" w:eastAsia="Cambria" w:hAnsi="Times New Roman" w:cs="Times New Roman"/>
          <w:sz w:val="24"/>
          <w:szCs w:val="24"/>
          <w14:ligatures w14:val="none"/>
        </w:rPr>
        <w:instrText xml:space="preserve"> ADDIN ZOTERO_ITEM CSL_CITATION {"citationID":"oYvZhhv9","properties":{"formattedCitation":"\\super 19\\nosupersub{}","plainCitation":"19","noteIndex":0},"citationItems":[{"id":1463,"uris":["http://zotero.org/users/8910128/items/XFBZ625B"],"itemData":{"id":1463,"type":"article-journal","abstract":"Noninvasive electrical stimulation of the vestibular system in humans has become an increasingly popular tool with a broad range of research and clinical applications. However, common assumptions regarding the neural mechanisms that underlie the activation of central vestibular pathways through such stimulation, known as galvanic vestibular stimulation (GVS), have not been directly tested. Here, we show that GVS is encoded by VIIIth nerve vestibular afferents with nonlinear dynamics that differ markedly from those predicted by current models. GVS produced asymmetric activation of both semicircular canal and otolith afferents to the onset versus offset and cathode versus anode of applied current, that in turn produced asymmetric eye movement responses in three awake-behaving male monkeys. Additionally, using computational methods, we demonstrate that the experimentally observed nonlinear neural response dynamics lead to an unexpected directional bias in the net population response when the information from both vestibular nerves is centrally integrated. Together our findings reveal the neural basis by which GVS activates the vestibular system, establish that neural response dynamics differ markedly from current predictions, and advance our mechanistic understanding of how asymmetric activation of the peripheral vestibular system alters vestibular function. We suggest that such nonlinear encoding is a general feature of neural processing that will be common across different noninvasive electrical stimulation approaches.\n            \n              SIGNIFICANCE STATEMENT\n              Here, we show that the application of noninvasive electrical currents to the vestibular system (GVS) induces more complex responses than commonly assumed. We recorded vestibular afferent activity in macaque monkeys exposed to GVS using a setup analogous to human studies. GVS evoked notable asymmetries in irregular afferent responses to cathodal versus anodal currents. We developed a nonlinear model explaining these GVS-evoked afferent responses. Our model predicts that GVS induces directional biases in centrally integrated head motion signals and establishes electrical stimuli that recreate physiologically plausible sensations of motion. Altogether, our findings provide new insights into how GVS activates the vestibular system, which will be vital to advancing new clinical and biomedical applications.","container-title":"The Journal of Neuroscience","DOI":"10.1523/JNEUROSCI.0987-22.2023","ISSN":"0270-6474, 1529-2401","issue":"11","journalAbbreviation":"J. Neurosci.","language":"en","page":"1905-1919","source":"DOI.org (Crossref)","title":"The neural basis for biased behavioral responses evoked by galvanic vestibular stimulation in primates","volume":"43","author":[{"family":"Forbes","given":"Patrick A."},{"family":"Kwan","given":"Annie"},{"family":"Mitchell","given":"Diana E."},{"family":"Blouin","given":"Jean-Sébastien"},{"family":"Cullen","given":"Kathleen E."}],"issued":{"date-parts":[["2023",3,15]]}}}],"schema":"https://github.com/citation-style-language/schema/raw/master/csl-citation.json"} </w:instrText>
      </w:r>
      <w:r>
        <w:rPr>
          <w:rFonts w:ascii="Times New Roman" w:eastAsia="Cambria" w:hAnsi="Times New Roman" w:cs="Times New Roman"/>
          <w:sz w:val="24"/>
          <w:szCs w:val="24"/>
          <w14:ligatures w14:val="none"/>
        </w:rPr>
        <w:fldChar w:fldCharType="separate"/>
      </w:r>
      <w:r>
        <w:rPr>
          <w:rFonts w:ascii="Times New Roman" w:hAnsi="Times New Roman" w:cs="Times New Roman"/>
          <w:sz w:val="24"/>
          <w:vertAlign w:val="superscript"/>
        </w:rPr>
        <w:t>19</w:t>
      </w:r>
      <w:r>
        <w:rPr>
          <w:rFonts w:ascii="Times New Roman" w:eastAsia="Cambria" w:hAnsi="Times New Roman" w:cs="Times New Roman"/>
          <w:sz w:val="24"/>
          <w:szCs w:val="24"/>
          <w14:ligatures w14:val="none"/>
        </w:rPr>
        <w:fldChar w:fldCharType="end"/>
      </w:r>
      <w:r>
        <w:rPr>
          <w:rFonts w:ascii="Times New Roman" w:eastAsia="Cambria" w:hAnsi="Times New Roman" w:cs="Times New Roman"/>
          <w:sz w:val="24"/>
          <w:szCs w:val="24"/>
          <w14:ligatures w14:val="none"/>
        </w:rPr>
        <w:t xml:space="preserve">. Thus, this net firing rate was the estimated central encoding of only the EVS during the trials (while accounting for the non-linear processing in the vestibular pathways). We would expect to observe a difference between the two coherence measures if these non-linearities influenced the calculation of the coherence. However, there were no differences between the stationary coherences calculated (Figure S10). These analyses suggest that non-linear processing in the vestibular pathways did not result in the decrease in vestibular-evoked responses associated with larger locomotor cadences.     </w:t>
      </w:r>
    </w:p>
    <w:p w14:paraId="25584E64" w14:textId="77777777" w:rsidR="009030FD" w:rsidRDefault="00000000">
      <w:pPr>
        <w:rPr>
          <w:rFonts w:ascii="Times New Roman" w:eastAsia="Cambria" w:hAnsi="Times New Roman" w:cs="Times New Roman"/>
          <w:sz w:val="24"/>
          <w:szCs w:val="24"/>
          <w14:ligatures w14:val="none"/>
        </w:rPr>
      </w:pPr>
      <w:r>
        <w:rPr>
          <w:rFonts w:ascii="Times New Roman" w:eastAsia="Cambria" w:hAnsi="Times New Roman" w:cs="Times New Roman"/>
          <w:sz w:val="24"/>
          <w:szCs w:val="24"/>
          <w14:ligatures w14:val="none"/>
        </w:rPr>
        <w:br w:type="page" w:clear="all"/>
      </w:r>
    </w:p>
    <w:p w14:paraId="47C408F3" w14:textId="77777777" w:rsidR="009030FD" w:rsidRDefault="009030FD">
      <w:pPr>
        <w:spacing w:after="0" w:line="480" w:lineRule="auto"/>
        <w:rPr>
          <w:rFonts w:ascii="Times New Roman" w:eastAsia="Cambria" w:hAnsi="Times New Roman" w:cs="Times New Roman"/>
          <w:sz w:val="24"/>
          <w:szCs w:val="24"/>
          <w14:ligatures w14:val="none"/>
        </w:rPr>
      </w:pPr>
    </w:p>
    <w:tbl>
      <w:tblPr>
        <w:tblStyle w:val="PlainTable51"/>
        <w:tblW w:w="4619" w:type="pct"/>
        <w:tblLayout w:type="fixed"/>
        <w:tblLook w:val="04A0" w:firstRow="1" w:lastRow="0" w:firstColumn="1" w:lastColumn="0" w:noHBand="0" w:noVBand="1"/>
      </w:tblPr>
      <w:tblGrid>
        <w:gridCol w:w="1310"/>
        <w:gridCol w:w="631"/>
        <w:gridCol w:w="1117"/>
        <w:gridCol w:w="1117"/>
        <w:gridCol w:w="1117"/>
        <w:gridCol w:w="1117"/>
        <w:gridCol w:w="1117"/>
        <w:gridCol w:w="1121"/>
      </w:tblGrid>
      <w:tr w:rsidR="009030FD" w14:paraId="5CD97123" w14:textId="77777777" w:rsidTr="009030FD">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122" w:type="pct"/>
            <w:gridSpan w:val="2"/>
            <w:vMerge w:val="restart"/>
            <w:tcBorders>
              <w:bottom w:val="none" w:sz="0" w:space="0" w:color="auto"/>
            </w:tcBorders>
          </w:tcPr>
          <w:p w14:paraId="46983C13" w14:textId="77777777" w:rsidR="009030FD" w:rsidRDefault="009030FD">
            <w:pPr>
              <w:jc w:val="center"/>
              <w:rPr>
                <w:rFonts w:ascii="Times New Roman" w:hAnsi="Times New Roman"/>
                <w:sz w:val="24"/>
                <w:szCs w:val="24"/>
              </w:rPr>
            </w:pPr>
          </w:p>
        </w:tc>
        <w:tc>
          <w:tcPr>
            <w:tcW w:w="3878" w:type="pct"/>
            <w:gridSpan w:val="6"/>
            <w:tcBorders>
              <w:bottom w:val="none" w:sz="0" w:space="0" w:color="auto"/>
            </w:tcBorders>
          </w:tcPr>
          <w:p w14:paraId="59459106" w14:textId="77777777" w:rsidR="009030FD"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 Natural Cadence</w:t>
            </w:r>
          </w:p>
        </w:tc>
      </w:tr>
      <w:tr w:rsidR="009030FD" w14:paraId="72C03548" w14:textId="77777777" w:rsidTr="009030F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2" w:type="pct"/>
            <w:gridSpan w:val="2"/>
            <w:vMerge/>
          </w:tcPr>
          <w:p w14:paraId="1CD64361" w14:textId="77777777" w:rsidR="009030FD" w:rsidRDefault="009030FD">
            <w:pPr>
              <w:jc w:val="center"/>
              <w:rPr>
                <w:rFonts w:ascii="Times New Roman" w:hAnsi="Times New Roman"/>
                <w:sz w:val="24"/>
                <w:szCs w:val="24"/>
              </w:rPr>
            </w:pPr>
          </w:p>
        </w:tc>
        <w:tc>
          <w:tcPr>
            <w:tcW w:w="646" w:type="pct"/>
            <w:tcBorders>
              <w:left w:val="none" w:sz="4" w:space="0" w:color="000000"/>
              <w:bottom w:val="single" w:sz="4" w:space="0" w:color="auto"/>
            </w:tcBorders>
            <w:shd w:val="clear" w:color="auto" w:fill="auto"/>
            <w:vAlign w:val="center"/>
          </w:tcPr>
          <w:p w14:paraId="62E396C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40%</w:t>
            </w:r>
          </w:p>
        </w:tc>
        <w:tc>
          <w:tcPr>
            <w:tcW w:w="646" w:type="pct"/>
            <w:tcBorders>
              <w:bottom w:val="single" w:sz="4" w:space="0" w:color="auto"/>
            </w:tcBorders>
            <w:shd w:val="clear" w:color="auto" w:fill="auto"/>
            <w:vAlign w:val="center"/>
          </w:tcPr>
          <w:p w14:paraId="501C7FD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60%</w:t>
            </w:r>
          </w:p>
        </w:tc>
        <w:tc>
          <w:tcPr>
            <w:tcW w:w="646" w:type="pct"/>
            <w:tcBorders>
              <w:bottom w:val="single" w:sz="4" w:space="0" w:color="auto"/>
            </w:tcBorders>
            <w:shd w:val="clear" w:color="auto" w:fill="auto"/>
            <w:vAlign w:val="center"/>
          </w:tcPr>
          <w:p w14:paraId="70619812"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80%</w:t>
            </w:r>
          </w:p>
        </w:tc>
        <w:tc>
          <w:tcPr>
            <w:tcW w:w="646" w:type="pct"/>
            <w:tcBorders>
              <w:bottom w:val="single" w:sz="4" w:space="0" w:color="auto"/>
            </w:tcBorders>
            <w:shd w:val="clear" w:color="auto" w:fill="auto"/>
            <w:vAlign w:val="center"/>
          </w:tcPr>
          <w:p w14:paraId="6B13EE7C"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100%</w:t>
            </w:r>
          </w:p>
        </w:tc>
        <w:tc>
          <w:tcPr>
            <w:tcW w:w="646" w:type="pct"/>
            <w:tcBorders>
              <w:bottom w:val="single" w:sz="4" w:space="0" w:color="auto"/>
            </w:tcBorders>
            <w:shd w:val="clear" w:color="auto" w:fill="auto"/>
            <w:vAlign w:val="center"/>
          </w:tcPr>
          <w:p w14:paraId="76B1064D"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120%</w:t>
            </w:r>
          </w:p>
        </w:tc>
        <w:tc>
          <w:tcPr>
            <w:tcW w:w="646" w:type="pct"/>
            <w:tcBorders>
              <w:bottom w:val="single" w:sz="4" w:space="0" w:color="auto"/>
            </w:tcBorders>
            <w:shd w:val="clear" w:color="auto" w:fill="auto"/>
            <w:vAlign w:val="center"/>
          </w:tcPr>
          <w:p w14:paraId="004BB08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Pr>
                <w:rFonts w:ascii="Times New Roman" w:hAnsi="Times New Roman"/>
                <w:b/>
                <w:bCs/>
                <w:sz w:val="24"/>
                <w:szCs w:val="24"/>
              </w:rPr>
              <w:t>140%</w:t>
            </w:r>
          </w:p>
        </w:tc>
      </w:tr>
      <w:tr w:rsidR="009030FD" w14:paraId="20AAFD45"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52C9103B" w14:textId="77777777" w:rsidR="009030FD" w:rsidRDefault="00000000">
            <w:pPr>
              <w:jc w:val="center"/>
              <w:rPr>
                <w:rFonts w:ascii="Times New Roman" w:hAnsi="Times New Roman"/>
                <w:b/>
                <w:bCs/>
                <w:sz w:val="24"/>
                <w:szCs w:val="24"/>
              </w:rPr>
            </w:pPr>
            <w:r>
              <w:rPr>
                <w:rFonts w:ascii="Times New Roman" w:hAnsi="Times New Roman"/>
                <w:b/>
                <w:bCs/>
                <w:sz w:val="24"/>
                <w:szCs w:val="24"/>
              </w:rPr>
              <w:t>Step Cadence (steps/min)</w:t>
            </w:r>
          </w:p>
        </w:tc>
        <w:tc>
          <w:tcPr>
            <w:tcW w:w="364" w:type="pct"/>
            <w:tcBorders>
              <w:right w:val="single" w:sz="4" w:space="0" w:color="auto"/>
            </w:tcBorders>
          </w:tcPr>
          <w:p w14:paraId="06808014"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top w:val="single" w:sz="4" w:space="0" w:color="auto"/>
              <w:left w:val="single" w:sz="4" w:space="0" w:color="auto"/>
            </w:tcBorders>
            <w:vAlign w:val="center"/>
          </w:tcPr>
          <w:p w14:paraId="0ABE2E2D"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43.2 (3.6)</w:t>
            </w:r>
          </w:p>
        </w:tc>
        <w:tc>
          <w:tcPr>
            <w:tcW w:w="646" w:type="pct"/>
            <w:tcBorders>
              <w:top w:val="single" w:sz="4" w:space="0" w:color="auto"/>
            </w:tcBorders>
            <w:vAlign w:val="center"/>
          </w:tcPr>
          <w:p w14:paraId="3CFE1C96"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64.8 (5.6)</w:t>
            </w:r>
          </w:p>
        </w:tc>
        <w:tc>
          <w:tcPr>
            <w:tcW w:w="646" w:type="pct"/>
            <w:tcBorders>
              <w:top w:val="single" w:sz="4" w:space="0" w:color="auto"/>
            </w:tcBorders>
            <w:vAlign w:val="center"/>
          </w:tcPr>
          <w:p w14:paraId="7B9B6EB8"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85.9 (7.3)</w:t>
            </w:r>
          </w:p>
        </w:tc>
        <w:tc>
          <w:tcPr>
            <w:tcW w:w="646" w:type="pct"/>
            <w:tcBorders>
              <w:top w:val="single" w:sz="4" w:space="0" w:color="auto"/>
            </w:tcBorders>
            <w:vAlign w:val="center"/>
          </w:tcPr>
          <w:p w14:paraId="14F38CF2"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107.9 (8.8)</w:t>
            </w:r>
          </w:p>
        </w:tc>
        <w:tc>
          <w:tcPr>
            <w:tcW w:w="646" w:type="pct"/>
            <w:tcBorders>
              <w:top w:val="single" w:sz="4" w:space="0" w:color="auto"/>
            </w:tcBorders>
            <w:vAlign w:val="center"/>
          </w:tcPr>
          <w:p w14:paraId="5E72DC61"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128.2 (10.9)</w:t>
            </w:r>
          </w:p>
        </w:tc>
        <w:tc>
          <w:tcPr>
            <w:tcW w:w="646" w:type="pct"/>
            <w:tcBorders>
              <w:top w:val="single" w:sz="4" w:space="0" w:color="auto"/>
            </w:tcBorders>
            <w:vAlign w:val="center"/>
          </w:tcPr>
          <w:p w14:paraId="777D657A"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148.5 (10.7)</w:t>
            </w:r>
          </w:p>
        </w:tc>
      </w:tr>
      <w:tr w:rsidR="009030FD" w14:paraId="724E90AC"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vAlign w:val="center"/>
          </w:tcPr>
          <w:p w14:paraId="5AC314F5" w14:textId="77777777" w:rsidR="009030FD" w:rsidRDefault="009030FD">
            <w:pPr>
              <w:jc w:val="center"/>
              <w:rPr>
                <w:rFonts w:ascii="Times New Roman" w:hAnsi="Times New Roman"/>
                <w:b/>
                <w:bCs/>
                <w:sz w:val="24"/>
                <w:szCs w:val="24"/>
              </w:rPr>
            </w:pPr>
          </w:p>
        </w:tc>
        <w:tc>
          <w:tcPr>
            <w:tcW w:w="364" w:type="pct"/>
            <w:tcBorders>
              <w:left w:val="none" w:sz="4" w:space="0" w:color="000000"/>
              <w:right w:val="single" w:sz="4" w:space="0" w:color="auto"/>
            </w:tcBorders>
          </w:tcPr>
          <w:p w14:paraId="0907F37E"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1114DF40"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43.8 (3.8)</w:t>
            </w:r>
          </w:p>
        </w:tc>
        <w:tc>
          <w:tcPr>
            <w:tcW w:w="646" w:type="pct"/>
            <w:vAlign w:val="center"/>
          </w:tcPr>
          <w:p w14:paraId="68C54FB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65.0 (5.2)</w:t>
            </w:r>
          </w:p>
        </w:tc>
        <w:tc>
          <w:tcPr>
            <w:tcW w:w="646" w:type="pct"/>
            <w:vAlign w:val="center"/>
          </w:tcPr>
          <w:p w14:paraId="749146B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86.4 (7.7)</w:t>
            </w:r>
          </w:p>
        </w:tc>
        <w:tc>
          <w:tcPr>
            <w:tcW w:w="646" w:type="pct"/>
            <w:vAlign w:val="center"/>
          </w:tcPr>
          <w:p w14:paraId="045410F7"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107.9 (8.8)</w:t>
            </w:r>
          </w:p>
        </w:tc>
        <w:tc>
          <w:tcPr>
            <w:tcW w:w="646" w:type="pct"/>
            <w:vAlign w:val="center"/>
          </w:tcPr>
          <w:p w14:paraId="281B85B6"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128.4 (10.9)</w:t>
            </w:r>
          </w:p>
        </w:tc>
        <w:tc>
          <w:tcPr>
            <w:tcW w:w="646" w:type="pct"/>
            <w:vAlign w:val="center"/>
          </w:tcPr>
          <w:p w14:paraId="42E55083"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149.4 (13.2)</w:t>
            </w:r>
          </w:p>
        </w:tc>
      </w:tr>
      <w:tr w:rsidR="009030FD" w14:paraId="7D95A2A9"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4B110394" w14:textId="77777777" w:rsidR="009030FD" w:rsidRDefault="00000000">
            <w:pPr>
              <w:jc w:val="center"/>
              <w:rPr>
                <w:rFonts w:ascii="Times New Roman" w:hAnsi="Times New Roman"/>
                <w:b/>
                <w:bCs/>
                <w:sz w:val="24"/>
                <w:szCs w:val="24"/>
              </w:rPr>
            </w:pPr>
            <w:r>
              <w:rPr>
                <w:rFonts w:ascii="Times New Roman" w:hAnsi="Times New Roman"/>
                <w:b/>
                <w:bCs/>
                <w:sz w:val="24"/>
                <w:szCs w:val="24"/>
              </w:rPr>
              <w:t>Step Cadence Error (steps/min)</w:t>
            </w:r>
          </w:p>
        </w:tc>
        <w:tc>
          <w:tcPr>
            <w:tcW w:w="364" w:type="pct"/>
            <w:tcBorders>
              <w:right w:val="single" w:sz="4" w:space="0" w:color="auto"/>
            </w:tcBorders>
          </w:tcPr>
          <w:p w14:paraId="66C33096"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left w:val="single" w:sz="4" w:space="0" w:color="auto"/>
            </w:tcBorders>
            <w:vAlign w:val="center"/>
          </w:tcPr>
          <w:p w14:paraId="692BD2F1"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0.3 (0.6)</w:t>
            </w:r>
          </w:p>
        </w:tc>
        <w:tc>
          <w:tcPr>
            <w:tcW w:w="646" w:type="pct"/>
            <w:vAlign w:val="center"/>
          </w:tcPr>
          <w:p w14:paraId="51484955"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0.4 (0.8)</w:t>
            </w:r>
          </w:p>
        </w:tc>
        <w:tc>
          <w:tcPr>
            <w:tcW w:w="646" w:type="pct"/>
            <w:vAlign w:val="center"/>
          </w:tcPr>
          <w:p w14:paraId="5D321D4A"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0.2 (0.6)</w:t>
            </w:r>
          </w:p>
        </w:tc>
        <w:tc>
          <w:tcPr>
            <w:tcW w:w="646" w:type="pct"/>
            <w:vAlign w:val="center"/>
          </w:tcPr>
          <w:p w14:paraId="669A90CC"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 (1.3)</w:t>
            </w:r>
          </w:p>
        </w:tc>
        <w:tc>
          <w:tcPr>
            <w:tcW w:w="646" w:type="pct"/>
            <w:vAlign w:val="center"/>
          </w:tcPr>
          <w:p w14:paraId="52B1D80C"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-0.5 (1.1)</w:t>
            </w:r>
          </w:p>
        </w:tc>
        <w:tc>
          <w:tcPr>
            <w:tcW w:w="646" w:type="pct"/>
            <w:vAlign w:val="center"/>
          </w:tcPr>
          <w:p w14:paraId="0BBA1A75"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-1.7 (3.6)</w:t>
            </w:r>
          </w:p>
        </w:tc>
      </w:tr>
      <w:tr w:rsidR="009030FD" w14:paraId="654AD043"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vAlign w:val="center"/>
          </w:tcPr>
          <w:p w14:paraId="708E3B62" w14:textId="77777777" w:rsidR="009030FD" w:rsidRDefault="009030FD">
            <w:pPr>
              <w:jc w:val="center"/>
              <w:rPr>
                <w:rFonts w:ascii="Times New Roman" w:hAnsi="Times New Roman"/>
                <w:b/>
                <w:bCs/>
                <w:sz w:val="24"/>
                <w:szCs w:val="24"/>
              </w:rPr>
            </w:pPr>
          </w:p>
        </w:tc>
        <w:tc>
          <w:tcPr>
            <w:tcW w:w="364" w:type="pct"/>
            <w:tcBorders>
              <w:left w:val="none" w:sz="4" w:space="0" w:color="000000"/>
              <w:right w:val="single" w:sz="4" w:space="0" w:color="auto"/>
            </w:tcBorders>
          </w:tcPr>
          <w:p w14:paraId="1B89008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71E64AD4"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0.8 (2.1)</w:t>
            </w:r>
          </w:p>
        </w:tc>
        <w:tc>
          <w:tcPr>
            <w:tcW w:w="646" w:type="pct"/>
            <w:vAlign w:val="center"/>
          </w:tcPr>
          <w:p w14:paraId="2AD196A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0.7 (1.7)</w:t>
            </w:r>
          </w:p>
        </w:tc>
        <w:tc>
          <w:tcPr>
            <w:tcW w:w="646" w:type="pct"/>
            <w:vAlign w:val="center"/>
          </w:tcPr>
          <w:p w14:paraId="458D9DB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0.7 (1.2)</w:t>
            </w:r>
          </w:p>
        </w:tc>
        <w:tc>
          <w:tcPr>
            <w:tcW w:w="646" w:type="pct"/>
            <w:vAlign w:val="center"/>
          </w:tcPr>
          <w:p w14:paraId="64E985B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 (1.1)</w:t>
            </w:r>
          </w:p>
        </w:tc>
        <w:tc>
          <w:tcPr>
            <w:tcW w:w="646" w:type="pct"/>
            <w:vAlign w:val="center"/>
          </w:tcPr>
          <w:p w14:paraId="6DBCD6A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-0.3 (0.8)</w:t>
            </w:r>
          </w:p>
        </w:tc>
        <w:tc>
          <w:tcPr>
            <w:tcW w:w="646" w:type="pct"/>
            <w:vAlign w:val="center"/>
          </w:tcPr>
          <w:p w14:paraId="00840F47"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-0.8 (2.0)</w:t>
            </w:r>
          </w:p>
        </w:tc>
      </w:tr>
      <w:tr w:rsidR="009030FD" w14:paraId="31238BEA"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02248066" w14:textId="77777777" w:rsidR="009030FD" w:rsidRDefault="00000000">
            <w:pPr>
              <w:jc w:val="center"/>
              <w:rPr>
                <w:rFonts w:ascii="Times New Roman" w:hAnsi="Times New Roman"/>
                <w:b/>
                <w:bCs/>
                <w:sz w:val="24"/>
                <w:szCs w:val="24"/>
              </w:rPr>
            </w:pPr>
            <w:r>
              <w:rPr>
                <w:rFonts w:ascii="Times New Roman" w:hAnsi="Times New Roman"/>
                <w:b/>
                <w:bCs/>
                <w:sz w:val="24"/>
                <w:szCs w:val="24"/>
              </w:rPr>
              <w:t>Gait Speed (m/s)</w:t>
            </w:r>
          </w:p>
        </w:tc>
        <w:tc>
          <w:tcPr>
            <w:tcW w:w="364" w:type="pct"/>
            <w:tcBorders>
              <w:right w:val="single" w:sz="4" w:space="0" w:color="auto"/>
            </w:tcBorders>
          </w:tcPr>
          <w:p w14:paraId="4D5E70C4"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left w:val="single" w:sz="4" w:space="0" w:color="auto"/>
            </w:tcBorders>
            <w:vAlign w:val="center"/>
          </w:tcPr>
          <w:p w14:paraId="3B18F363"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0.4 (0.1)</w:t>
            </w:r>
          </w:p>
        </w:tc>
        <w:tc>
          <w:tcPr>
            <w:tcW w:w="646" w:type="pct"/>
            <w:vAlign w:val="center"/>
          </w:tcPr>
          <w:p w14:paraId="473DE1D3"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 (0.2)</w:t>
            </w:r>
          </w:p>
        </w:tc>
        <w:tc>
          <w:tcPr>
            <w:tcW w:w="646" w:type="pct"/>
            <w:vAlign w:val="center"/>
          </w:tcPr>
          <w:p w14:paraId="2C0D32B8"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0.8 (0.1)</w:t>
            </w:r>
          </w:p>
        </w:tc>
        <w:tc>
          <w:tcPr>
            <w:tcW w:w="646" w:type="pct"/>
            <w:vAlign w:val="center"/>
          </w:tcPr>
          <w:p w14:paraId="115F993C"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1.1 (0.2)</w:t>
            </w:r>
          </w:p>
        </w:tc>
        <w:tc>
          <w:tcPr>
            <w:tcW w:w="646" w:type="pct"/>
            <w:vAlign w:val="center"/>
          </w:tcPr>
          <w:p w14:paraId="1B8644DA"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1.5 (0.3)</w:t>
            </w:r>
          </w:p>
        </w:tc>
        <w:tc>
          <w:tcPr>
            <w:tcW w:w="646" w:type="pct"/>
            <w:vAlign w:val="center"/>
          </w:tcPr>
          <w:p w14:paraId="090C1F90"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1.9 (0.3)</w:t>
            </w:r>
          </w:p>
        </w:tc>
      </w:tr>
      <w:tr w:rsidR="009030FD" w14:paraId="68F00496"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vAlign w:val="center"/>
          </w:tcPr>
          <w:p w14:paraId="3BBB571E" w14:textId="77777777" w:rsidR="009030FD" w:rsidRDefault="009030FD">
            <w:pPr>
              <w:jc w:val="center"/>
              <w:rPr>
                <w:rFonts w:ascii="Times New Roman" w:hAnsi="Times New Roman"/>
                <w:b/>
                <w:bCs/>
                <w:sz w:val="24"/>
                <w:szCs w:val="24"/>
              </w:rPr>
            </w:pPr>
          </w:p>
        </w:tc>
        <w:tc>
          <w:tcPr>
            <w:tcW w:w="364" w:type="pct"/>
            <w:tcBorders>
              <w:left w:val="none" w:sz="4" w:space="0" w:color="000000"/>
              <w:right w:val="single" w:sz="4" w:space="0" w:color="auto"/>
            </w:tcBorders>
          </w:tcPr>
          <w:p w14:paraId="1D09DBD6"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1E437497"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0.4 (0.1)</w:t>
            </w:r>
          </w:p>
        </w:tc>
        <w:tc>
          <w:tcPr>
            <w:tcW w:w="646" w:type="pct"/>
            <w:vAlign w:val="center"/>
          </w:tcPr>
          <w:p w14:paraId="1CDC8226"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0.6 (0.1)</w:t>
            </w:r>
          </w:p>
        </w:tc>
        <w:tc>
          <w:tcPr>
            <w:tcW w:w="646" w:type="pct"/>
            <w:vAlign w:val="center"/>
          </w:tcPr>
          <w:p w14:paraId="5279B59C"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 (0.2)</w:t>
            </w:r>
          </w:p>
        </w:tc>
        <w:tc>
          <w:tcPr>
            <w:tcW w:w="646" w:type="pct"/>
            <w:vAlign w:val="center"/>
          </w:tcPr>
          <w:p w14:paraId="2238F84B"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 (0.3)</w:t>
            </w:r>
          </w:p>
        </w:tc>
        <w:tc>
          <w:tcPr>
            <w:tcW w:w="646" w:type="pct"/>
            <w:vAlign w:val="center"/>
          </w:tcPr>
          <w:p w14:paraId="7E9A07D2"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 (0.3)</w:t>
            </w:r>
          </w:p>
        </w:tc>
        <w:tc>
          <w:tcPr>
            <w:tcW w:w="646" w:type="pct"/>
            <w:vAlign w:val="center"/>
          </w:tcPr>
          <w:p w14:paraId="762AF46E"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2.1 (0.4)</w:t>
            </w:r>
          </w:p>
        </w:tc>
      </w:tr>
      <w:tr w:rsidR="009030FD" w14:paraId="4547EB85"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5AECEC98" w14:textId="77777777" w:rsidR="009030FD" w:rsidRDefault="00000000">
            <w:pPr>
              <w:jc w:val="center"/>
              <w:rPr>
                <w:rFonts w:ascii="Times New Roman" w:hAnsi="Times New Roman"/>
                <w:b/>
                <w:bCs/>
                <w:sz w:val="24"/>
                <w:szCs w:val="24"/>
              </w:rPr>
            </w:pPr>
            <w:r>
              <w:rPr>
                <w:rFonts w:ascii="Times New Roman" w:hAnsi="Times New Roman"/>
                <w:b/>
                <w:bCs/>
                <w:sz w:val="24"/>
                <w:szCs w:val="24"/>
              </w:rPr>
              <w:t>Head Pitch (deg)</w:t>
            </w:r>
          </w:p>
        </w:tc>
        <w:tc>
          <w:tcPr>
            <w:tcW w:w="364" w:type="pct"/>
            <w:tcBorders>
              <w:right w:val="single" w:sz="4" w:space="0" w:color="auto"/>
            </w:tcBorders>
          </w:tcPr>
          <w:p w14:paraId="272FCBB2"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left w:val="single" w:sz="4" w:space="0" w:color="auto"/>
            </w:tcBorders>
            <w:vAlign w:val="center"/>
          </w:tcPr>
          <w:p w14:paraId="6FA62F66"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4.9 (6.5)</w:t>
            </w:r>
          </w:p>
        </w:tc>
        <w:tc>
          <w:tcPr>
            <w:tcW w:w="646" w:type="pct"/>
            <w:vAlign w:val="center"/>
          </w:tcPr>
          <w:p w14:paraId="55753DAF"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5.9 (6.8)</w:t>
            </w:r>
          </w:p>
        </w:tc>
        <w:tc>
          <w:tcPr>
            <w:tcW w:w="646" w:type="pct"/>
            <w:vAlign w:val="center"/>
          </w:tcPr>
          <w:p w14:paraId="0DCC567E"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6.5 (7.6)</w:t>
            </w:r>
          </w:p>
        </w:tc>
        <w:tc>
          <w:tcPr>
            <w:tcW w:w="646" w:type="pct"/>
            <w:vAlign w:val="center"/>
          </w:tcPr>
          <w:p w14:paraId="731ED32C"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8.2 (6.8)</w:t>
            </w:r>
          </w:p>
        </w:tc>
        <w:tc>
          <w:tcPr>
            <w:tcW w:w="646" w:type="pct"/>
            <w:vAlign w:val="center"/>
          </w:tcPr>
          <w:p w14:paraId="0098300E"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7.0 (8.8)</w:t>
            </w:r>
          </w:p>
        </w:tc>
        <w:tc>
          <w:tcPr>
            <w:tcW w:w="646" w:type="pct"/>
            <w:vAlign w:val="center"/>
          </w:tcPr>
          <w:p w14:paraId="6978404E"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3.3 (9.4)</w:t>
            </w:r>
          </w:p>
        </w:tc>
      </w:tr>
      <w:tr w:rsidR="009030FD" w14:paraId="58924B6D"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vAlign w:val="center"/>
          </w:tcPr>
          <w:p w14:paraId="732323EE" w14:textId="77777777" w:rsidR="009030FD" w:rsidRDefault="009030FD">
            <w:pPr>
              <w:jc w:val="center"/>
              <w:rPr>
                <w:rFonts w:ascii="Times New Roman" w:hAnsi="Times New Roman"/>
                <w:b/>
                <w:bCs/>
                <w:sz w:val="24"/>
                <w:szCs w:val="24"/>
              </w:rPr>
            </w:pPr>
          </w:p>
        </w:tc>
        <w:tc>
          <w:tcPr>
            <w:tcW w:w="364" w:type="pct"/>
            <w:tcBorders>
              <w:left w:val="none" w:sz="4" w:space="0" w:color="000000"/>
              <w:right w:val="single" w:sz="4" w:space="0" w:color="auto"/>
            </w:tcBorders>
          </w:tcPr>
          <w:p w14:paraId="262660C4"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295B0A0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4.0 (6.1)</w:t>
            </w:r>
          </w:p>
        </w:tc>
        <w:tc>
          <w:tcPr>
            <w:tcW w:w="646" w:type="pct"/>
            <w:vAlign w:val="center"/>
          </w:tcPr>
          <w:p w14:paraId="249DA689"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6.2 (6.7)</w:t>
            </w:r>
          </w:p>
        </w:tc>
        <w:tc>
          <w:tcPr>
            <w:tcW w:w="646" w:type="pct"/>
            <w:vAlign w:val="center"/>
          </w:tcPr>
          <w:p w14:paraId="4F0A9B61"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7.2 (6.9)</w:t>
            </w:r>
          </w:p>
        </w:tc>
        <w:tc>
          <w:tcPr>
            <w:tcW w:w="646" w:type="pct"/>
            <w:vAlign w:val="center"/>
          </w:tcPr>
          <w:p w14:paraId="64F7A843"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8.8 (6.4)</w:t>
            </w:r>
          </w:p>
        </w:tc>
        <w:tc>
          <w:tcPr>
            <w:tcW w:w="646" w:type="pct"/>
            <w:vAlign w:val="center"/>
          </w:tcPr>
          <w:p w14:paraId="0BFEEBE2"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7.2 (7.7)</w:t>
            </w:r>
          </w:p>
        </w:tc>
        <w:tc>
          <w:tcPr>
            <w:tcW w:w="646" w:type="pct"/>
            <w:vAlign w:val="center"/>
          </w:tcPr>
          <w:p w14:paraId="4DABF2E6"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4.9 (8.5)</w:t>
            </w:r>
          </w:p>
        </w:tc>
      </w:tr>
      <w:tr w:rsidR="009030FD" w14:paraId="05F29A81"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7F6487AF" w14:textId="77777777" w:rsidR="009030FD" w:rsidRDefault="00000000">
            <w:pPr>
              <w:jc w:val="center"/>
              <w:rPr>
                <w:rFonts w:ascii="Times New Roman" w:hAnsi="Times New Roman"/>
                <w:b/>
                <w:bCs/>
                <w:sz w:val="24"/>
                <w:szCs w:val="24"/>
              </w:rPr>
            </w:pPr>
            <w:r>
              <w:rPr>
                <w:rFonts w:ascii="Times New Roman" w:hAnsi="Times New Roman"/>
                <w:b/>
                <w:bCs/>
                <w:sz w:val="24"/>
                <w:szCs w:val="24"/>
              </w:rPr>
              <w:t>LTO</w:t>
            </w:r>
          </w:p>
          <w:p w14:paraId="4EB644C7" w14:textId="77777777" w:rsidR="009030FD" w:rsidRDefault="00000000">
            <w:pPr>
              <w:jc w:val="center"/>
              <w:rPr>
                <w:rFonts w:ascii="Times New Roman" w:hAnsi="Times New Roman"/>
                <w:b/>
                <w:bCs/>
                <w:sz w:val="24"/>
                <w:szCs w:val="24"/>
              </w:rPr>
            </w:pPr>
            <w:r>
              <w:rPr>
                <w:rFonts w:ascii="Times New Roman" w:hAnsi="Times New Roman"/>
                <w:b/>
                <w:bCs/>
                <w:sz w:val="24"/>
                <w:szCs w:val="24"/>
              </w:rPr>
              <w:t>(%)</w:t>
            </w:r>
          </w:p>
        </w:tc>
        <w:tc>
          <w:tcPr>
            <w:tcW w:w="364" w:type="pct"/>
            <w:tcBorders>
              <w:right w:val="single" w:sz="4" w:space="0" w:color="auto"/>
            </w:tcBorders>
          </w:tcPr>
          <w:p w14:paraId="4179580A"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left w:val="single" w:sz="4" w:space="0" w:color="auto"/>
            </w:tcBorders>
            <w:vAlign w:val="center"/>
          </w:tcPr>
          <w:p w14:paraId="673357FD"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18.0 (3.9)</w:t>
            </w:r>
          </w:p>
        </w:tc>
        <w:tc>
          <w:tcPr>
            <w:tcW w:w="646" w:type="pct"/>
            <w:vAlign w:val="center"/>
          </w:tcPr>
          <w:p w14:paraId="37C37561"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14.5 (2.0)</w:t>
            </w:r>
          </w:p>
        </w:tc>
        <w:tc>
          <w:tcPr>
            <w:tcW w:w="646" w:type="pct"/>
            <w:vAlign w:val="center"/>
          </w:tcPr>
          <w:p w14:paraId="607AD65D"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13.5 (1.5)</w:t>
            </w:r>
          </w:p>
        </w:tc>
        <w:tc>
          <w:tcPr>
            <w:tcW w:w="646" w:type="pct"/>
            <w:vAlign w:val="center"/>
          </w:tcPr>
          <w:p w14:paraId="637E9C9A"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12.3 (1.4)</w:t>
            </w:r>
          </w:p>
        </w:tc>
        <w:tc>
          <w:tcPr>
            <w:tcW w:w="646" w:type="pct"/>
            <w:vAlign w:val="center"/>
          </w:tcPr>
          <w:p w14:paraId="0B4AB297"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10.7 (1.3)</w:t>
            </w:r>
          </w:p>
        </w:tc>
        <w:tc>
          <w:tcPr>
            <w:tcW w:w="646" w:type="pct"/>
            <w:vAlign w:val="center"/>
          </w:tcPr>
          <w:p w14:paraId="4BB1FAE2"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9.8 (1.7)</w:t>
            </w:r>
          </w:p>
        </w:tc>
      </w:tr>
      <w:tr w:rsidR="009030FD" w14:paraId="73DA2032"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vAlign w:val="center"/>
          </w:tcPr>
          <w:p w14:paraId="471DF7A4" w14:textId="77777777" w:rsidR="009030FD" w:rsidRDefault="009030FD">
            <w:pPr>
              <w:jc w:val="center"/>
              <w:rPr>
                <w:rFonts w:ascii="Times New Roman" w:hAnsi="Times New Roman"/>
                <w:b/>
                <w:bCs/>
                <w:sz w:val="24"/>
                <w:szCs w:val="24"/>
              </w:rPr>
            </w:pPr>
          </w:p>
        </w:tc>
        <w:tc>
          <w:tcPr>
            <w:tcW w:w="364" w:type="pct"/>
            <w:tcBorders>
              <w:left w:val="none" w:sz="4" w:space="0" w:color="000000"/>
              <w:right w:val="single" w:sz="4" w:space="0" w:color="auto"/>
            </w:tcBorders>
          </w:tcPr>
          <w:p w14:paraId="63B231EE"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4632721E"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18.0 (5.1)</w:t>
            </w:r>
          </w:p>
        </w:tc>
        <w:tc>
          <w:tcPr>
            <w:tcW w:w="646" w:type="pct"/>
            <w:vAlign w:val="center"/>
          </w:tcPr>
          <w:p w14:paraId="1850D001"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14.8 (2.0)</w:t>
            </w:r>
          </w:p>
        </w:tc>
        <w:tc>
          <w:tcPr>
            <w:tcW w:w="646" w:type="pct"/>
            <w:vAlign w:val="center"/>
          </w:tcPr>
          <w:p w14:paraId="6F486770"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13.5 (1.4)</w:t>
            </w:r>
          </w:p>
        </w:tc>
        <w:tc>
          <w:tcPr>
            <w:tcW w:w="646" w:type="pct"/>
            <w:vAlign w:val="center"/>
          </w:tcPr>
          <w:p w14:paraId="47B532EA"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12.3 (1.6)</w:t>
            </w:r>
          </w:p>
        </w:tc>
        <w:tc>
          <w:tcPr>
            <w:tcW w:w="646" w:type="pct"/>
            <w:vAlign w:val="center"/>
          </w:tcPr>
          <w:p w14:paraId="0D6F2556"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10.9 (1.4)</w:t>
            </w:r>
          </w:p>
        </w:tc>
        <w:tc>
          <w:tcPr>
            <w:tcW w:w="646" w:type="pct"/>
            <w:vAlign w:val="center"/>
          </w:tcPr>
          <w:p w14:paraId="7BF7FE0D"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9.9 (1.7)</w:t>
            </w:r>
          </w:p>
        </w:tc>
      </w:tr>
      <w:tr w:rsidR="009030FD" w14:paraId="7439E17D"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12121886" w14:textId="77777777" w:rsidR="009030FD" w:rsidRDefault="00000000">
            <w:pPr>
              <w:jc w:val="center"/>
              <w:rPr>
                <w:rFonts w:ascii="Times New Roman" w:hAnsi="Times New Roman"/>
                <w:b/>
                <w:bCs/>
                <w:sz w:val="24"/>
                <w:szCs w:val="24"/>
              </w:rPr>
            </w:pPr>
            <w:r>
              <w:rPr>
                <w:rFonts w:ascii="Times New Roman" w:hAnsi="Times New Roman"/>
                <w:b/>
                <w:bCs/>
                <w:sz w:val="24"/>
                <w:szCs w:val="24"/>
              </w:rPr>
              <w:t>LHS</w:t>
            </w:r>
          </w:p>
          <w:p w14:paraId="5B4397FB" w14:textId="77777777" w:rsidR="009030FD" w:rsidRDefault="00000000">
            <w:pPr>
              <w:jc w:val="center"/>
              <w:rPr>
                <w:rFonts w:ascii="Times New Roman" w:hAnsi="Times New Roman"/>
                <w:b/>
                <w:bCs/>
                <w:sz w:val="24"/>
                <w:szCs w:val="24"/>
              </w:rPr>
            </w:pPr>
            <w:r>
              <w:rPr>
                <w:rFonts w:ascii="Times New Roman" w:hAnsi="Times New Roman"/>
                <w:b/>
                <w:bCs/>
                <w:sz w:val="24"/>
                <w:szCs w:val="24"/>
              </w:rPr>
              <w:t>(%)</w:t>
            </w:r>
          </w:p>
        </w:tc>
        <w:tc>
          <w:tcPr>
            <w:tcW w:w="364" w:type="pct"/>
            <w:tcBorders>
              <w:right w:val="single" w:sz="4" w:space="0" w:color="auto"/>
            </w:tcBorders>
          </w:tcPr>
          <w:p w14:paraId="4B2A6714"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left w:val="single" w:sz="4" w:space="0" w:color="auto"/>
            </w:tcBorders>
            <w:vAlign w:val="center"/>
          </w:tcPr>
          <w:p w14:paraId="34C13D83"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49.8 (1.6)</w:t>
            </w:r>
          </w:p>
        </w:tc>
        <w:tc>
          <w:tcPr>
            <w:tcW w:w="646" w:type="pct"/>
            <w:vAlign w:val="center"/>
          </w:tcPr>
          <w:p w14:paraId="74619CDC"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50.1 (1.5)</w:t>
            </w:r>
          </w:p>
        </w:tc>
        <w:tc>
          <w:tcPr>
            <w:tcW w:w="646" w:type="pct"/>
            <w:vAlign w:val="center"/>
          </w:tcPr>
          <w:p w14:paraId="5FCB8EB1"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50.4 (1.6)</w:t>
            </w:r>
          </w:p>
        </w:tc>
        <w:tc>
          <w:tcPr>
            <w:tcW w:w="646" w:type="pct"/>
            <w:vAlign w:val="center"/>
          </w:tcPr>
          <w:p w14:paraId="1F2E165C"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50.9 (1.6)</w:t>
            </w:r>
          </w:p>
        </w:tc>
        <w:tc>
          <w:tcPr>
            <w:tcW w:w="646" w:type="pct"/>
            <w:vAlign w:val="center"/>
          </w:tcPr>
          <w:p w14:paraId="461C9D24"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50.9 (0.9)</w:t>
            </w:r>
          </w:p>
        </w:tc>
        <w:tc>
          <w:tcPr>
            <w:tcW w:w="646" w:type="pct"/>
            <w:vAlign w:val="center"/>
          </w:tcPr>
          <w:p w14:paraId="52C54020"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50.9 (1.0)</w:t>
            </w:r>
          </w:p>
        </w:tc>
      </w:tr>
      <w:tr w:rsidR="009030FD" w14:paraId="1FEE6FDE"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vAlign w:val="center"/>
          </w:tcPr>
          <w:p w14:paraId="6B8C7EC1" w14:textId="77777777" w:rsidR="009030FD" w:rsidRDefault="009030FD">
            <w:pPr>
              <w:jc w:val="center"/>
              <w:rPr>
                <w:rFonts w:ascii="Times New Roman" w:hAnsi="Times New Roman"/>
                <w:b/>
                <w:bCs/>
                <w:sz w:val="24"/>
                <w:szCs w:val="24"/>
              </w:rPr>
            </w:pPr>
          </w:p>
        </w:tc>
        <w:tc>
          <w:tcPr>
            <w:tcW w:w="364" w:type="pct"/>
            <w:tcBorders>
              <w:left w:val="none" w:sz="4" w:space="0" w:color="000000"/>
              <w:right w:val="single" w:sz="4" w:space="0" w:color="auto"/>
            </w:tcBorders>
          </w:tcPr>
          <w:p w14:paraId="07E7A62E"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5CDEF41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49.5 (1.0)</w:t>
            </w:r>
          </w:p>
        </w:tc>
        <w:tc>
          <w:tcPr>
            <w:tcW w:w="646" w:type="pct"/>
            <w:vAlign w:val="center"/>
          </w:tcPr>
          <w:p w14:paraId="7048390D"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50.3 (1.2)</w:t>
            </w:r>
          </w:p>
        </w:tc>
        <w:tc>
          <w:tcPr>
            <w:tcW w:w="646" w:type="pct"/>
            <w:vAlign w:val="center"/>
          </w:tcPr>
          <w:p w14:paraId="1DC1A83A"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50.3 (1.3)</w:t>
            </w:r>
          </w:p>
        </w:tc>
        <w:tc>
          <w:tcPr>
            <w:tcW w:w="646" w:type="pct"/>
            <w:vAlign w:val="center"/>
          </w:tcPr>
          <w:p w14:paraId="295F8054"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50.9 (1.4)</w:t>
            </w:r>
          </w:p>
        </w:tc>
        <w:tc>
          <w:tcPr>
            <w:tcW w:w="646" w:type="pct"/>
            <w:vAlign w:val="center"/>
          </w:tcPr>
          <w:p w14:paraId="4FCAE663"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51.1 (0.8)</w:t>
            </w:r>
          </w:p>
        </w:tc>
        <w:tc>
          <w:tcPr>
            <w:tcW w:w="646" w:type="pct"/>
            <w:vAlign w:val="center"/>
          </w:tcPr>
          <w:p w14:paraId="35F555EF"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50.9 (1.4)</w:t>
            </w:r>
          </w:p>
        </w:tc>
      </w:tr>
      <w:tr w:rsidR="009030FD" w14:paraId="0792F44A" w14:textId="77777777" w:rsidTr="009030FD">
        <w:trPr>
          <w:trHeight w:val="227"/>
        </w:trPr>
        <w:tc>
          <w:tcPr>
            <w:cnfStyle w:val="001000000000" w:firstRow="0" w:lastRow="0" w:firstColumn="1" w:lastColumn="0" w:oddVBand="0" w:evenVBand="0" w:oddHBand="0" w:evenHBand="0" w:firstRowFirstColumn="0" w:firstRowLastColumn="0" w:lastRowFirstColumn="0" w:lastRowLastColumn="0"/>
            <w:tcW w:w="757" w:type="pct"/>
            <w:vMerge w:val="restart"/>
            <w:vAlign w:val="center"/>
          </w:tcPr>
          <w:p w14:paraId="19465A6A" w14:textId="77777777" w:rsidR="009030FD" w:rsidRDefault="00000000">
            <w:pPr>
              <w:jc w:val="center"/>
              <w:rPr>
                <w:rFonts w:ascii="Times New Roman" w:hAnsi="Times New Roman"/>
                <w:b/>
                <w:bCs/>
                <w:sz w:val="24"/>
                <w:szCs w:val="24"/>
              </w:rPr>
            </w:pPr>
            <w:r>
              <w:rPr>
                <w:rFonts w:ascii="Times New Roman" w:hAnsi="Times New Roman"/>
                <w:b/>
                <w:bCs/>
                <w:sz w:val="24"/>
                <w:szCs w:val="24"/>
              </w:rPr>
              <w:t>RTO</w:t>
            </w:r>
          </w:p>
          <w:p w14:paraId="3B0741EA" w14:textId="77777777" w:rsidR="009030FD" w:rsidRDefault="00000000">
            <w:pPr>
              <w:jc w:val="center"/>
              <w:rPr>
                <w:rFonts w:ascii="Times New Roman" w:hAnsi="Times New Roman"/>
                <w:b/>
                <w:bCs/>
                <w:sz w:val="24"/>
                <w:szCs w:val="24"/>
              </w:rPr>
            </w:pPr>
            <w:r>
              <w:rPr>
                <w:rFonts w:ascii="Times New Roman" w:hAnsi="Times New Roman"/>
                <w:b/>
                <w:bCs/>
                <w:sz w:val="24"/>
                <w:szCs w:val="24"/>
              </w:rPr>
              <w:t>(%)</w:t>
            </w:r>
          </w:p>
        </w:tc>
        <w:tc>
          <w:tcPr>
            <w:tcW w:w="364" w:type="pct"/>
            <w:tcBorders>
              <w:right w:val="single" w:sz="4" w:space="0" w:color="auto"/>
            </w:tcBorders>
          </w:tcPr>
          <w:p w14:paraId="20788AB2"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No EVS</w:t>
            </w:r>
          </w:p>
        </w:tc>
        <w:tc>
          <w:tcPr>
            <w:tcW w:w="646" w:type="pct"/>
            <w:tcBorders>
              <w:left w:val="single" w:sz="4" w:space="0" w:color="auto"/>
            </w:tcBorders>
            <w:vAlign w:val="center"/>
          </w:tcPr>
          <w:p w14:paraId="4B6D9C97"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68.1 (3.6)</w:t>
            </w:r>
          </w:p>
        </w:tc>
        <w:tc>
          <w:tcPr>
            <w:tcW w:w="646" w:type="pct"/>
            <w:vAlign w:val="center"/>
          </w:tcPr>
          <w:p w14:paraId="471D2319"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64.5 (1.5)</w:t>
            </w:r>
          </w:p>
        </w:tc>
        <w:tc>
          <w:tcPr>
            <w:tcW w:w="646" w:type="pct"/>
            <w:vAlign w:val="center"/>
          </w:tcPr>
          <w:p w14:paraId="43D8528B"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63.5 (1.5)</w:t>
            </w:r>
          </w:p>
        </w:tc>
        <w:tc>
          <w:tcPr>
            <w:tcW w:w="646" w:type="pct"/>
            <w:vAlign w:val="center"/>
          </w:tcPr>
          <w:p w14:paraId="5CE37DE1"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62.1 (1.2)</w:t>
            </w:r>
          </w:p>
        </w:tc>
        <w:tc>
          <w:tcPr>
            <w:tcW w:w="646" w:type="pct"/>
            <w:vAlign w:val="center"/>
          </w:tcPr>
          <w:p w14:paraId="1E610359"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60.3 (1.3)</w:t>
            </w:r>
          </w:p>
        </w:tc>
        <w:tc>
          <w:tcPr>
            <w:tcW w:w="646" w:type="pct"/>
            <w:vAlign w:val="center"/>
          </w:tcPr>
          <w:p w14:paraId="0ACA224F" w14:textId="77777777" w:rsidR="009030FD"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59.3 (1.6)</w:t>
            </w:r>
          </w:p>
        </w:tc>
      </w:tr>
      <w:tr w:rsidR="009030FD" w14:paraId="730073C4" w14:textId="77777777" w:rsidTr="009030F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57" w:type="pct"/>
            <w:vMerge/>
          </w:tcPr>
          <w:p w14:paraId="2BB26837" w14:textId="77777777" w:rsidR="009030FD" w:rsidRDefault="009030FD">
            <w:pPr>
              <w:jc w:val="center"/>
              <w:rPr>
                <w:rFonts w:ascii="Times New Roman" w:hAnsi="Times New Roman"/>
                <w:sz w:val="24"/>
                <w:szCs w:val="24"/>
              </w:rPr>
            </w:pPr>
          </w:p>
        </w:tc>
        <w:tc>
          <w:tcPr>
            <w:tcW w:w="364" w:type="pct"/>
            <w:tcBorders>
              <w:left w:val="none" w:sz="4" w:space="0" w:color="000000"/>
              <w:right w:val="single" w:sz="4" w:space="0" w:color="auto"/>
            </w:tcBorders>
          </w:tcPr>
          <w:p w14:paraId="7654DBB2"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EVS</w:t>
            </w:r>
          </w:p>
        </w:tc>
        <w:tc>
          <w:tcPr>
            <w:tcW w:w="646" w:type="pct"/>
            <w:tcBorders>
              <w:left w:val="single" w:sz="4" w:space="0" w:color="auto"/>
            </w:tcBorders>
            <w:vAlign w:val="center"/>
          </w:tcPr>
          <w:p w14:paraId="307D3413"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68.3 (4.6)</w:t>
            </w:r>
          </w:p>
        </w:tc>
        <w:tc>
          <w:tcPr>
            <w:tcW w:w="646" w:type="pct"/>
            <w:vAlign w:val="center"/>
          </w:tcPr>
          <w:p w14:paraId="4E4392D8"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64.6 (2.0)</w:t>
            </w:r>
          </w:p>
        </w:tc>
        <w:tc>
          <w:tcPr>
            <w:tcW w:w="646" w:type="pct"/>
            <w:vAlign w:val="center"/>
          </w:tcPr>
          <w:p w14:paraId="11654F6C"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63.5 (1.6)</w:t>
            </w:r>
          </w:p>
        </w:tc>
        <w:tc>
          <w:tcPr>
            <w:tcW w:w="646" w:type="pct"/>
            <w:vAlign w:val="center"/>
          </w:tcPr>
          <w:p w14:paraId="76A4ABBC"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62.1 (1.3)</w:t>
            </w:r>
          </w:p>
        </w:tc>
        <w:tc>
          <w:tcPr>
            <w:tcW w:w="646" w:type="pct"/>
            <w:vAlign w:val="center"/>
          </w:tcPr>
          <w:p w14:paraId="265D52C5"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60.4 (1.4)</w:t>
            </w:r>
          </w:p>
        </w:tc>
        <w:tc>
          <w:tcPr>
            <w:tcW w:w="646" w:type="pct"/>
            <w:vAlign w:val="center"/>
          </w:tcPr>
          <w:p w14:paraId="653D12A0" w14:textId="77777777" w:rsidR="009030FD"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Pr>
                <w:rFonts w:ascii="Times New Roman" w:hAnsi="Times New Roman"/>
                <w:sz w:val="24"/>
                <w:szCs w:val="24"/>
              </w:rPr>
              <w:t>59.6 (1.8)</w:t>
            </w:r>
          </w:p>
        </w:tc>
      </w:tr>
    </w:tbl>
    <w:p w14:paraId="736618C4" w14:textId="77777777" w:rsidR="009030FD" w:rsidRDefault="009030FD">
      <w:pPr>
        <w:spacing w:after="0" w:line="480" w:lineRule="auto"/>
        <w:rPr>
          <w:rFonts w:ascii="Times New Roman" w:eastAsia="Cambria" w:hAnsi="Times New Roman" w:cs="Times New Roman"/>
          <w:b/>
          <w:bCs/>
          <w:sz w:val="24"/>
          <w:szCs w:val="24"/>
          <w14:ligatures w14:val="none"/>
        </w:rPr>
      </w:pPr>
    </w:p>
    <w:p w14:paraId="2ED10D11" w14:textId="77777777" w:rsidR="009030FD" w:rsidRPr="003849F5" w:rsidRDefault="00000000" w:rsidP="003849F5">
      <w:pPr>
        <w:spacing w:after="0" w:line="360" w:lineRule="auto"/>
        <w:rPr>
          <w:rFonts w:ascii="Times New Roman" w:eastAsia="Cambria" w:hAnsi="Times New Roman" w:cs="Times New Roman"/>
          <w:sz w:val="20"/>
          <w:szCs w:val="18"/>
          <w14:ligatures w14:val="none"/>
        </w:rPr>
      </w:pPr>
      <w:r>
        <w:rPr>
          <w:rFonts w:ascii="Times New Roman" w:eastAsia="Cambria" w:hAnsi="Times New Roman" w:cs="Times New Roman"/>
          <w:b/>
          <w:bCs/>
          <w:sz w:val="20"/>
          <w:szCs w:val="18"/>
          <w14:ligatures w14:val="none"/>
        </w:rPr>
        <w:t xml:space="preserve">Table S1. Gait characteristics of participants across cadence conditions. </w:t>
      </w:r>
      <w:r w:rsidRPr="003849F5">
        <w:rPr>
          <w:rFonts w:ascii="Times New Roman" w:eastAsia="Cambria" w:hAnsi="Times New Roman" w:cs="Times New Roman"/>
          <w:sz w:val="20"/>
          <w:szCs w:val="18"/>
          <w14:ligatures w14:val="none"/>
        </w:rPr>
        <w:t xml:space="preserve">Gait event timings (bottom three rows) are described as percentage of total stride cycle. Data are presented as: mean (standard deviation). Step cadence error describes the difference between the average step cadence during the trial and the target step cadence. No EVS, trials with no electrical vestibular stimulation; EVS, trials with electrical vestibular stimulation; m/s, metres per second; deg, degrees; LTO, left toe-off; LHS, left heel strike; RTO, right toe-off. </w:t>
      </w:r>
    </w:p>
    <w:p w14:paraId="24EF1461" w14:textId="77777777" w:rsidR="009030FD" w:rsidRDefault="009030FD">
      <w:pPr>
        <w:rPr>
          <w:rFonts w:ascii="Times New Roman" w:eastAsia="Cambria" w:hAnsi="Times New Roman" w:cs="Times New Roman"/>
          <w:b/>
          <w:bCs/>
          <w:sz w:val="20"/>
          <w:szCs w:val="18"/>
          <w14:ligatures w14:val="none"/>
        </w:rPr>
        <w:sectPr w:rsidR="009030FD">
          <w:pgSz w:w="12240" w:h="15840"/>
          <w:pgMar w:top="1440" w:right="1440" w:bottom="1440" w:left="1440" w:header="709" w:footer="709" w:gutter="0"/>
          <w:cols w:space="708"/>
        </w:sectPr>
      </w:pPr>
    </w:p>
    <w:p w14:paraId="02ED807E" w14:textId="77777777" w:rsidR="009030FD" w:rsidRDefault="009030FD">
      <w:pPr>
        <w:rPr>
          <w:rFonts w:ascii="Times New Roman" w:eastAsia="Cambria" w:hAnsi="Times New Roman" w:cs="Times New Roman"/>
          <w:b/>
          <w:bCs/>
          <w:sz w:val="20"/>
          <w:szCs w:val="18"/>
          <w14:ligatures w14:val="none"/>
        </w:rPr>
      </w:pPr>
    </w:p>
    <w:p w14:paraId="6C671E8A" w14:textId="77777777"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noProof/>
          <w:sz w:val="24"/>
          <w:szCs w:val="24"/>
          <w14:ligatures w14:val="none"/>
        </w:rPr>
        <mc:AlternateContent>
          <mc:Choice Requires="wpg">
            <w:drawing>
              <wp:inline distT="0" distB="0" distL="0" distR="0" wp14:anchorId="22502F2D" wp14:editId="792E9AED">
                <wp:extent cx="7586829" cy="3139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pic:blipFill>
                      <pic:spPr bwMode="auto">
                        <a:xfrm>
                          <a:off x="0" y="0"/>
                          <a:ext cx="7586829" cy="3139440"/>
                        </a:xfrm>
                        <a:prstGeom prst="rect">
                          <a:avLst/>
                        </a:prstGeom>
                        <a:noFill/>
                        <a:ln>
                          <a:noFill/>
                          <a:miter/>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97.39pt;height:247.20pt;mso-wrap-distance-left:0.00pt;mso-wrap-distance-top:0.00pt;mso-wrap-distance-right:0.00pt;mso-wrap-distance-bottom:0.00pt;z-index:1;" stroked="f">
                <v:imagedata r:id="rId12" o:title=""/>
                <o:lock v:ext="edit" rotation="t"/>
              </v:shape>
            </w:pict>
          </mc:Fallback>
        </mc:AlternateContent>
      </w:r>
    </w:p>
    <w:p w14:paraId="1CF6D72A" w14:textId="2B0DA367" w:rsidR="009030FD" w:rsidRDefault="00000000">
      <w:pPr>
        <w:spacing w:after="0" w:line="360" w:lineRule="auto"/>
        <w:rPr>
          <w:rFonts w:ascii="Times New Roman" w:eastAsia="Cambria" w:hAnsi="Times New Roman" w:cs="Times New Roman"/>
          <w:b/>
          <w:bCs/>
          <w:sz w:val="20"/>
          <w:szCs w:val="18"/>
          <w14:ligatures w14:val="none"/>
        </w:rPr>
        <w:sectPr w:rsidR="009030FD">
          <w:pgSz w:w="15840" w:h="12240" w:orient="landscape"/>
          <w:pgMar w:top="1440" w:right="1440" w:bottom="1440" w:left="1440" w:header="709" w:footer="709" w:gutter="0"/>
          <w:cols w:space="708"/>
        </w:sectPr>
      </w:pPr>
      <w:r>
        <w:rPr>
          <w:rFonts w:ascii="Times New Roman" w:eastAsia="Cambria" w:hAnsi="Times New Roman" w:cs="Times New Roman"/>
          <w:b/>
          <w:bCs/>
          <w:sz w:val="20"/>
          <w:szCs w:val="18"/>
          <w14:ligatures w14:val="none"/>
        </w:rPr>
        <w:t xml:space="preserve">Figure S1. </w:t>
      </w:r>
      <w:r w:rsidRPr="003849F5">
        <w:rPr>
          <w:rFonts w:ascii="Times New Roman" w:eastAsia="Cambria" w:hAnsi="Times New Roman" w:cs="Times New Roman"/>
          <w:b/>
          <w:bCs/>
          <w:sz w:val="20"/>
          <w:szCs w:val="18"/>
          <w14:ligatures w14:val="none"/>
        </w:rPr>
        <w:t>Pooled (n = 12) time-dependent coherence for the three coherence measures across all cadence conditions.</w:t>
      </w:r>
      <w:r>
        <w:rPr>
          <w:rFonts w:ascii="Times New Roman" w:eastAsia="Cambria" w:hAnsi="Times New Roman" w:cs="Times New Roman"/>
          <w:sz w:val="20"/>
          <w:szCs w:val="18"/>
          <w14:ligatures w14:val="none"/>
        </w:rPr>
        <w:t xml:space="preserve"> Coherence was calculated between the applied electrical vestibular stimulation and the back mediolateral linear acceleration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r>
          <w:rPr>
            <w:rFonts w:ascii="Cambria Math" w:eastAsia="Cambria" w:hAnsi="Cambria Math" w:cs="Times New Roman"/>
            <w:sz w:val="20"/>
            <w:szCs w:val="18"/>
            <w14:ligatures w14:val="none"/>
          </w:rPr>
          <m:t xml:space="preserve">; </m:t>
        </m:r>
      </m:oMath>
      <w:r>
        <w:rPr>
          <w:rFonts w:ascii="Times New Roman" w:eastAsia="Cambria" w:hAnsi="Times New Roman" w:cs="Times New Roman"/>
          <w:sz w:val="20"/>
          <w:szCs w:val="18"/>
          <w14:ligatures w14:val="none"/>
        </w:rPr>
        <w:t xml:space="preserve">top row), right ankle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(middle row), and left ankle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(bottom row). </w:t>
      </w:r>
      <w:bookmarkStart w:id="4" w:name="_Hlk187744768"/>
      <w:r w:rsidR="000770F1">
        <w:rPr>
          <w:rFonts w:ascii="Times New Roman" w:eastAsia="Cambria" w:hAnsi="Times New Roman" w:cs="Times New Roman"/>
          <w:sz w:val="20"/>
          <w:szCs w:val="28"/>
          <w14:ligatures w14:val="none"/>
        </w:rPr>
        <w:t>Values representing non-significant coherence and gain were removed from the plots</w:t>
      </w:r>
      <w:bookmarkEnd w:id="4"/>
      <w:r>
        <w:rPr>
          <w:rFonts w:ascii="Times New Roman" w:eastAsia="Cambria" w:hAnsi="Times New Roman" w:cs="Times New Roman"/>
          <w:sz w:val="20"/>
          <w:szCs w:val="28"/>
          <w14:ligatures w14:val="none"/>
        </w:rPr>
        <w:t xml:space="preserve">. </w:t>
      </w:r>
      <w:r>
        <w:rPr>
          <w:rFonts w:ascii="Times New Roman" w:eastAsia="Cambria" w:hAnsi="Times New Roman" w:cs="Times New Roman"/>
          <w:sz w:val="20"/>
          <w:szCs w:val="18"/>
          <w14:ligatures w14:val="none"/>
        </w:rPr>
        <w:t xml:space="preserve">Overall, coherence for all sensors decreased as step cadence increased. </w:t>
      </w:r>
      <w:r w:rsidR="00154B2B">
        <w:rPr>
          <w:rFonts w:ascii="Times New Roman" w:eastAsia="Cambria" w:hAnsi="Times New Roman" w:cs="Times New Roman"/>
          <w:sz w:val="20"/>
          <w:szCs w:val="18"/>
          <w14:ligatures w14:val="none"/>
        </w:rPr>
        <w:t>RHS, right heel strike</w:t>
      </w:r>
      <w:r w:rsidR="001C4264">
        <w:rPr>
          <w:rFonts w:ascii="Cambria Math" w:eastAsia="Cambria" w:hAnsi="Cambria Math" w:cs="Times New Roman"/>
          <w:iCs/>
          <w:sz w:val="20"/>
          <w:szCs w:val="18"/>
          <w14:ligatures w14:val="none"/>
        </w:rPr>
        <w:t xml:space="preserve">; </w:t>
      </w:r>
      <w:r>
        <w:rPr>
          <w:rFonts w:ascii="Times New Roman" w:eastAsia="Cambria" w:hAnsi="Times New Roman" w:cs="Times New Roman"/>
          <w:sz w:val="20"/>
          <w:szCs w:val="18"/>
          <w14:ligatures w14:val="none"/>
        </w:rPr>
        <w:t>LTO, left toe-off; LHS, left heel strike; RTO, right toe-off.</w:t>
      </w:r>
    </w:p>
    <w:tbl>
      <w:tblPr>
        <w:tblStyle w:val="TableGrid1"/>
        <w:tblW w:w="0" w:type="auto"/>
        <w:tblLook w:val="04A0" w:firstRow="1" w:lastRow="0" w:firstColumn="1" w:lastColumn="0" w:noHBand="0" w:noVBand="1"/>
      </w:tblPr>
      <w:tblGrid>
        <w:gridCol w:w="1233"/>
        <w:gridCol w:w="1194"/>
        <w:gridCol w:w="1046"/>
        <w:gridCol w:w="1503"/>
        <w:gridCol w:w="1417"/>
        <w:gridCol w:w="1276"/>
        <w:gridCol w:w="992"/>
      </w:tblGrid>
      <w:tr w:rsidR="009030FD" w14:paraId="1688EC50" w14:textId="77777777">
        <w:trPr>
          <w:trHeight w:val="510"/>
        </w:trPr>
        <w:tc>
          <w:tcPr>
            <w:tcW w:w="1233" w:type="dxa"/>
            <w:tcBorders>
              <w:top w:val="single" w:sz="8" w:space="0" w:color="auto"/>
              <w:left w:val="none" w:sz="4" w:space="0" w:color="000000"/>
              <w:bottom w:val="single" w:sz="8" w:space="0" w:color="auto"/>
              <w:right w:val="none" w:sz="4" w:space="0" w:color="000000"/>
            </w:tcBorders>
            <w:vAlign w:val="center"/>
          </w:tcPr>
          <w:p w14:paraId="17B04799"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lastRenderedPageBreak/>
              <w:t>Measure</w:t>
            </w:r>
          </w:p>
        </w:tc>
        <w:tc>
          <w:tcPr>
            <w:tcW w:w="1180" w:type="dxa"/>
            <w:tcBorders>
              <w:top w:val="single" w:sz="8" w:space="0" w:color="auto"/>
              <w:left w:val="none" w:sz="4" w:space="0" w:color="000000"/>
              <w:bottom w:val="single" w:sz="8" w:space="0" w:color="auto"/>
              <w:right w:val="none" w:sz="4" w:space="0" w:color="000000"/>
            </w:tcBorders>
            <w:vAlign w:val="center"/>
          </w:tcPr>
          <w:p w14:paraId="60B76709" w14:textId="77777777" w:rsidR="009030FD" w:rsidRDefault="00000000">
            <w:pPr>
              <w:jc w:val="center"/>
              <w:rPr>
                <w:rFonts w:ascii="Arial" w:eastAsia="Aptos" w:hAnsi="Arial" w:cs="Arial"/>
                <w:b/>
                <w:bCs/>
                <w:sz w:val="20"/>
                <w:szCs w:val="20"/>
              </w:rPr>
            </w:pPr>
            <w:proofErr w:type="spellStart"/>
            <w:r>
              <w:rPr>
                <w:rFonts w:ascii="Arial" w:eastAsia="Aptos" w:hAnsi="Arial" w:cs="Arial"/>
                <w:b/>
                <w:bCs/>
                <w:sz w:val="20"/>
                <w:szCs w:val="20"/>
              </w:rPr>
              <w:t>rmANOVA</w:t>
            </w:r>
            <w:proofErr w:type="spellEnd"/>
          </w:p>
          <w:p w14:paraId="76F8B5C8"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F-statistic</w:t>
            </w:r>
          </w:p>
        </w:tc>
        <w:tc>
          <w:tcPr>
            <w:tcW w:w="1046" w:type="dxa"/>
            <w:tcBorders>
              <w:top w:val="single" w:sz="8" w:space="0" w:color="auto"/>
              <w:left w:val="none" w:sz="4" w:space="0" w:color="000000"/>
              <w:bottom w:val="single" w:sz="8" w:space="0" w:color="auto"/>
            </w:tcBorders>
            <w:vAlign w:val="center"/>
          </w:tcPr>
          <w:p w14:paraId="3E62C0FA"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p</w:t>
            </w:r>
          </w:p>
        </w:tc>
        <w:tc>
          <w:tcPr>
            <w:tcW w:w="1503" w:type="dxa"/>
            <w:tcBorders>
              <w:top w:val="single" w:sz="8" w:space="0" w:color="auto"/>
              <w:bottom w:val="single" w:sz="8" w:space="0" w:color="auto"/>
              <w:right w:val="none" w:sz="4" w:space="0" w:color="000000"/>
            </w:tcBorders>
            <w:vAlign w:val="center"/>
          </w:tcPr>
          <w:p w14:paraId="6D921275"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Post-hoc student t-test</w:t>
            </w:r>
          </w:p>
        </w:tc>
        <w:tc>
          <w:tcPr>
            <w:tcW w:w="1417" w:type="dxa"/>
            <w:tcBorders>
              <w:top w:val="single" w:sz="8" w:space="0" w:color="auto"/>
              <w:left w:val="none" w:sz="4" w:space="0" w:color="000000"/>
              <w:bottom w:val="single" w:sz="8" w:space="0" w:color="auto"/>
              <w:right w:val="none" w:sz="4" w:space="0" w:color="000000"/>
            </w:tcBorders>
            <w:vAlign w:val="center"/>
          </w:tcPr>
          <w:p w14:paraId="17DAF1F7"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t-statistic</w:t>
            </w:r>
          </w:p>
        </w:tc>
        <w:tc>
          <w:tcPr>
            <w:tcW w:w="1276" w:type="dxa"/>
            <w:tcBorders>
              <w:top w:val="single" w:sz="8" w:space="0" w:color="auto"/>
              <w:left w:val="none" w:sz="4" w:space="0" w:color="000000"/>
              <w:bottom w:val="single" w:sz="8" w:space="0" w:color="auto"/>
              <w:right w:val="none" w:sz="4" w:space="0" w:color="000000"/>
            </w:tcBorders>
            <w:vAlign w:val="center"/>
          </w:tcPr>
          <w:p w14:paraId="45815417"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Cohen’s d</w:t>
            </w:r>
          </w:p>
        </w:tc>
        <w:tc>
          <w:tcPr>
            <w:tcW w:w="992" w:type="dxa"/>
            <w:tcBorders>
              <w:top w:val="single" w:sz="8" w:space="0" w:color="auto"/>
              <w:left w:val="none" w:sz="4" w:space="0" w:color="000000"/>
              <w:bottom w:val="single" w:sz="8" w:space="0" w:color="auto"/>
              <w:right w:val="none" w:sz="4" w:space="0" w:color="000000"/>
            </w:tcBorders>
            <w:vAlign w:val="center"/>
          </w:tcPr>
          <w:p w14:paraId="0D83DB83" w14:textId="77777777" w:rsidR="009030FD" w:rsidRDefault="00000000">
            <w:pPr>
              <w:jc w:val="center"/>
              <w:rPr>
                <w:rFonts w:ascii="Arial" w:eastAsia="Aptos" w:hAnsi="Arial" w:cs="Arial"/>
                <w:b/>
                <w:bCs/>
                <w:sz w:val="20"/>
                <w:szCs w:val="20"/>
                <w:vertAlign w:val="subscript"/>
              </w:rPr>
            </w:pPr>
            <w:proofErr w:type="spellStart"/>
            <w:r>
              <w:rPr>
                <w:rFonts w:ascii="Arial" w:eastAsia="Aptos" w:hAnsi="Arial" w:cs="Arial"/>
                <w:b/>
                <w:bCs/>
                <w:sz w:val="20"/>
                <w:szCs w:val="20"/>
              </w:rPr>
              <w:t>p</w:t>
            </w:r>
            <w:r>
              <w:rPr>
                <w:rFonts w:ascii="Arial" w:eastAsia="Aptos" w:hAnsi="Arial" w:cs="Arial"/>
                <w:b/>
                <w:bCs/>
                <w:sz w:val="20"/>
                <w:szCs w:val="20"/>
                <w:vertAlign w:val="subscript"/>
              </w:rPr>
              <w:t>holm</w:t>
            </w:r>
            <w:proofErr w:type="spellEnd"/>
          </w:p>
        </w:tc>
      </w:tr>
      <w:tr w:rsidR="009030FD" w14:paraId="312C2340" w14:textId="77777777">
        <w:trPr>
          <w:trHeight w:val="283"/>
        </w:trPr>
        <w:tc>
          <w:tcPr>
            <w:tcW w:w="1233" w:type="dxa"/>
            <w:vMerge w:val="restart"/>
            <w:tcBorders>
              <w:top w:val="single" w:sz="8" w:space="0" w:color="auto"/>
              <w:left w:val="none" w:sz="4" w:space="0" w:color="000000"/>
              <w:right w:val="none" w:sz="4" w:space="0" w:color="000000"/>
            </w:tcBorders>
            <w:vAlign w:val="center"/>
          </w:tcPr>
          <w:p w14:paraId="1DDE63A0" w14:textId="77777777" w:rsidR="009030FD" w:rsidRDefault="00000000">
            <w:pPr>
              <w:jc w:val="center"/>
              <w:rPr>
                <w:rFonts w:ascii="Arial" w:eastAsia="Aptos" w:hAnsi="Arial" w:cs="Arial"/>
                <w:sz w:val="20"/>
                <w:szCs w:val="20"/>
              </w:rPr>
            </w:pPr>
            <m:oMathPara>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hAnsi="Cambria Math"/>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NET</m:t>
                    </m:r>
                  </m:sub>
                </m:sSub>
              </m:oMath>
            </m:oMathPara>
          </w:p>
        </w:tc>
        <w:tc>
          <w:tcPr>
            <w:tcW w:w="1180" w:type="dxa"/>
            <w:vMerge w:val="restart"/>
            <w:tcBorders>
              <w:top w:val="single" w:sz="8" w:space="0" w:color="auto"/>
              <w:left w:val="none" w:sz="4" w:space="0" w:color="000000"/>
              <w:right w:val="none" w:sz="4" w:space="0" w:color="000000"/>
            </w:tcBorders>
            <w:vAlign w:val="center"/>
          </w:tcPr>
          <w:p w14:paraId="6A9997BD" w14:textId="77777777" w:rsidR="009030FD" w:rsidRDefault="00000000">
            <w:pPr>
              <w:jc w:val="center"/>
              <w:rPr>
                <w:rFonts w:ascii="Arial" w:eastAsia="Aptos" w:hAnsi="Arial" w:cs="Arial"/>
                <w:sz w:val="20"/>
                <w:szCs w:val="20"/>
              </w:rPr>
            </w:pPr>
            <w:r>
              <w:rPr>
                <w:rFonts w:ascii="Arial" w:eastAsia="Aptos" w:hAnsi="Arial" w:cs="Arial"/>
                <w:sz w:val="20"/>
                <w:szCs w:val="20"/>
              </w:rPr>
              <w:t>F</w:t>
            </w:r>
            <w:r>
              <w:rPr>
                <w:rFonts w:ascii="Arial" w:eastAsia="Aptos" w:hAnsi="Arial" w:cs="Arial"/>
                <w:sz w:val="20"/>
                <w:szCs w:val="20"/>
                <w:vertAlign w:val="subscript"/>
              </w:rPr>
              <w:t>2.781,30.587</w:t>
            </w:r>
            <w:r>
              <w:rPr>
                <w:rFonts w:ascii="Arial" w:eastAsia="Aptos" w:hAnsi="Arial" w:cs="Arial"/>
                <w:sz w:val="20"/>
                <w:szCs w:val="20"/>
              </w:rPr>
              <w:t xml:space="preserve"> = 91.624</w:t>
            </w:r>
          </w:p>
        </w:tc>
        <w:tc>
          <w:tcPr>
            <w:tcW w:w="1046" w:type="dxa"/>
            <w:vMerge w:val="restart"/>
            <w:tcBorders>
              <w:top w:val="single" w:sz="8" w:space="0" w:color="auto"/>
              <w:left w:val="none" w:sz="4" w:space="0" w:color="000000"/>
            </w:tcBorders>
            <w:vAlign w:val="center"/>
          </w:tcPr>
          <w:p w14:paraId="215F1151" w14:textId="77777777" w:rsidR="009030FD" w:rsidRDefault="00000000">
            <w:pPr>
              <w:jc w:val="center"/>
              <w:rPr>
                <w:rFonts w:ascii="Arial" w:eastAsia="Aptos" w:hAnsi="Arial" w:cs="Arial"/>
                <w:b/>
                <w:bCs/>
                <w:sz w:val="20"/>
                <w:szCs w:val="20"/>
                <w:vertAlign w:val="superscript"/>
              </w:rPr>
            </w:pPr>
            <w:r>
              <w:rPr>
                <w:rFonts w:ascii="Arial" w:eastAsia="Aptos" w:hAnsi="Arial" w:cs="Arial"/>
                <w:b/>
                <w:bCs/>
                <w:sz w:val="20"/>
                <w:szCs w:val="20"/>
              </w:rPr>
              <w:t>&lt; .001*</w:t>
            </w:r>
          </w:p>
        </w:tc>
        <w:tc>
          <w:tcPr>
            <w:tcW w:w="1503" w:type="dxa"/>
            <w:tcBorders>
              <w:top w:val="single" w:sz="8" w:space="0" w:color="auto"/>
              <w:bottom w:val="none" w:sz="4" w:space="0" w:color="000000"/>
              <w:right w:val="none" w:sz="4" w:space="0" w:color="000000"/>
            </w:tcBorders>
            <w:vAlign w:val="center"/>
          </w:tcPr>
          <w:p w14:paraId="57281A3B" w14:textId="77777777" w:rsidR="009030FD" w:rsidRDefault="00000000">
            <w:pPr>
              <w:jc w:val="center"/>
              <w:rPr>
                <w:rFonts w:ascii="Arial" w:eastAsia="Aptos" w:hAnsi="Arial" w:cs="Arial"/>
                <w:sz w:val="20"/>
                <w:szCs w:val="20"/>
              </w:rPr>
            </w:pPr>
            <w:r>
              <w:rPr>
                <w:rFonts w:ascii="Arial" w:eastAsia="Aptos" w:hAnsi="Arial" w:cs="Arial"/>
                <w:sz w:val="20"/>
                <w:szCs w:val="20"/>
              </w:rPr>
              <w:t>40-100%</w:t>
            </w:r>
          </w:p>
        </w:tc>
        <w:tc>
          <w:tcPr>
            <w:tcW w:w="1417" w:type="dxa"/>
            <w:tcBorders>
              <w:top w:val="single" w:sz="8" w:space="0" w:color="auto"/>
              <w:left w:val="none" w:sz="4" w:space="0" w:color="000000"/>
              <w:bottom w:val="none" w:sz="4" w:space="0" w:color="000000"/>
              <w:right w:val="none" w:sz="4" w:space="0" w:color="000000"/>
            </w:tcBorders>
            <w:vAlign w:val="center"/>
          </w:tcPr>
          <w:p w14:paraId="3883200D"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16.003</w:t>
            </w:r>
          </w:p>
        </w:tc>
        <w:tc>
          <w:tcPr>
            <w:tcW w:w="1276" w:type="dxa"/>
            <w:tcBorders>
              <w:top w:val="single" w:sz="8" w:space="0" w:color="auto"/>
              <w:left w:val="none" w:sz="4" w:space="0" w:color="000000"/>
              <w:bottom w:val="none" w:sz="4" w:space="0" w:color="000000"/>
              <w:right w:val="none" w:sz="4" w:space="0" w:color="000000"/>
            </w:tcBorders>
          </w:tcPr>
          <w:p w14:paraId="19716BAA" w14:textId="77777777" w:rsidR="009030FD" w:rsidRDefault="00000000">
            <w:pPr>
              <w:jc w:val="center"/>
              <w:rPr>
                <w:rFonts w:ascii="Arial" w:eastAsia="Aptos" w:hAnsi="Arial" w:cs="Arial"/>
                <w:sz w:val="20"/>
                <w:szCs w:val="20"/>
              </w:rPr>
            </w:pPr>
            <w:r>
              <w:rPr>
                <w:rFonts w:ascii="Arial" w:eastAsia="Aptos" w:hAnsi="Arial" w:cs="Arial"/>
                <w:sz w:val="20"/>
                <w:szCs w:val="20"/>
              </w:rPr>
              <w:t>4.620</w:t>
            </w:r>
          </w:p>
        </w:tc>
        <w:tc>
          <w:tcPr>
            <w:tcW w:w="992" w:type="dxa"/>
            <w:tcBorders>
              <w:top w:val="single" w:sz="8" w:space="0" w:color="auto"/>
              <w:left w:val="none" w:sz="4" w:space="0" w:color="000000"/>
              <w:bottom w:val="none" w:sz="4" w:space="0" w:color="000000"/>
              <w:right w:val="none" w:sz="4" w:space="0" w:color="000000"/>
            </w:tcBorders>
            <w:vAlign w:val="center"/>
          </w:tcPr>
          <w:p w14:paraId="2F3C238A"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&lt; .001*</w:t>
            </w:r>
          </w:p>
        </w:tc>
      </w:tr>
      <w:tr w:rsidR="009030FD" w14:paraId="054D55D4" w14:textId="77777777">
        <w:trPr>
          <w:trHeight w:val="283"/>
        </w:trPr>
        <w:tc>
          <w:tcPr>
            <w:tcW w:w="1233" w:type="dxa"/>
            <w:vMerge/>
            <w:tcBorders>
              <w:left w:val="none" w:sz="4" w:space="0" w:color="000000"/>
              <w:right w:val="none" w:sz="4" w:space="0" w:color="000000"/>
            </w:tcBorders>
            <w:vAlign w:val="center"/>
          </w:tcPr>
          <w:p w14:paraId="055117FC" w14:textId="77777777" w:rsidR="009030FD" w:rsidRDefault="009030FD">
            <w:pPr>
              <w:jc w:val="center"/>
              <w:rPr>
                <w:rFonts w:ascii="Arial" w:eastAsia="Aptos" w:hAnsi="Arial" w:cs="Arial"/>
                <w:sz w:val="20"/>
                <w:szCs w:val="20"/>
              </w:rPr>
            </w:pPr>
          </w:p>
        </w:tc>
        <w:tc>
          <w:tcPr>
            <w:tcW w:w="1180" w:type="dxa"/>
            <w:vMerge/>
            <w:tcBorders>
              <w:left w:val="none" w:sz="4" w:space="0" w:color="000000"/>
              <w:right w:val="none" w:sz="4" w:space="0" w:color="000000"/>
            </w:tcBorders>
            <w:vAlign w:val="center"/>
          </w:tcPr>
          <w:p w14:paraId="1311C7D6" w14:textId="77777777" w:rsidR="009030FD" w:rsidRDefault="009030FD">
            <w:pPr>
              <w:jc w:val="center"/>
              <w:rPr>
                <w:rFonts w:ascii="Arial" w:eastAsia="Aptos" w:hAnsi="Arial" w:cs="Arial"/>
                <w:sz w:val="20"/>
                <w:szCs w:val="20"/>
              </w:rPr>
            </w:pPr>
          </w:p>
        </w:tc>
        <w:tc>
          <w:tcPr>
            <w:tcW w:w="1046" w:type="dxa"/>
            <w:vMerge/>
            <w:tcBorders>
              <w:left w:val="none" w:sz="4" w:space="0" w:color="000000"/>
            </w:tcBorders>
            <w:vAlign w:val="center"/>
          </w:tcPr>
          <w:p w14:paraId="2C2C1371" w14:textId="77777777" w:rsidR="009030FD" w:rsidRDefault="009030FD">
            <w:pPr>
              <w:jc w:val="center"/>
              <w:rPr>
                <w:rFonts w:ascii="Arial" w:eastAsia="Aptos" w:hAnsi="Arial" w:cs="Arial"/>
                <w:sz w:val="20"/>
                <w:szCs w:val="20"/>
              </w:rPr>
            </w:pPr>
          </w:p>
        </w:tc>
        <w:tc>
          <w:tcPr>
            <w:tcW w:w="1503" w:type="dxa"/>
            <w:tcBorders>
              <w:top w:val="none" w:sz="4" w:space="0" w:color="000000"/>
              <w:bottom w:val="none" w:sz="4" w:space="0" w:color="000000"/>
              <w:right w:val="none" w:sz="4" w:space="0" w:color="000000"/>
            </w:tcBorders>
            <w:vAlign w:val="center"/>
          </w:tcPr>
          <w:p w14:paraId="31F2A075" w14:textId="77777777" w:rsidR="009030FD" w:rsidRDefault="00000000">
            <w:pPr>
              <w:jc w:val="center"/>
              <w:rPr>
                <w:rFonts w:ascii="Arial" w:eastAsia="Aptos" w:hAnsi="Arial" w:cs="Arial"/>
                <w:sz w:val="20"/>
                <w:szCs w:val="20"/>
              </w:rPr>
            </w:pPr>
            <w:r>
              <w:rPr>
                <w:rFonts w:ascii="Arial" w:eastAsia="Aptos" w:hAnsi="Arial" w:cs="Arial"/>
                <w:sz w:val="20"/>
                <w:szCs w:val="20"/>
              </w:rPr>
              <w:t>100-120%</w:t>
            </w:r>
          </w:p>
        </w:tc>
        <w:tc>
          <w:tcPr>
            <w:tcW w:w="1417" w:type="dxa"/>
            <w:tcBorders>
              <w:top w:val="none" w:sz="4" w:space="0" w:color="000000"/>
              <w:left w:val="none" w:sz="4" w:space="0" w:color="000000"/>
              <w:bottom w:val="none" w:sz="4" w:space="0" w:color="000000"/>
              <w:right w:val="none" w:sz="4" w:space="0" w:color="000000"/>
            </w:tcBorders>
            <w:vAlign w:val="center"/>
          </w:tcPr>
          <w:p w14:paraId="44026A24"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-2.591</w:t>
            </w:r>
          </w:p>
        </w:tc>
        <w:tc>
          <w:tcPr>
            <w:tcW w:w="1276" w:type="dxa"/>
            <w:tcBorders>
              <w:top w:val="none" w:sz="4" w:space="0" w:color="000000"/>
              <w:left w:val="none" w:sz="4" w:space="0" w:color="000000"/>
              <w:bottom w:val="none" w:sz="4" w:space="0" w:color="000000"/>
              <w:right w:val="none" w:sz="4" w:space="0" w:color="000000"/>
            </w:tcBorders>
          </w:tcPr>
          <w:p w14:paraId="2BAEC56A" w14:textId="77777777" w:rsidR="009030FD" w:rsidRDefault="00000000">
            <w:pPr>
              <w:jc w:val="center"/>
              <w:rPr>
                <w:rFonts w:ascii="Arial" w:eastAsia="Aptos" w:hAnsi="Arial" w:cs="Arial"/>
                <w:sz w:val="20"/>
                <w:szCs w:val="20"/>
              </w:rPr>
            </w:pPr>
            <w:r>
              <w:rPr>
                <w:rFonts w:ascii="Arial" w:eastAsia="Aptos" w:hAnsi="Arial" w:cs="Arial"/>
                <w:sz w:val="20"/>
                <w:szCs w:val="20"/>
              </w:rPr>
              <w:t>-0.748</w:t>
            </w:r>
          </w:p>
        </w:tc>
        <w:tc>
          <w:tcPr>
            <w:tcW w:w="992" w:type="dxa"/>
            <w:tcBorders>
              <w:top w:val="none" w:sz="4" w:space="0" w:color="000000"/>
              <w:left w:val="none" w:sz="4" w:space="0" w:color="000000"/>
              <w:bottom w:val="none" w:sz="4" w:space="0" w:color="000000"/>
              <w:right w:val="none" w:sz="4" w:space="0" w:color="000000"/>
            </w:tcBorders>
            <w:vAlign w:val="center"/>
          </w:tcPr>
          <w:p w14:paraId="6AD84148"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0.025</w:t>
            </w:r>
            <w:r>
              <w:rPr>
                <w:rFonts w:ascii="Arial" w:eastAsia="Aptos" w:hAnsi="Arial" w:cs="Arial"/>
                <w:b/>
                <w:bCs/>
                <w:sz w:val="20"/>
                <w:szCs w:val="20"/>
                <w:vertAlign w:val="superscript"/>
              </w:rPr>
              <w:t>†</w:t>
            </w:r>
          </w:p>
        </w:tc>
      </w:tr>
      <w:tr w:rsidR="009030FD" w14:paraId="1EF24BCD" w14:textId="77777777">
        <w:trPr>
          <w:trHeight w:val="283"/>
        </w:trPr>
        <w:tc>
          <w:tcPr>
            <w:tcW w:w="1233" w:type="dxa"/>
            <w:vMerge/>
            <w:tcBorders>
              <w:left w:val="none" w:sz="4" w:space="0" w:color="000000"/>
              <w:right w:val="none" w:sz="4" w:space="0" w:color="000000"/>
            </w:tcBorders>
            <w:vAlign w:val="center"/>
          </w:tcPr>
          <w:p w14:paraId="02E2646F" w14:textId="77777777" w:rsidR="009030FD" w:rsidRDefault="009030FD">
            <w:pPr>
              <w:jc w:val="center"/>
              <w:rPr>
                <w:rFonts w:ascii="Arial" w:eastAsia="Aptos" w:hAnsi="Arial" w:cs="Arial"/>
                <w:sz w:val="20"/>
                <w:szCs w:val="20"/>
              </w:rPr>
            </w:pPr>
          </w:p>
        </w:tc>
        <w:tc>
          <w:tcPr>
            <w:tcW w:w="1180" w:type="dxa"/>
            <w:vMerge/>
            <w:tcBorders>
              <w:left w:val="none" w:sz="4" w:space="0" w:color="000000"/>
              <w:right w:val="none" w:sz="4" w:space="0" w:color="000000"/>
            </w:tcBorders>
            <w:vAlign w:val="center"/>
          </w:tcPr>
          <w:p w14:paraId="4233B590" w14:textId="77777777" w:rsidR="009030FD" w:rsidRDefault="009030FD">
            <w:pPr>
              <w:jc w:val="center"/>
              <w:rPr>
                <w:rFonts w:ascii="Arial" w:eastAsia="Aptos" w:hAnsi="Arial" w:cs="Arial"/>
                <w:sz w:val="20"/>
                <w:szCs w:val="20"/>
              </w:rPr>
            </w:pPr>
          </w:p>
        </w:tc>
        <w:tc>
          <w:tcPr>
            <w:tcW w:w="1046" w:type="dxa"/>
            <w:vMerge/>
            <w:tcBorders>
              <w:left w:val="none" w:sz="4" w:space="0" w:color="000000"/>
            </w:tcBorders>
            <w:vAlign w:val="center"/>
          </w:tcPr>
          <w:p w14:paraId="54C93AD7" w14:textId="77777777" w:rsidR="009030FD" w:rsidRDefault="009030FD">
            <w:pPr>
              <w:jc w:val="center"/>
              <w:rPr>
                <w:rFonts w:ascii="Arial" w:eastAsia="Aptos" w:hAnsi="Arial" w:cs="Arial"/>
                <w:sz w:val="20"/>
                <w:szCs w:val="20"/>
              </w:rPr>
            </w:pPr>
          </w:p>
        </w:tc>
        <w:tc>
          <w:tcPr>
            <w:tcW w:w="1503" w:type="dxa"/>
            <w:tcBorders>
              <w:top w:val="none" w:sz="4" w:space="0" w:color="000000"/>
              <w:right w:val="none" w:sz="4" w:space="0" w:color="000000"/>
            </w:tcBorders>
            <w:vAlign w:val="center"/>
          </w:tcPr>
          <w:p w14:paraId="46E33FAB" w14:textId="77777777" w:rsidR="009030FD" w:rsidRDefault="00000000">
            <w:pPr>
              <w:jc w:val="center"/>
              <w:rPr>
                <w:rFonts w:ascii="Arial" w:eastAsia="Aptos" w:hAnsi="Arial" w:cs="Arial"/>
                <w:sz w:val="20"/>
                <w:szCs w:val="20"/>
              </w:rPr>
            </w:pPr>
            <w:r>
              <w:rPr>
                <w:rFonts w:ascii="Arial" w:eastAsia="Aptos" w:hAnsi="Arial" w:cs="Arial"/>
                <w:sz w:val="20"/>
                <w:szCs w:val="20"/>
              </w:rPr>
              <w:t>100-140%</w:t>
            </w:r>
          </w:p>
        </w:tc>
        <w:tc>
          <w:tcPr>
            <w:tcW w:w="1417" w:type="dxa"/>
            <w:tcBorders>
              <w:top w:val="none" w:sz="4" w:space="0" w:color="000000"/>
              <w:left w:val="none" w:sz="4" w:space="0" w:color="000000"/>
              <w:right w:val="none" w:sz="4" w:space="0" w:color="000000"/>
            </w:tcBorders>
            <w:vAlign w:val="center"/>
          </w:tcPr>
          <w:p w14:paraId="170E5CBD"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-4.442</w:t>
            </w:r>
          </w:p>
        </w:tc>
        <w:tc>
          <w:tcPr>
            <w:tcW w:w="1276" w:type="dxa"/>
            <w:tcBorders>
              <w:top w:val="none" w:sz="4" w:space="0" w:color="000000"/>
              <w:left w:val="none" w:sz="4" w:space="0" w:color="000000"/>
              <w:right w:val="none" w:sz="4" w:space="0" w:color="000000"/>
            </w:tcBorders>
          </w:tcPr>
          <w:p w14:paraId="1D087B6E" w14:textId="77777777" w:rsidR="009030FD" w:rsidRDefault="00000000">
            <w:pPr>
              <w:jc w:val="center"/>
              <w:rPr>
                <w:rFonts w:ascii="Arial" w:eastAsia="Aptos" w:hAnsi="Arial" w:cs="Arial"/>
                <w:sz w:val="20"/>
                <w:szCs w:val="20"/>
              </w:rPr>
            </w:pPr>
            <w:r>
              <w:rPr>
                <w:rFonts w:ascii="Arial" w:eastAsia="Aptos" w:hAnsi="Arial" w:cs="Arial"/>
                <w:sz w:val="20"/>
                <w:szCs w:val="20"/>
              </w:rPr>
              <w:t>-1.282</w:t>
            </w:r>
          </w:p>
        </w:tc>
        <w:tc>
          <w:tcPr>
            <w:tcW w:w="992" w:type="dxa"/>
            <w:tcBorders>
              <w:top w:val="none" w:sz="4" w:space="0" w:color="000000"/>
              <w:left w:val="none" w:sz="4" w:space="0" w:color="000000"/>
              <w:right w:val="none" w:sz="4" w:space="0" w:color="000000"/>
            </w:tcBorders>
            <w:vAlign w:val="center"/>
          </w:tcPr>
          <w:p w14:paraId="6973EA59" w14:textId="77777777" w:rsidR="009030FD" w:rsidRDefault="00000000">
            <w:pPr>
              <w:jc w:val="center"/>
              <w:rPr>
                <w:rFonts w:ascii="Arial" w:eastAsia="Aptos" w:hAnsi="Arial" w:cs="Arial"/>
                <w:sz w:val="20"/>
                <w:szCs w:val="20"/>
              </w:rPr>
            </w:pPr>
            <w:r>
              <w:rPr>
                <w:rFonts w:ascii="Arial" w:eastAsia="Aptos" w:hAnsi="Arial" w:cs="Arial"/>
                <w:b/>
                <w:bCs/>
                <w:sz w:val="20"/>
                <w:szCs w:val="20"/>
              </w:rPr>
              <w:t>&lt; .001</w:t>
            </w:r>
            <w:r>
              <w:rPr>
                <w:rFonts w:ascii="Arial" w:eastAsia="Aptos" w:hAnsi="Arial" w:cs="Arial"/>
                <w:b/>
                <w:bCs/>
                <w:sz w:val="20"/>
                <w:szCs w:val="20"/>
                <w:vertAlign w:val="superscript"/>
              </w:rPr>
              <w:t>†</w:t>
            </w:r>
          </w:p>
        </w:tc>
      </w:tr>
      <w:tr w:rsidR="009030FD" w14:paraId="1CB2BA47" w14:textId="77777777">
        <w:trPr>
          <w:trHeight w:val="283"/>
        </w:trPr>
        <w:tc>
          <w:tcPr>
            <w:tcW w:w="1233" w:type="dxa"/>
            <w:vMerge w:val="restart"/>
            <w:tcBorders>
              <w:top w:val="single" w:sz="8" w:space="0" w:color="auto"/>
              <w:left w:val="none" w:sz="4" w:space="0" w:color="000000"/>
              <w:right w:val="none" w:sz="4" w:space="0" w:color="000000"/>
            </w:tcBorders>
            <w:vAlign w:val="center"/>
          </w:tcPr>
          <w:p w14:paraId="5052A76D" w14:textId="77777777" w:rsidR="009030FD" w:rsidRDefault="00000000">
            <w:pPr>
              <w:jc w:val="center"/>
              <w:rPr>
                <w:rFonts w:ascii="Arial" w:eastAsia="Aptos" w:hAnsi="Arial" w:cs="Arial"/>
                <w:sz w:val="20"/>
                <w:szCs w:val="20"/>
              </w:rPr>
            </w:pPr>
            <m:oMathPara>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r>
                  <w:rPr>
                    <w:rFonts w:ascii="Cambria Math" w:eastAsia="Cambria" w:hAnsi="Cambria Math" w:cs="Times New Roman"/>
                    <w:sz w:val="24"/>
                    <w:szCs w:val="24"/>
                    <w14:ligatures w14:val="none"/>
                  </w:rPr>
                  <m:t xml:space="preserve"> </m:t>
                </m:r>
                <m:sSub>
                  <m:sSubPr>
                    <m:ctrlPr>
                      <w:rPr>
                        <w:rFonts w:ascii="Cambria Math" w:hAnsi="Cambria Math"/>
                      </w:rPr>
                    </m:ctrlPr>
                  </m:sSubPr>
                  <m:e>
                    <m:r>
                      <w:rPr>
                        <w:rFonts w:ascii="Cambria Math" w:eastAsia="Cambria" w:hAnsi="Cambria Math" w:cs="Times New Roman"/>
                        <w:sz w:val="24"/>
                        <w:szCs w:val="24"/>
                        <w14:ligatures w14:val="none"/>
                      </w:rPr>
                      <m:t>a</m:t>
                    </m:r>
                  </m:e>
                  <m:sub>
                    <m:r>
                      <w:rPr>
                        <w:rFonts w:ascii="Cambria Math" w:eastAsia="Cambria" w:hAnsi="Cambria Math" w:cs="Times New Roman"/>
                        <w:sz w:val="24"/>
                        <w:szCs w:val="24"/>
                        <w14:ligatures w14:val="none"/>
                      </w:rPr>
                      <m:t>ML</m:t>
                    </m:r>
                  </m:sub>
                </m:sSub>
              </m:oMath>
            </m:oMathPara>
          </w:p>
        </w:tc>
        <w:tc>
          <w:tcPr>
            <w:tcW w:w="1180" w:type="dxa"/>
            <w:vMerge w:val="restart"/>
            <w:tcBorders>
              <w:top w:val="single" w:sz="8" w:space="0" w:color="auto"/>
              <w:left w:val="none" w:sz="4" w:space="0" w:color="000000"/>
              <w:right w:val="none" w:sz="4" w:space="0" w:color="000000"/>
            </w:tcBorders>
            <w:vAlign w:val="center"/>
          </w:tcPr>
          <w:p w14:paraId="58BE8DA1" w14:textId="77777777" w:rsidR="009030FD" w:rsidRDefault="00000000">
            <w:pPr>
              <w:jc w:val="center"/>
              <w:rPr>
                <w:rFonts w:ascii="Arial" w:eastAsia="Aptos" w:hAnsi="Arial" w:cs="Arial"/>
                <w:sz w:val="20"/>
                <w:szCs w:val="20"/>
              </w:rPr>
            </w:pPr>
            <w:r>
              <w:rPr>
                <w:rFonts w:ascii="Arial" w:eastAsia="Aptos" w:hAnsi="Arial" w:cs="Arial"/>
                <w:sz w:val="20"/>
                <w:szCs w:val="20"/>
              </w:rPr>
              <w:t>F</w:t>
            </w:r>
            <w:r>
              <w:rPr>
                <w:rFonts w:ascii="Arial" w:eastAsia="Aptos" w:hAnsi="Arial" w:cs="Arial"/>
                <w:sz w:val="20"/>
                <w:szCs w:val="20"/>
                <w:vertAlign w:val="subscript"/>
              </w:rPr>
              <w:t>2.097,22.063</w:t>
            </w:r>
            <w:r>
              <w:rPr>
                <w:rFonts w:ascii="Arial" w:eastAsia="Aptos" w:hAnsi="Arial" w:cs="Arial"/>
                <w:sz w:val="20"/>
                <w:szCs w:val="20"/>
              </w:rPr>
              <w:t xml:space="preserve"> = 6.329</w:t>
            </w:r>
          </w:p>
        </w:tc>
        <w:tc>
          <w:tcPr>
            <w:tcW w:w="1046" w:type="dxa"/>
            <w:vMerge w:val="restart"/>
            <w:tcBorders>
              <w:top w:val="single" w:sz="8" w:space="0" w:color="auto"/>
              <w:left w:val="none" w:sz="4" w:space="0" w:color="000000"/>
            </w:tcBorders>
            <w:vAlign w:val="center"/>
          </w:tcPr>
          <w:p w14:paraId="214C4E27"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0.006*</w:t>
            </w:r>
          </w:p>
        </w:tc>
        <w:tc>
          <w:tcPr>
            <w:tcW w:w="1503" w:type="dxa"/>
            <w:tcBorders>
              <w:top w:val="single" w:sz="8" w:space="0" w:color="auto"/>
              <w:bottom w:val="none" w:sz="4" w:space="0" w:color="000000"/>
              <w:right w:val="none" w:sz="4" w:space="0" w:color="000000"/>
            </w:tcBorders>
            <w:vAlign w:val="center"/>
          </w:tcPr>
          <w:p w14:paraId="075F00E5" w14:textId="77777777" w:rsidR="009030FD" w:rsidRDefault="00000000">
            <w:pPr>
              <w:jc w:val="center"/>
              <w:rPr>
                <w:rFonts w:ascii="Arial" w:eastAsia="Aptos" w:hAnsi="Arial" w:cs="Arial"/>
                <w:sz w:val="20"/>
                <w:szCs w:val="20"/>
              </w:rPr>
            </w:pPr>
            <w:r>
              <w:rPr>
                <w:rFonts w:ascii="Arial" w:eastAsia="Aptos" w:hAnsi="Arial" w:cs="Arial"/>
                <w:sz w:val="20"/>
                <w:szCs w:val="20"/>
              </w:rPr>
              <w:t>40-100%</w:t>
            </w:r>
          </w:p>
        </w:tc>
        <w:tc>
          <w:tcPr>
            <w:tcW w:w="1417" w:type="dxa"/>
            <w:tcBorders>
              <w:top w:val="single" w:sz="8" w:space="0" w:color="auto"/>
              <w:left w:val="none" w:sz="4" w:space="0" w:color="000000"/>
              <w:bottom w:val="none" w:sz="4" w:space="0" w:color="000000"/>
              <w:right w:val="none" w:sz="4" w:space="0" w:color="000000"/>
            </w:tcBorders>
            <w:vAlign w:val="center"/>
          </w:tcPr>
          <w:p w14:paraId="62B1F2AF"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3.176</w:t>
            </w:r>
          </w:p>
        </w:tc>
        <w:tc>
          <w:tcPr>
            <w:tcW w:w="1276" w:type="dxa"/>
            <w:tcBorders>
              <w:top w:val="single" w:sz="8" w:space="0" w:color="auto"/>
              <w:left w:val="none" w:sz="4" w:space="0" w:color="000000"/>
              <w:bottom w:val="none" w:sz="4" w:space="0" w:color="000000"/>
              <w:right w:val="none" w:sz="4" w:space="0" w:color="000000"/>
            </w:tcBorders>
          </w:tcPr>
          <w:p w14:paraId="5FB804D4" w14:textId="77777777" w:rsidR="009030FD" w:rsidRDefault="00000000">
            <w:pPr>
              <w:jc w:val="center"/>
              <w:rPr>
                <w:rFonts w:ascii="Arial" w:eastAsia="Aptos" w:hAnsi="Arial" w:cs="Arial"/>
                <w:sz w:val="20"/>
                <w:szCs w:val="20"/>
              </w:rPr>
            </w:pPr>
            <w:r>
              <w:rPr>
                <w:rFonts w:ascii="Arial" w:eastAsia="Aptos" w:hAnsi="Arial" w:cs="Arial"/>
                <w:sz w:val="20"/>
                <w:szCs w:val="20"/>
              </w:rPr>
              <w:t>0.917</w:t>
            </w:r>
          </w:p>
        </w:tc>
        <w:tc>
          <w:tcPr>
            <w:tcW w:w="992" w:type="dxa"/>
            <w:tcBorders>
              <w:top w:val="single" w:sz="8" w:space="0" w:color="auto"/>
              <w:left w:val="none" w:sz="4" w:space="0" w:color="000000"/>
              <w:bottom w:val="none" w:sz="4" w:space="0" w:color="000000"/>
              <w:right w:val="none" w:sz="4" w:space="0" w:color="000000"/>
            </w:tcBorders>
            <w:vAlign w:val="center"/>
          </w:tcPr>
          <w:p w14:paraId="319E3061"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0.012*</w:t>
            </w:r>
          </w:p>
        </w:tc>
      </w:tr>
      <w:tr w:rsidR="009030FD" w14:paraId="2A7144EC" w14:textId="77777777">
        <w:trPr>
          <w:trHeight w:val="283"/>
        </w:trPr>
        <w:tc>
          <w:tcPr>
            <w:tcW w:w="1233" w:type="dxa"/>
            <w:vMerge/>
            <w:tcBorders>
              <w:left w:val="none" w:sz="4" w:space="0" w:color="000000"/>
              <w:right w:val="none" w:sz="4" w:space="0" w:color="000000"/>
            </w:tcBorders>
            <w:vAlign w:val="center"/>
          </w:tcPr>
          <w:p w14:paraId="0FA102BF" w14:textId="77777777" w:rsidR="009030FD" w:rsidRDefault="009030FD">
            <w:pPr>
              <w:jc w:val="center"/>
              <w:rPr>
                <w:rFonts w:ascii="Arial" w:eastAsia="Aptos" w:hAnsi="Arial" w:cs="Arial"/>
                <w:sz w:val="20"/>
                <w:szCs w:val="20"/>
              </w:rPr>
            </w:pPr>
          </w:p>
        </w:tc>
        <w:tc>
          <w:tcPr>
            <w:tcW w:w="1180" w:type="dxa"/>
            <w:vMerge/>
            <w:tcBorders>
              <w:left w:val="none" w:sz="4" w:space="0" w:color="000000"/>
              <w:right w:val="none" w:sz="4" w:space="0" w:color="000000"/>
            </w:tcBorders>
            <w:vAlign w:val="center"/>
          </w:tcPr>
          <w:p w14:paraId="2EF321C5" w14:textId="77777777" w:rsidR="009030FD" w:rsidRDefault="009030FD">
            <w:pPr>
              <w:jc w:val="center"/>
              <w:rPr>
                <w:rFonts w:ascii="Arial" w:eastAsia="Aptos" w:hAnsi="Arial" w:cs="Arial"/>
                <w:sz w:val="20"/>
                <w:szCs w:val="20"/>
              </w:rPr>
            </w:pPr>
          </w:p>
        </w:tc>
        <w:tc>
          <w:tcPr>
            <w:tcW w:w="1046" w:type="dxa"/>
            <w:vMerge/>
            <w:tcBorders>
              <w:left w:val="none" w:sz="4" w:space="0" w:color="000000"/>
            </w:tcBorders>
            <w:vAlign w:val="center"/>
          </w:tcPr>
          <w:p w14:paraId="406347E0" w14:textId="77777777" w:rsidR="009030FD" w:rsidRDefault="009030FD">
            <w:pPr>
              <w:jc w:val="center"/>
              <w:rPr>
                <w:rFonts w:ascii="Arial" w:eastAsia="Aptos" w:hAnsi="Arial" w:cs="Arial"/>
                <w:sz w:val="20"/>
                <w:szCs w:val="20"/>
              </w:rPr>
            </w:pPr>
          </w:p>
        </w:tc>
        <w:tc>
          <w:tcPr>
            <w:tcW w:w="1503" w:type="dxa"/>
            <w:tcBorders>
              <w:top w:val="none" w:sz="4" w:space="0" w:color="000000"/>
              <w:bottom w:val="none" w:sz="4" w:space="0" w:color="000000"/>
              <w:right w:val="none" w:sz="4" w:space="0" w:color="000000"/>
            </w:tcBorders>
            <w:vAlign w:val="center"/>
          </w:tcPr>
          <w:p w14:paraId="3BC936E4" w14:textId="77777777" w:rsidR="009030FD" w:rsidRDefault="00000000">
            <w:pPr>
              <w:jc w:val="center"/>
              <w:rPr>
                <w:rFonts w:ascii="Arial" w:eastAsia="Aptos" w:hAnsi="Arial" w:cs="Arial"/>
                <w:sz w:val="20"/>
                <w:szCs w:val="20"/>
              </w:rPr>
            </w:pPr>
            <w:r>
              <w:rPr>
                <w:rFonts w:ascii="Arial" w:eastAsia="Aptos" w:hAnsi="Arial" w:cs="Arial"/>
                <w:sz w:val="20"/>
                <w:szCs w:val="20"/>
              </w:rPr>
              <w:t>100-120%</w:t>
            </w:r>
          </w:p>
        </w:tc>
        <w:tc>
          <w:tcPr>
            <w:tcW w:w="1417" w:type="dxa"/>
            <w:tcBorders>
              <w:top w:val="none" w:sz="4" w:space="0" w:color="000000"/>
              <w:left w:val="none" w:sz="4" w:space="0" w:color="000000"/>
              <w:bottom w:val="none" w:sz="4" w:space="0" w:color="000000"/>
              <w:right w:val="none" w:sz="4" w:space="0" w:color="000000"/>
            </w:tcBorders>
            <w:vAlign w:val="center"/>
          </w:tcPr>
          <w:p w14:paraId="314B8C7D"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-3.405</w:t>
            </w:r>
          </w:p>
        </w:tc>
        <w:tc>
          <w:tcPr>
            <w:tcW w:w="1276" w:type="dxa"/>
            <w:tcBorders>
              <w:top w:val="none" w:sz="4" w:space="0" w:color="000000"/>
              <w:left w:val="none" w:sz="4" w:space="0" w:color="000000"/>
              <w:bottom w:val="none" w:sz="4" w:space="0" w:color="000000"/>
              <w:right w:val="none" w:sz="4" w:space="0" w:color="000000"/>
            </w:tcBorders>
          </w:tcPr>
          <w:p w14:paraId="3A597213" w14:textId="77777777" w:rsidR="009030FD" w:rsidRDefault="00000000">
            <w:pPr>
              <w:jc w:val="center"/>
              <w:rPr>
                <w:rFonts w:ascii="Arial" w:eastAsia="Aptos" w:hAnsi="Arial" w:cs="Arial"/>
                <w:sz w:val="20"/>
                <w:szCs w:val="20"/>
              </w:rPr>
            </w:pPr>
            <w:r>
              <w:rPr>
                <w:rFonts w:ascii="Arial" w:eastAsia="Aptos" w:hAnsi="Arial" w:cs="Arial"/>
                <w:sz w:val="20"/>
                <w:szCs w:val="20"/>
              </w:rPr>
              <w:t>-0.983</w:t>
            </w:r>
          </w:p>
        </w:tc>
        <w:tc>
          <w:tcPr>
            <w:tcW w:w="992" w:type="dxa"/>
            <w:tcBorders>
              <w:top w:val="none" w:sz="4" w:space="0" w:color="000000"/>
              <w:left w:val="none" w:sz="4" w:space="0" w:color="000000"/>
              <w:bottom w:val="none" w:sz="4" w:space="0" w:color="000000"/>
              <w:right w:val="none" w:sz="4" w:space="0" w:color="000000"/>
            </w:tcBorders>
            <w:vAlign w:val="center"/>
          </w:tcPr>
          <w:p w14:paraId="147A1481"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0.012</w:t>
            </w:r>
            <w:r>
              <w:rPr>
                <w:rFonts w:ascii="Arial" w:eastAsia="Aptos" w:hAnsi="Arial" w:cs="Arial"/>
                <w:b/>
                <w:bCs/>
                <w:sz w:val="20"/>
                <w:szCs w:val="20"/>
                <w:vertAlign w:val="superscript"/>
              </w:rPr>
              <w:t>†</w:t>
            </w:r>
          </w:p>
        </w:tc>
      </w:tr>
      <w:tr w:rsidR="009030FD" w14:paraId="5F075127" w14:textId="77777777">
        <w:trPr>
          <w:trHeight w:val="283"/>
        </w:trPr>
        <w:tc>
          <w:tcPr>
            <w:tcW w:w="1233" w:type="dxa"/>
            <w:vMerge/>
            <w:tcBorders>
              <w:left w:val="none" w:sz="4" w:space="0" w:color="000000"/>
              <w:bottom w:val="single" w:sz="6" w:space="0" w:color="auto"/>
              <w:right w:val="none" w:sz="4" w:space="0" w:color="000000"/>
            </w:tcBorders>
            <w:vAlign w:val="center"/>
          </w:tcPr>
          <w:p w14:paraId="566DE414" w14:textId="77777777" w:rsidR="009030FD" w:rsidRDefault="009030FD">
            <w:pPr>
              <w:jc w:val="center"/>
              <w:rPr>
                <w:rFonts w:ascii="Arial" w:eastAsia="Aptos" w:hAnsi="Arial" w:cs="Arial"/>
                <w:sz w:val="20"/>
                <w:szCs w:val="20"/>
              </w:rPr>
            </w:pPr>
          </w:p>
        </w:tc>
        <w:tc>
          <w:tcPr>
            <w:tcW w:w="1180" w:type="dxa"/>
            <w:vMerge/>
            <w:tcBorders>
              <w:left w:val="none" w:sz="4" w:space="0" w:color="000000"/>
              <w:bottom w:val="single" w:sz="6" w:space="0" w:color="auto"/>
              <w:right w:val="none" w:sz="4" w:space="0" w:color="000000"/>
            </w:tcBorders>
            <w:vAlign w:val="center"/>
          </w:tcPr>
          <w:p w14:paraId="50D3C502" w14:textId="77777777" w:rsidR="009030FD" w:rsidRDefault="009030FD">
            <w:pPr>
              <w:jc w:val="center"/>
              <w:rPr>
                <w:rFonts w:ascii="Arial" w:eastAsia="Aptos" w:hAnsi="Arial" w:cs="Arial"/>
                <w:sz w:val="20"/>
                <w:szCs w:val="20"/>
              </w:rPr>
            </w:pPr>
          </w:p>
        </w:tc>
        <w:tc>
          <w:tcPr>
            <w:tcW w:w="1046" w:type="dxa"/>
            <w:vMerge/>
            <w:tcBorders>
              <w:left w:val="none" w:sz="4" w:space="0" w:color="000000"/>
              <w:bottom w:val="single" w:sz="6" w:space="0" w:color="auto"/>
            </w:tcBorders>
            <w:vAlign w:val="center"/>
          </w:tcPr>
          <w:p w14:paraId="6739AD39" w14:textId="77777777" w:rsidR="009030FD" w:rsidRDefault="009030FD">
            <w:pPr>
              <w:jc w:val="center"/>
              <w:rPr>
                <w:rFonts w:ascii="Arial" w:eastAsia="Aptos" w:hAnsi="Arial" w:cs="Arial"/>
                <w:sz w:val="20"/>
                <w:szCs w:val="20"/>
              </w:rPr>
            </w:pPr>
          </w:p>
        </w:tc>
        <w:tc>
          <w:tcPr>
            <w:tcW w:w="1503" w:type="dxa"/>
            <w:tcBorders>
              <w:top w:val="none" w:sz="4" w:space="0" w:color="000000"/>
              <w:bottom w:val="single" w:sz="6" w:space="0" w:color="auto"/>
              <w:right w:val="none" w:sz="4" w:space="0" w:color="000000"/>
            </w:tcBorders>
            <w:vAlign w:val="center"/>
          </w:tcPr>
          <w:p w14:paraId="2AB75932" w14:textId="77777777" w:rsidR="009030FD" w:rsidRDefault="00000000">
            <w:pPr>
              <w:jc w:val="center"/>
              <w:rPr>
                <w:rFonts w:ascii="Arial" w:eastAsia="Aptos" w:hAnsi="Arial" w:cs="Arial"/>
                <w:sz w:val="20"/>
                <w:szCs w:val="20"/>
              </w:rPr>
            </w:pPr>
            <w:r>
              <w:rPr>
                <w:rFonts w:ascii="Arial" w:eastAsia="Aptos" w:hAnsi="Arial" w:cs="Arial"/>
                <w:sz w:val="20"/>
                <w:szCs w:val="20"/>
              </w:rPr>
              <w:t>100-140%</w:t>
            </w:r>
          </w:p>
        </w:tc>
        <w:tc>
          <w:tcPr>
            <w:tcW w:w="1417" w:type="dxa"/>
            <w:tcBorders>
              <w:top w:val="none" w:sz="4" w:space="0" w:color="000000"/>
              <w:left w:val="none" w:sz="4" w:space="0" w:color="000000"/>
              <w:bottom w:val="single" w:sz="6" w:space="0" w:color="auto"/>
              <w:right w:val="none" w:sz="4" w:space="0" w:color="000000"/>
            </w:tcBorders>
            <w:vAlign w:val="center"/>
          </w:tcPr>
          <w:p w14:paraId="56E5A5CF"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-3.084</w:t>
            </w:r>
          </w:p>
        </w:tc>
        <w:tc>
          <w:tcPr>
            <w:tcW w:w="1276" w:type="dxa"/>
            <w:tcBorders>
              <w:top w:val="none" w:sz="4" w:space="0" w:color="000000"/>
              <w:left w:val="none" w:sz="4" w:space="0" w:color="000000"/>
              <w:bottom w:val="single" w:sz="6" w:space="0" w:color="auto"/>
              <w:right w:val="none" w:sz="4" w:space="0" w:color="000000"/>
            </w:tcBorders>
          </w:tcPr>
          <w:p w14:paraId="4316DD73" w14:textId="77777777" w:rsidR="009030FD" w:rsidRDefault="00000000">
            <w:pPr>
              <w:jc w:val="center"/>
              <w:rPr>
                <w:rFonts w:ascii="Arial" w:eastAsia="Aptos" w:hAnsi="Arial" w:cs="Arial"/>
                <w:sz w:val="20"/>
                <w:szCs w:val="20"/>
              </w:rPr>
            </w:pPr>
            <w:r>
              <w:rPr>
                <w:rFonts w:ascii="Arial" w:eastAsia="Aptos" w:hAnsi="Arial" w:cs="Arial"/>
                <w:sz w:val="20"/>
                <w:szCs w:val="20"/>
              </w:rPr>
              <w:t>-0.890</w:t>
            </w:r>
          </w:p>
        </w:tc>
        <w:tc>
          <w:tcPr>
            <w:tcW w:w="992" w:type="dxa"/>
            <w:tcBorders>
              <w:top w:val="none" w:sz="4" w:space="0" w:color="000000"/>
              <w:left w:val="none" w:sz="4" w:space="0" w:color="000000"/>
              <w:bottom w:val="single" w:sz="6" w:space="0" w:color="auto"/>
              <w:right w:val="none" w:sz="4" w:space="0" w:color="000000"/>
            </w:tcBorders>
            <w:vAlign w:val="center"/>
          </w:tcPr>
          <w:p w14:paraId="5F3A6A27"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0.010</w:t>
            </w:r>
            <w:r>
              <w:rPr>
                <w:rFonts w:ascii="Arial" w:eastAsia="Aptos" w:hAnsi="Arial" w:cs="Arial"/>
                <w:b/>
                <w:bCs/>
                <w:sz w:val="20"/>
                <w:szCs w:val="20"/>
                <w:vertAlign w:val="superscript"/>
              </w:rPr>
              <w:t>†</w:t>
            </w:r>
          </w:p>
        </w:tc>
      </w:tr>
      <w:tr w:rsidR="009030FD" w14:paraId="1BD64DA2" w14:textId="77777777">
        <w:trPr>
          <w:trHeight w:val="283"/>
        </w:trPr>
        <w:tc>
          <w:tcPr>
            <w:tcW w:w="1233" w:type="dxa"/>
            <w:vMerge w:val="restart"/>
            <w:tcBorders>
              <w:top w:val="single" w:sz="8" w:space="0" w:color="auto"/>
              <w:left w:val="none" w:sz="4" w:space="0" w:color="000000"/>
              <w:right w:val="none" w:sz="4" w:space="0" w:color="000000"/>
            </w:tcBorders>
            <w:vAlign w:val="center"/>
          </w:tcPr>
          <w:p w14:paraId="36C13017" w14:textId="77777777" w:rsidR="009030FD" w:rsidRDefault="00000000">
            <w:pPr>
              <w:jc w:val="center"/>
              <w:rPr>
                <w:rFonts w:ascii="Arial" w:eastAsia="Aptos" w:hAnsi="Arial" w:cs="Arial"/>
                <w:sz w:val="20"/>
                <w:szCs w:val="20"/>
              </w:rPr>
            </w:pPr>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hAnsi="Cambria Math"/>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NET</m:t>
                  </m:r>
                </m:sub>
              </m:sSub>
            </m:oMath>
            <w:r>
              <w:rPr>
                <w:rFonts w:ascii="Times New Roman" w:eastAsia="Cambria" w:hAnsi="Times New Roman" w:cs="Times New Roman"/>
                <w:sz w:val="24"/>
                <w:szCs w:val="24"/>
                <w14:ligatures w14:val="none"/>
              </w:rPr>
              <w:t xml:space="preserve"> </w:t>
            </w:r>
          </w:p>
        </w:tc>
        <w:tc>
          <w:tcPr>
            <w:tcW w:w="1180" w:type="dxa"/>
            <w:vMerge w:val="restart"/>
            <w:tcBorders>
              <w:top w:val="single" w:sz="8" w:space="0" w:color="auto"/>
              <w:left w:val="none" w:sz="4" w:space="0" w:color="000000"/>
              <w:right w:val="none" w:sz="4" w:space="0" w:color="000000"/>
            </w:tcBorders>
            <w:vAlign w:val="center"/>
          </w:tcPr>
          <w:p w14:paraId="020ACF59" w14:textId="77777777" w:rsidR="009030FD" w:rsidRDefault="00000000">
            <w:pPr>
              <w:jc w:val="center"/>
              <w:rPr>
                <w:rFonts w:ascii="Arial" w:eastAsia="Aptos" w:hAnsi="Arial" w:cs="Arial"/>
                <w:sz w:val="20"/>
                <w:szCs w:val="20"/>
              </w:rPr>
            </w:pPr>
            <w:r>
              <w:rPr>
                <w:rFonts w:ascii="Arial" w:eastAsia="Aptos" w:hAnsi="Arial" w:cs="Arial"/>
                <w:sz w:val="20"/>
                <w:szCs w:val="20"/>
              </w:rPr>
              <w:t>F</w:t>
            </w:r>
            <w:r>
              <w:rPr>
                <w:rFonts w:ascii="Arial" w:eastAsia="Aptos" w:hAnsi="Arial" w:cs="Arial"/>
                <w:sz w:val="20"/>
                <w:szCs w:val="20"/>
                <w:vertAlign w:val="subscript"/>
              </w:rPr>
              <w:t>5,55</w:t>
            </w:r>
            <w:r>
              <w:rPr>
                <w:rFonts w:ascii="Arial" w:eastAsia="Aptos" w:hAnsi="Arial" w:cs="Arial"/>
                <w:sz w:val="20"/>
                <w:szCs w:val="20"/>
              </w:rPr>
              <w:t xml:space="preserve"> = 21.230</w:t>
            </w:r>
          </w:p>
        </w:tc>
        <w:tc>
          <w:tcPr>
            <w:tcW w:w="1046" w:type="dxa"/>
            <w:vMerge w:val="restart"/>
            <w:tcBorders>
              <w:top w:val="single" w:sz="8" w:space="0" w:color="auto"/>
              <w:left w:val="none" w:sz="4" w:space="0" w:color="000000"/>
            </w:tcBorders>
            <w:vAlign w:val="center"/>
          </w:tcPr>
          <w:p w14:paraId="73C12CFF"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&lt; .001*</w:t>
            </w:r>
          </w:p>
        </w:tc>
        <w:tc>
          <w:tcPr>
            <w:tcW w:w="1503" w:type="dxa"/>
            <w:tcBorders>
              <w:top w:val="single" w:sz="8" w:space="0" w:color="auto"/>
              <w:bottom w:val="none" w:sz="4" w:space="0" w:color="000000"/>
              <w:right w:val="none" w:sz="4" w:space="0" w:color="000000"/>
            </w:tcBorders>
            <w:vAlign w:val="center"/>
          </w:tcPr>
          <w:p w14:paraId="54E81E29" w14:textId="77777777" w:rsidR="009030FD" w:rsidRDefault="00000000">
            <w:pPr>
              <w:jc w:val="center"/>
              <w:rPr>
                <w:rFonts w:ascii="Arial" w:eastAsia="Aptos" w:hAnsi="Arial" w:cs="Arial"/>
                <w:sz w:val="20"/>
                <w:szCs w:val="20"/>
              </w:rPr>
            </w:pPr>
            <w:r>
              <w:rPr>
                <w:rFonts w:ascii="Arial" w:eastAsia="Aptos" w:hAnsi="Arial" w:cs="Arial"/>
                <w:sz w:val="20"/>
                <w:szCs w:val="20"/>
              </w:rPr>
              <w:t>40-100%</w:t>
            </w:r>
          </w:p>
        </w:tc>
        <w:tc>
          <w:tcPr>
            <w:tcW w:w="1417" w:type="dxa"/>
            <w:tcBorders>
              <w:top w:val="single" w:sz="8" w:space="0" w:color="auto"/>
              <w:left w:val="none" w:sz="4" w:space="0" w:color="000000"/>
              <w:bottom w:val="none" w:sz="4" w:space="0" w:color="000000"/>
              <w:right w:val="none" w:sz="4" w:space="0" w:color="000000"/>
            </w:tcBorders>
            <w:vAlign w:val="center"/>
          </w:tcPr>
          <w:p w14:paraId="67D9EE79"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7.426</w:t>
            </w:r>
          </w:p>
        </w:tc>
        <w:tc>
          <w:tcPr>
            <w:tcW w:w="1276" w:type="dxa"/>
            <w:tcBorders>
              <w:top w:val="single" w:sz="8" w:space="0" w:color="auto"/>
              <w:left w:val="none" w:sz="4" w:space="0" w:color="000000"/>
              <w:bottom w:val="none" w:sz="4" w:space="0" w:color="000000"/>
              <w:right w:val="none" w:sz="4" w:space="0" w:color="000000"/>
            </w:tcBorders>
          </w:tcPr>
          <w:p w14:paraId="2E9E8128" w14:textId="77777777" w:rsidR="009030FD" w:rsidRDefault="00000000">
            <w:pPr>
              <w:jc w:val="center"/>
              <w:rPr>
                <w:rFonts w:ascii="Arial" w:eastAsia="Aptos" w:hAnsi="Arial" w:cs="Arial"/>
                <w:sz w:val="20"/>
                <w:szCs w:val="20"/>
              </w:rPr>
            </w:pPr>
            <w:r>
              <w:rPr>
                <w:rFonts w:ascii="Arial" w:eastAsia="Aptos" w:hAnsi="Arial" w:cs="Arial"/>
                <w:sz w:val="20"/>
                <w:szCs w:val="20"/>
              </w:rPr>
              <w:t>2.144</w:t>
            </w:r>
          </w:p>
        </w:tc>
        <w:tc>
          <w:tcPr>
            <w:tcW w:w="992" w:type="dxa"/>
            <w:tcBorders>
              <w:top w:val="single" w:sz="8" w:space="0" w:color="auto"/>
              <w:left w:val="none" w:sz="4" w:space="0" w:color="000000"/>
              <w:bottom w:val="none" w:sz="4" w:space="0" w:color="000000"/>
              <w:right w:val="none" w:sz="4" w:space="0" w:color="000000"/>
            </w:tcBorders>
            <w:vAlign w:val="center"/>
          </w:tcPr>
          <w:p w14:paraId="11CDB646"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&lt; .001*</w:t>
            </w:r>
          </w:p>
        </w:tc>
      </w:tr>
      <w:tr w:rsidR="009030FD" w14:paraId="66532424" w14:textId="77777777">
        <w:trPr>
          <w:trHeight w:val="283"/>
        </w:trPr>
        <w:tc>
          <w:tcPr>
            <w:tcW w:w="1233" w:type="dxa"/>
            <w:vMerge/>
            <w:tcBorders>
              <w:left w:val="none" w:sz="4" w:space="0" w:color="000000"/>
              <w:right w:val="none" w:sz="4" w:space="0" w:color="000000"/>
            </w:tcBorders>
            <w:vAlign w:val="center"/>
          </w:tcPr>
          <w:p w14:paraId="076D0E28" w14:textId="77777777" w:rsidR="009030FD" w:rsidRDefault="009030FD">
            <w:pPr>
              <w:jc w:val="center"/>
              <w:rPr>
                <w:rFonts w:ascii="Arial" w:eastAsia="Aptos" w:hAnsi="Arial" w:cs="Arial"/>
                <w:sz w:val="20"/>
                <w:szCs w:val="20"/>
              </w:rPr>
            </w:pPr>
          </w:p>
        </w:tc>
        <w:tc>
          <w:tcPr>
            <w:tcW w:w="1180" w:type="dxa"/>
            <w:vMerge/>
            <w:tcBorders>
              <w:left w:val="none" w:sz="4" w:space="0" w:color="000000"/>
              <w:right w:val="none" w:sz="4" w:space="0" w:color="000000"/>
            </w:tcBorders>
            <w:vAlign w:val="center"/>
          </w:tcPr>
          <w:p w14:paraId="7DC4C0E3" w14:textId="77777777" w:rsidR="009030FD" w:rsidRDefault="009030FD">
            <w:pPr>
              <w:jc w:val="center"/>
              <w:rPr>
                <w:rFonts w:ascii="Arial" w:eastAsia="Aptos" w:hAnsi="Arial" w:cs="Arial"/>
                <w:sz w:val="20"/>
                <w:szCs w:val="20"/>
              </w:rPr>
            </w:pPr>
          </w:p>
        </w:tc>
        <w:tc>
          <w:tcPr>
            <w:tcW w:w="1046" w:type="dxa"/>
            <w:vMerge/>
            <w:tcBorders>
              <w:left w:val="none" w:sz="4" w:space="0" w:color="000000"/>
            </w:tcBorders>
            <w:vAlign w:val="center"/>
          </w:tcPr>
          <w:p w14:paraId="0028B2B0" w14:textId="77777777" w:rsidR="009030FD" w:rsidRDefault="009030FD">
            <w:pPr>
              <w:jc w:val="center"/>
              <w:rPr>
                <w:rFonts w:ascii="Arial" w:eastAsia="Aptos" w:hAnsi="Arial" w:cs="Arial"/>
                <w:sz w:val="20"/>
                <w:szCs w:val="20"/>
              </w:rPr>
            </w:pPr>
          </w:p>
        </w:tc>
        <w:tc>
          <w:tcPr>
            <w:tcW w:w="1503" w:type="dxa"/>
            <w:tcBorders>
              <w:top w:val="none" w:sz="4" w:space="0" w:color="000000"/>
              <w:bottom w:val="none" w:sz="4" w:space="0" w:color="000000"/>
              <w:right w:val="none" w:sz="4" w:space="0" w:color="000000"/>
            </w:tcBorders>
            <w:vAlign w:val="center"/>
          </w:tcPr>
          <w:p w14:paraId="345BC4E8" w14:textId="77777777" w:rsidR="009030FD" w:rsidRDefault="00000000">
            <w:pPr>
              <w:jc w:val="center"/>
              <w:rPr>
                <w:rFonts w:ascii="Arial" w:eastAsia="Aptos" w:hAnsi="Arial" w:cs="Arial"/>
                <w:sz w:val="20"/>
                <w:szCs w:val="20"/>
              </w:rPr>
            </w:pPr>
            <w:r>
              <w:rPr>
                <w:rFonts w:ascii="Arial" w:eastAsia="Aptos" w:hAnsi="Arial" w:cs="Arial"/>
                <w:sz w:val="20"/>
                <w:szCs w:val="20"/>
              </w:rPr>
              <w:t>100-120%</w:t>
            </w:r>
          </w:p>
        </w:tc>
        <w:tc>
          <w:tcPr>
            <w:tcW w:w="1417" w:type="dxa"/>
            <w:tcBorders>
              <w:top w:val="none" w:sz="4" w:space="0" w:color="000000"/>
              <w:left w:val="none" w:sz="4" w:space="0" w:color="000000"/>
              <w:bottom w:val="none" w:sz="4" w:space="0" w:color="000000"/>
              <w:right w:val="none" w:sz="4" w:space="0" w:color="000000"/>
            </w:tcBorders>
            <w:vAlign w:val="center"/>
          </w:tcPr>
          <w:p w14:paraId="3F9DD040"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-0.050</w:t>
            </w:r>
          </w:p>
        </w:tc>
        <w:tc>
          <w:tcPr>
            <w:tcW w:w="1276" w:type="dxa"/>
            <w:tcBorders>
              <w:top w:val="none" w:sz="4" w:space="0" w:color="000000"/>
              <w:left w:val="none" w:sz="4" w:space="0" w:color="000000"/>
              <w:bottom w:val="none" w:sz="4" w:space="0" w:color="000000"/>
              <w:right w:val="none" w:sz="4" w:space="0" w:color="000000"/>
            </w:tcBorders>
          </w:tcPr>
          <w:p w14:paraId="244AF28E" w14:textId="77777777" w:rsidR="009030FD" w:rsidRDefault="00000000">
            <w:pPr>
              <w:jc w:val="center"/>
              <w:rPr>
                <w:rFonts w:ascii="Arial" w:eastAsia="Aptos" w:hAnsi="Arial" w:cs="Arial"/>
                <w:sz w:val="20"/>
                <w:szCs w:val="20"/>
              </w:rPr>
            </w:pPr>
            <w:r>
              <w:rPr>
                <w:rFonts w:ascii="Arial" w:eastAsia="Aptos" w:hAnsi="Arial" w:cs="Arial"/>
                <w:sz w:val="20"/>
                <w:szCs w:val="20"/>
              </w:rPr>
              <w:t>-0.015</w:t>
            </w:r>
          </w:p>
        </w:tc>
        <w:tc>
          <w:tcPr>
            <w:tcW w:w="992" w:type="dxa"/>
            <w:tcBorders>
              <w:top w:val="none" w:sz="4" w:space="0" w:color="000000"/>
              <w:left w:val="none" w:sz="4" w:space="0" w:color="000000"/>
              <w:bottom w:val="none" w:sz="4" w:space="0" w:color="000000"/>
              <w:right w:val="none" w:sz="4" w:space="0" w:color="000000"/>
            </w:tcBorders>
            <w:vAlign w:val="center"/>
          </w:tcPr>
          <w:p w14:paraId="6A47FA1D" w14:textId="77777777" w:rsidR="009030FD" w:rsidRDefault="00000000">
            <w:pPr>
              <w:jc w:val="center"/>
              <w:rPr>
                <w:rFonts w:ascii="Arial" w:eastAsia="Aptos" w:hAnsi="Arial" w:cs="Arial"/>
                <w:sz w:val="20"/>
                <w:szCs w:val="20"/>
              </w:rPr>
            </w:pPr>
            <w:r>
              <w:rPr>
                <w:rFonts w:ascii="Arial" w:eastAsia="Aptos" w:hAnsi="Arial" w:cs="Arial"/>
                <w:sz w:val="20"/>
                <w:szCs w:val="20"/>
              </w:rPr>
              <w:t>0.961</w:t>
            </w:r>
          </w:p>
        </w:tc>
      </w:tr>
      <w:tr w:rsidR="009030FD" w14:paraId="532E1F14" w14:textId="77777777">
        <w:trPr>
          <w:trHeight w:val="283"/>
        </w:trPr>
        <w:tc>
          <w:tcPr>
            <w:tcW w:w="1233" w:type="dxa"/>
            <w:vMerge/>
            <w:tcBorders>
              <w:left w:val="none" w:sz="4" w:space="0" w:color="000000"/>
              <w:bottom w:val="single" w:sz="6" w:space="0" w:color="auto"/>
              <w:right w:val="none" w:sz="4" w:space="0" w:color="000000"/>
            </w:tcBorders>
            <w:vAlign w:val="center"/>
          </w:tcPr>
          <w:p w14:paraId="1E9E71B7" w14:textId="77777777" w:rsidR="009030FD" w:rsidRDefault="009030FD">
            <w:pPr>
              <w:jc w:val="center"/>
              <w:rPr>
                <w:rFonts w:ascii="Arial" w:eastAsia="Aptos" w:hAnsi="Arial" w:cs="Arial"/>
                <w:sz w:val="20"/>
                <w:szCs w:val="20"/>
              </w:rPr>
            </w:pPr>
          </w:p>
        </w:tc>
        <w:tc>
          <w:tcPr>
            <w:tcW w:w="1180" w:type="dxa"/>
            <w:vMerge/>
            <w:tcBorders>
              <w:left w:val="none" w:sz="4" w:space="0" w:color="000000"/>
              <w:bottom w:val="single" w:sz="6" w:space="0" w:color="auto"/>
              <w:right w:val="none" w:sz="4" w:space="0" w:color="000000"/>
            </w:tcBorders>
            <w:vAlign w:val="center"/>
          </w:tcPr>
          <w:p w14:paraId="3F7D3DE4" w14:textId="77777777" w:rsidR="009030FD" w:rsidRDefault="009030FD">
            <w:pPr>
              <w:jc w:val="center"/>
              <w:rPr>
                <w:rFonts w:ascii="Arial" w:eastAsia="Aptos" w:hAnsi="Arial" w:cs="Arial"/>
                <w:sz w:val="20"/>
                <w:szCs w:val="20"/>
              </w:rPr>
            </w:pPr>
          </w:p>
        </w:tc>
        <w:tc>
          <w:tcPr>
            <w:tcW w:w="1046" w:type="dxa"/>
            <w:vMerge/>
            <w:tcBorders>
              <w:left w:val="none" w:sz="4" w:space="0" w:color="000000"/>
              <w:bottom w:val="single" w:sz="6" w:space="0" w:color="auto"/>
            </w:tcBorders>
            <w:vAlign w:val="center"/>
          </w:tcPr>
          <w:p w14:paraId="42BC2773" w14:textId="77777777" w:rsidR="009030FD" w:rsidRDefault="009030FD">
            <w:pPr>
              <w:jc w:val="center"/>
              <w:rPr>
                <w:rFonts w:ascii="Arial" w:eastAsia="Aptos" w:hAnsi="Arial" w:cs="Arial"/>
                <w:sz w:val="20"/>
                <w:szCs w:val="20"/>
              </w:rPr>
            </w:pPr>
          </w:p>
        </w:tc>
        <w:tc>
          <w:tcPr>
            <w:tcW w:w="1503" w:type="dxa"/>
            <w:tcBorders>
              <w:top w:val="none" w:sz="4" w:space="0" w:color="000000"/>
              <w:bottom w:val="single" w:sz="6" w:space="0" w:color="auto"/>
              <w:right w:val="none" w:sz="4" w:space="0" w:color="000000"/>
            </w:tcBorders>
            <w:vAlign w:val="center"/>
          </w:tcPr>
          <w:p w14:paraId="47423587" w14:textId="77777777" w:rsidR="009030FD" w:rsidRDefault="00000000">
            <w:pPr>
              <w:jc w:val="center"/>
              <w:rPr>
                <w:rFonts w:ascii="Arial" w:eastAsia="Aptos" w:hAnsi="Arial" w:cs="Arial"/>
                <w:sz w:val="20"/>
                <w:szCs w:val="20"/>
              </w:rPr>
            </w:pPr>
            <w:r>
              <w:rPr>
                <w:rFonts w:ascii="Arial" w:eastAsia="Aptos" w:hAnsi="Arial" w:cs="Arial"/>
                <w:sz w:val="20"/>
                <w:szCs w:val="20"/>
              </w:rPr>
              <w:t>100-140%</w:t>
            </w:r>
          </w:p>
        </w:tc>
        <w:tc>
          <w:tcPr>
            <w:tcW w:w="1417" w:type="dxa"/>
            <w:tcBorders>
              <w:top w:val="none" w:sz="4" w:space="0" w:color="000000"/>
              <w:left w:val="none" w:sz="4" w:space="0" w:color="000000"/>
              <w:bottom w:val="single" w:sz="6" w:space="0" w:color="auto"/>
              <w:right w:val="none" w:sz="4" w:space="0" w:color="000000"/>
            </w:tcBorders>
            <w:vAlign w:val="center"/>
          </w:tcPr>
          <w:p w14:paraId="520C5236"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-1.127</w:t>
            </w:r>
          </w:p>
        </w:tc>
        <w:tc>
          <w:tcPr>
            <w:tcW w:w="1276" w:type="dxa"/>
            <w:tcBorders>
              <w:top w:val="none" w:sz="4" w:space="0" w:color="000000"/>
              <w:left w:val="none" w:sz="4" w:space="0" w:color="000000"/>
              <w:bottom w:val="single" w:sz="6" w:space="0" w:color="auto"/>
              <w:right w:val="none" w:sz="4" w:space="0" w:color="000000"/>
            </w:tcBorders>
          </w:tcPr>
          <w:p w14:paraId="3DBAB71C" w14:textId="77777777" w:rsidR="009030FD" w:rsidRDefault="00000000">
            <w:pPr>
              <w:jc w:val="center"/>
              <w:rPr>
                <w:rFonts w:ascii="Arial" w:eastAsia="Aptos" w:hAnsi="Arial" w:cs="Arial"/>
                <w:sz w:val="20"/>
                <w:szCs w:val="20"/>
              </w:rPr>
            </w:pPr>
            <w:r>
              <w:rPr>
                <w:rFonts w:ascii="Arial" w:eastAsia="Aptos" w:hAnsi="Arial" w:cs="Arial"/>
                <w:sz w:val="20"/>
                <w:szCs w:val="20"/>
              </w:rPr>
              <w:t>-0.325</w:t>
            </w:r>
          </w:p>
        </w:tc>
        <w:tc>
          <w:tcPr>
            <w:tcW w:w="992" w:type="dxa"/>
            <w:tcBorders>
              <w:top w:val="none" w:sz="4" w:space="0" w:color="000000"/>
              <w:left w:val="none" w:sz="4" w:space="0" w:color="000000"/>
              <w:bottom w:val="single" w:sz="6" w:space="0" w:color="auto"/>
              <w:right w:val="none" w:sz="4" w:space="0" w:color="000000"/>
            </w:tcBorders>
            <w:vAlign w:val="center"/>
          </w:tcPr>
          <w:p w14:paraId="3F0F90AD" w14:textId="77777777" w:rsidR="009030FD" w:rsidRDefault="00000000">
            <w:pPr>
              <w:jc w:val="center"/>
              <w:rPr>
                <w:rFonts w:ascii="Arial" w:eastAsia="Aptos" w:hAnsi="Arial" w:cs="Arial"/>
                <w:sz w:val="20"/>
                <w:szCs w:val="20"/>
              </w:rPr>
            </w:pPr>
            <w:r>
              <w:rPr>
                <w:rFonts w:ascii="Arial" w:eastAsia="Aptos" w:hAnsi="Arial" w:cs="Arial"/>
                <w:sz w:val="20"/>
                <w:szCs w:val="20"/>
              </w:rPr>
              <w:t>0.568</w:t>
            </w:r>
          </w:p>
        </w:tc>
      </w:tr>
      <w:tr w:rsidR="009030FD" w14:paraId="311EC289" w14:textId="77777777">
        <w:trPr>
          <w:trHeight w:val="283"/>
        </w:trPr>
        <w:tc>
          <w:tcPr>
            <w:tcW w:w="1233" w:type="dxa"/>
            <w:vMerge w:val="restart"/>
            <w:tcBorders>
              <w:top w:val="single" w:sz="8" w:space="0" w:color="auto"/>
              <w:left w:val="none" w:sz="4" w:space="0" w:color="000000"/>
              <w:right w:val="none" w:sz="4" w:space="0" w:color="000000"/>
            </w:tcBorders>
            <w:vAlign w:val="center"/>
          </w:tcPr>
          <w:p w14:paraId="2B6B2120" w14:textId="77777777" w:rsidR="009030FD" w:rsidRDefault="00000000">
            <w:pPr>
              <w:jc w:val="center"/>
              <w:rPr>
                <w:rFonts w:ascii="Arial" w:eastAsia="Aptos" w:hAnsi="Arial" w:cs="Arial"/>
                <w:sz w:val="20"/>
                <w:szCs w:val="20"/>
              </w:rPr>
            </w:pPr>
            <m:oMath>
              <m:sSub>
                <m:sSubPr>
                  <m:ctrlPr>
                    <w:rPr>
                      <w:rFonts w:ascii="Cambria Math" w:hAnsi="Cambria Math"/>
                    </w:rPr>
                  </m:ctrlPr>
                </m:sSubPr>
                <m:e>
                  <m:r>
                    <w:rPr>
                      <w:rFonts w:ascii="Cambria Math" w:eastAsia="Cambria" w:hAnsi="Cambria Math" w:cs="Times New Roman"/>
                      <w:sz w:val="24"/>
                      <w:szCs w:val="24"/>
                      <w14:ligatures w14:val="none"/>
                    </w:rPr>
                    <m:t>V</m:t>
                  </m:r>
                </m:e>
                <m:sub>
                  <m:r>
                    <w:rPr>
                      <w:rFonts w:ascii="Cambria Math" w:eastAsia="Cambria" w:hAnsi="Cambria Math" w:cs="Times New Roman"/>
                      <w:sz w:val="24"/>
                      <w:szCs w:val="24"/>
                      <w14:ligatures w14:val="none"/>
                    </w:rPr>
                    <m:t>res</m:t>
                  </m:r>
                </m:sub>
              </m:sSub>
            </m:oMath>
            <w:r>
              <w:rPr>
                <w:rFonts w:ascii="Times New Roman" w:eastAsia="Cambria" w:hAnsi="Times New Roman" w:cs="Times New Roman"/>
                <w:sz w:val="24"/>
                <w:szCs w:val="24"/>
                <w14:ligatures w14:val="none"/>
              </w:rPr>
              <w:t xml:space="preserve"> </w:t>
            </w:r>
            <m:oMath>
              <m:sSub>
                <m:sSubPr>
                  <m:ctrlPr>
                    <w:rPr>
                      <w:rFonts w:ascii="Cambria Math" w:hAnsi="Cambria Math"/>
                    </w:rPr>
                  </m:ctrlPr>
                </m:sSubPr>
                <m:e>
                  <m:r>
                    <w:rPr>
                      <w:rFonts w:ascii="Cambria Math" w:eastAsia="Cambria" w:hAnsi="Cambria Math" w:cs="Times New Roman"/>
                      <w:sz w:val="24"/>
                      <w:szCs w:val="24"/>
                      <w14:ligatures w14:val="none"/>
                    </w:rPr>
                    <m:t>ω</m:t>
                  </m:r>
                </m:e>
                <m:sub>
                  <m:r>
                    <w:rPr>
                      <w:rFonts w:ascii="Cambria Math" w:eastAsia="Cambria" w:hAnsi="Cambria Math" w:cs="Times New Roman"/>
                      <w:sz w:val="24"/>
                      <w:szCs w:val="24"/>
                      <w14:ligatures w14:val="none"/>
                    </w:rPr>
                    <m:t>roll</m:t>
                  </m:r>
                </m:sub>
              </m:sSub>
            </m:oMath>
            <w:r>
              <w:rPr>
                <w:rFonts w:ascii="Times New Roman" w:eastAsia="Cambria" w:hAnsi="Times New Roman" w:cs="Times New Roman"/>
                <w:sz w:val="24"/>
                <w:szCs w:val="24"/>
                <w14:ligatures w14:val="none"/>
              </w:rPr>
              <w:t xml:space="preserve"> </w:t>
            </w:r>
          </w:p>
        </w:tc>
        <w:tc>
          <w:tcPr>
            <w:tcW w:w="1180" w:type="dxa"/>
            <w:vMerge w:val="restart"/>
            <w:tcBorders>
              <w:top w:val="single" w:sz="8" w:space="0" w:color="auto"/>
              <w:left w:val="none" w:sz="4" w:space="0" w:color="000000"/>
              <w:right w:val="none" w:sz="4" w:space="0" w:color="000000"/>
            </w:tcBorders>
            <w:vAlign w:val="center"/>
          </w:tcPr>
          <w:p w14:paraId="0F19E1D1" w14:textId="77777777" w:rsidR="009030FD" w:rsidRDefault="00000000">
            <w:pPr>
              <w:jc w:val="center"/>
              <w:rPr>
                <w:rFonts w:ascii="Arial" w:eastAsia="Aptos" w:hAnsi="Arial" w:cs="Arial"/>
                <w:sz w:val="20"/>
                <w:szCs w:val="20"/>
              </w:rPr>
            </w:pPr>
            <w:r>
              <w:rPr>
                <w:rFonts w:ascii="Arial" w:eastAsia="Aptos" w:hAnsi="Arial" w:cs="Arial"/>
                <w:sz w:val="20"/>
                <w:szCs w:val="20"/>
              </w:rPr>
              <w:t>F</w:t>
            </w:r>
            <w:r>
              <w:rPr>
                <w:rFonts w:ascii="Arial" w:eastAsia="Aptos" w:hAnsi="Arial" w:cs="Arial"/>
                <w:sz w:val="20"/>
                <w:szCs w:val="20"/>
                <w:vertAlign w:val="subscript"/>
              </w:rPr>
              <w:t>2.128,23.407</w:t>
            </w:r>
            <w:r>
              <w:rPr>
                <w:rFonts w:ascii="Arial" w:eastAsia="Aptos" w:hAnsi="Arial" w:cs="Arial"/>
                <w:sz w:val="20"/>
                <w:szCs w:val="20"/>
              </w:rPr>
              <w:t xml:space="preserve"> = 9.102</w:t>
            </w:r>
          </w:p>
        </w:tc>
        <w:tc>
          <w:tcPr>
            <w:tcW w:w="1046" w:type="dxa"/>
            <w:vMerge w:val="restart"/>
            <w:tcBorders>
              <w:top w:val="single" w:sz="8" w:space="0" w:color="auto"/>
              <w:left w:val="none" w:sz="4" w:space="0" w:color="000000"/>
            </w:tcBorders>
            <w:vAlign w:val="center"/>
          </w:tcPr>
          <w:p w14:paraId="6EF8C339"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0.001*</w:t>
            </w:r>
          </w:p>
        </w:tc>
        <w:tc>
          <w:tcPr>
            <w:tcW w:w="1503" w:type="dxa"/>
            <w:tcBorders>
              <w:top w:val="single" w:sz="8" w:space="0" w:color="auto"/>
              <w:bottom w:val="none" w:sz="4" w:space="0" w:color="000000"/>
              <w:right w:val="none" w:sz="4" w:space="0" w:color="000000"/>
            </w:tcBorders>
            <w:vAlign w:val="center"/>
          </w:tcPr>
          <w:p w14:paraId="586659AB" w14:textId="77777777" w:rsidR="009030FD" w:rsidRDefault="00000000">
            <w:pPr>
              <w:jc w:val="center"/>
              <w:rPr>
                <w:rFonts w:ascii="Arial" w:eastAsia="Aptos" w:hAnsi="Arial" w:cs="Arial"/>
                <w:sz w:val="20"/>
                <w:szCs w:val="20"/>
              </w:rPr>
            </w:pPr>
            <w:r>
              <w:rPr>
                <w:rFonts w:ascii="Arial" w:eastAsia="Aptos" w:hAnsi="Arial" w:cs="Arial"/>
                <w:sz w:val="20"/>
                <w:szCs w:val="20"/>
              </w:rPr>
              <w:t>40-100%</w:t>
            </w:r>
          </w:p>
        </w:tc>
        <w:tc>
          <w:tcPr>
            <w:tcW w:w="1417" w:type="dxa"/>
            <w:tcBorders>
              <w:top w:val="single" w:sz="8" w:space="0" w:color="auto"/>
              <w:left w:val="none" w:sz="4" w:space="0" w:color="000000"/>
              <w:bottom w:val="none" w:sz="4" w:space="0" w:color="000000"/>
              <w:right w:val="none" w:sz="4" w:space="0" w:color="000000"/>
            </w:tcBorders>
            <w:vAlign w:val="center"/>
          </w:tcPr>
          <w:p w14:paraId="698AC79D"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4.887</w:t>
            </w:r>
          </w:p>
        </w:tc>
        <w:tc>
          <w:tcPr>
            <w:tcW w:w="1276" w:type="dxa"/>
            <w:tcBorders>
              <w:top w:val="single" w:sz="8" w:space="0" w:color="auto"/>
              <w:left w:val="none" w:sz="4" w:space="0" w:color="000000"/>
              <w:bottom w:val="none" w:sz="4" w:space="0" w:color="000000"/>
              <w:right w:val="none" w:sz="4" w:space="0" w:color="000000"/>
            </w:tcBorders>
          </w:tcPr>
          <w:p w14:paraId="0C18D1B7" w14:textId="77777777" w:rsidR="009030FD" w:rsidRDefault="00000000">
            <w:pPr>
              <w:jc w:val="center"/>
              <w:rPr>
                <w:rFonts w:ascii="Arial" w:eastAsia="Aptos" w:hAnsi="Arial" w:cs="Arial"/>
                <w:sz w:val="20"/>
                <w:szCs w:val="20"/>
              </w:rPr>
            </w:pPr>
            <w:r>
              <w:rPr>
                <w:rFonts w:ascii="Arial" w:eastAsia="Aptos" w:hAnsi="Arial" w:cs="Arial"/>
                <w:sz w:val="20"/>
                <w:szCs w:val="20"/>
              </w:rPr>
              <w:t>1.411</w:t>
            </w:r>
          </w:p>
        </w:tc>
        <w:tc>
          <w:tcPr>
            <w:tcW w:w="992" w:type="dxa"/>
            <w:tcBorders>
              <w:top w:val="single" w:sz="8" w:space="0" w:color="auto"/>
              <w:left w:val="none" w:sz="4" w:space="0" w:color="000000"/>
              <w:bottom w:val="none" w:sz="4" w:space="0" w:color="000000"/>
              <w:right w:val="none" w:sz="4" w:space="0" w:color="000000"/>
            </w:tcBorders>
            <w:vAlign w:val="center"/>
          </w:tcPr>
          <w:p w14:paraId="2F3220BD" w14:textId="77777777" w:rsidR="009030FD" w:rsidRDefault="00000000">
            <w:pPr>
              <w:jc w:val="center"/>
              <w:rPr>
                <w:rFonts w:ascii="Arial" w:eastAsia="Aptos" w:hAnsi="Arial" w:cs="Arial"/>
                <w:b/>
                <w:bCs/>
                <w:sz w:val="20"/>
                <w:szCs w:val="20"/>
              </w:rPr>
            </w:pPr>
            <w:r>
              <w:rPr>
                <w:rFonts w:ascii="Arial" w:eastAsia="Aptos" w:hAnsi="Arial" w:cs="Arial"/>
                <w:b/>
                <w:bCs/>
                <w:sz w:val="20"/>
                <w:szCs w:val="20"/>
              </w:rPr>
              <w:t>&lt; .001*</w:t>
            </w:r>
          </w:p>
        </w:tc>
      </w:tr>
      <w:tr w:rsidR="009030FD" w14:paraId="225FA8F7" w14:textId="77777777">
        <w:trPr>
          <w:trHeight w:val="283"/>
        </w:trPr>
        <w:tc>
          <w:tcPr>
            <w:tcW w:w="1233" w:type="dxa"/>
            <w:vMerge/>
            <w:tcBorders>
              <w:left w:val="none" w:sz="4" w:space="0" w:color="000000"/>
              <w:right w:val="none" w:sz="4" w:space="0" w:color="000000"/>
            </w:tcBorders>
            <w:vAlign w:val="center"/>
          </w:tcPr>
          <w:p w14:paraId="0419CD60" w14:textId="77777777" w:rsidR="009030FD" w:rsidRDefault="009030FD">
            <w:pPr>
              <w:jc w:val="center"/>
              <w:rPr>
                <w:rFonts w:ascii="Arial" w:eastAsia="Aptos" w:hAnsi="Arial" w:cs="Arial"/>
                <w:sz w:val="20"/>
                <w:szCs w:val="20"/>
              </w:rPr>
            </w:pPr>
          </w:p>
        </w:tc>
        <w:tc>
          <w:tcPr>
            <w:tcW w:w="1180" w:type="dxa"/>
            <w:vMerge/>
            <w:tcBorders>
              <w:left w:val="none" w:sz="4" w:space="0" w:color="000000"/>
              <w:right w:val="none" w:sz="4" w:space="0" w:color="000000"/>
            </w:tcBorders>
            <w:vAlign w:val="center"/>
          </w:tcPr>
          <w:p w14:paraId="6CE899EA" w14:textId="77777777" w:rsidR="009030FD" w:rsidRDefault="009030FD">
            <w:pPr>
              <w:jc w:val="center"/>
              <w:rPr>
                <w:rFonts w:ascii="Arial" w:eastAsia="Aptos" w:hAnsi="Arial" w:cs="Arial"/>
                <w:sz w:val="20"/>
                <w:szCs w:val="20"/>
              </w:rPr>
            </w:pPr>
          </w:p>
        </w:tc>
        <w:tc>
          <w:tcPr>
            <w:tcW w:w="1046" w:type="dxa"/>
            <w:vMerge/>
            <w:tcBorders>
              <w:left w:val="none" w:sz="4" w:space="0" w:color="000000"/>
            </w:tcBorders>
            <w:vAlign w:val="center"/>
          </w:tcPr>
          <w:p w14:paraId="32658F22" w14:textId="77777777" w:rsidR="009030FD" w:rsidRDefault="009030FD">
            <w:pPr>
              <w:jc w:val="center"/>
              <w:rPr>
                <w:rFonts w:ascii="Arial" w:eastAsia="Aptos" w:hAnsi="Arial" w:cs="Arial"/>
                <w:sz w:val="20"/>
                <w:szCs w:val="20"/>
              </w:rPr>
            </w:pPr>
          </w:p>
        </w:tc>
        <w:tc>
          <w:tcPr>
            <w:tcW w:w="1503" w:type="dxa"/>
            <w:tcBorders>
              <w:top w:val="none" w:sz="4" w:space="0" w:color="000000"/>
              <w:bottom w:val="none" w:sz="4" w:space="0" w:color="000000"/>
              <w:right w:val="none" w:sz="4" w:space="0" w:color="000000"/>
            </w:tcBorders>
            <w:vAlign w:val="center"/>
          </w:tcPr>
          <w:p w14:paraId="7D30DF31" w14:textId="77777777" w:rsidR="009030FD" w:rsidRDefault="00000000">
            <w:pPr>
              <w:jc w:val="center"/>
              <w:rPr>
                <w:rFonts w:ascii="Arial" w:eastAsia="Aptos" w:hAnsi="Arial" w:cs="Arial"/>
                <w:sz w:val="20"/>
                <w:szCs w:val="20"/>
              </w:rPr>
            </w:pPr>
            <w:r>
              <w:rPr>
                <w:rFonts w:ascii="Arial" w:eastAsia="Aptos" w:hAnsi="Arial" w:cs="Arial"/>
                <w:sz w:val="20"/>
                <w:szCs w:val="20"/>
              </w:rPr>
              <w:t>100-120%</w:t>
            </w:r>
          </w:p>
        </w:tc>
        <w:tc>
          <w:tcPr>
            <w:tcW w:w="1417" w:type="dxa"/>
            <w:tcBorders>
              <w:top w:val="none" w:sz="4" w:space="0" w:color="000000"/>
              <w:left w:val="none" w:sz="4" w:space="0" w:color="000000"/>
              <w:bottom w:val="none" w:sz="4" w:space="0" w:color="000000"/>
              <w:right w:val="none" w:sz="4" w:space="0" w:color="000000"/>
            </w:tcBorders>
            <w:vAlign w:val="center"/>
          </w:tcPr>
          <w:p w14:paraId="56EF64D1"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0.071</w:t>
            </w:r>
          </w:p>
        </w:tc>
        <w:tc>
          <w:tcPr>
            <w:tcW w:w="1276" w:type="dxa"/>
            <w:tcBorders>
              <w:top w:val="none" w:sz="4" w:space="0" w:color="000000"/>
              <w:left w:val="none" w:sz="4" w:space="0" w:color="000000"/>
              <w:bottom w:val="none" w:sz="4" w:space="0" w:color="000000"/>
              <w:right w:val="none" w:sz="4" w:space="0" w:color="000000"/>
            </w:tcBorders>
          </w:tcPr>
          <w:p w14:paraId="38FB963E" w14:textId="77777777" w:rsidR="009030FD" w:rsidRDefault="00000000">
            <w:pPr>
              <w:jc w:val="center"/>
              <w:rPr>
                <w:rFonts w:ascii="Arial" w:eastAsia="Aptos" w:hAnsi="Arial" w:cs="Arial"/>
                <w:sz w:val="20"/>
                <w:szCs w:val="20"/>
              </w:rPr>
            </w:pPr>
            <w:r>
              <w:rPr>
                <w:rFonts w:ascii="Arial" w:eastAsia="Aptos" w:hAnsi="Arial" w:cs="Arial"/>
                <w:sz w:val="20"/>
                <w:szCs w:val="20"/>
              </w:rPr>
              <w:t>0.020</w:t>
            </w:r>
          </w:p>
        </w:tc>
        <w:tc>
          <w:tcPr>
            <w:tcW w:w="992" w:type="dxa"/>
            <w:tcBorders>
              <w:top w:val="none" w:sz="4" w:space="0" w:color="000000"/>
              <w:left w:val="none" w:sz="4" w:space="0" w:color="000000"/>
              <w:bottom w:val="none" w:sz="4" w:space="0" w:color="000000"/>
              <w:right w:val="none" w:sz="4" w:space="0" w:color="000000"/>
            </w:tcBorders>
            <w:vAlign w:val="center"/>
          </w:tcPr>
          <w:p w14:paraId="26BFAD14" w14:textId="77777777" w:rsidR="009030FD" w:rsidRDefault="00000000">
            <w:pPr>
              <w:jc w:val="center"/>
              <w:rPr>
                <w:rFonts w:ascii="Arial" w:eastAsia="Aptos" w:hAnsi="Arial" w:cs="Arial"/>
                <w:sz w:val="20"/>
                <w:szCs w:val="20"/>
              </w:rPr>
            </w:pPr>
            <w:r>
              <w:rPr>
                <w:rFonts w:ascii="Arial" w:eastAsia="Aptos" w:hAnsi="Arial" w:cs="Arial"/>
                <w:sz w:val="20"/>
                <w:szCs w:val="20"/>
              </w:rPr>
              <w:t>0.945</w:t>
            </w:r>
          </w:p>
        </w:tc>
      </w:tr>
      <w:tr w:rsidR="009030FD" w14:paraId="5E9E0C11" w14:textId="77777777">
        <w:trPr>
          <w:trHeight w:val="283"/>
        </w:trPr>
        <w:tc>
          <w:tcPr>
            <w:tcW w:w="1233" w:type="dxa"/>
            <w:vMerge/>
            <w:tcBorders>
              <w:left w:val="none" w:sz="4" w:space="0" w:color="000000"/>
              <w:bottom w:val="single" w:sz="6" w:space="0" w:color="auto"/>
              <w:right w:val="none" w:sz="4" w:space="0" w:color="000000"/>
            </w:tcBorders>
            <w:vAlign w:val="center"/>
          </w:tcPr>
          <w:p w14:paraId="4AE1D742" w14:textId="77777777" w:rsidR="009030FD" w:rsidRDefault="009030FD">
            <w:pPr>
              <w:jc w:val="center"/>
              <w:rPr>
                <w:rFonts w:ascii="Arial" w:eastAsia="Aptos" w:hAnsi="Arial" w:cs="Arial"/>
                <w:sz w:val="20"/>
                <w:szCs w:val="20"/>
              </w:rPr>
            </w:pPr>
          </w:p>
        </w:tc>
        <w:tc>
          <w:tcPr>
            <w:tcW w:w="1180" w:type="dxa"/>
            <w:vMerge/>
            <w:tcBorders>
              <w:left w:val="none" w:sz="4" w:space="0" w:color="000000"/>
              <w:bottom w:val="single" w:sz="6" w:space="0" w:color="auto"/>
              <w:right w:val="none" w:sz="4" w:space="0" w:color="000000"/>
            </w:tcBorders>
            <w:vAlign w:val="center"/>
          </w:tcPr>
          <w:p w14:paraId="550BDC69" w14:textId="77777777" w:rsidR="009030FD" w:rsidRDefault="009030FD">
            <w:pPr>
              <w:jc w:val="center"/>
              <w:rPr>
                <w:rFonts w:ascii="Arial" w:eastAsia="Aptos" w:hAnsi="Arial" w:cs="Arial"/>
                <w:sz w:val="20"/>
                <w:szCs w:val="20"/>
              </w:rPr>
            </w:pPr>
          </w:p>
        </w:tc>
        <w:tc>
          <w:tcPr>
            <w:tcW w:w="1046" w:type="dxa"/>
            <w:vMerge/>
            <w:tcBorders>
              <w:left w:val="none" w:sz="4" w:space="0" w:color="000000"/>
              <w:bottom w:val="single" w:sz="6" w:space="0" w:color="auto"/>
            </w:tcBorders>
            <w:vAlign w:val="center"/>
          </w:tcPr>
          <w:p w14:paraId="43139564" w14:textId="77777777" w:rsidR="009030FD" w:rsidRDefault="009030FD">
            <w:pPr>
              <w:jc w:val="center"/>
              <w:rPr>
                <w:rFonts w:ascii="Arial" w:eastAsia="Aptos" w:hAnsi="Arial" w:cs="Arial"/>
                <w:sz w:val="20"/>
                <w:szCs w:val="20"/>
              </w:rPr>
            </w:pPr>
          </w:p>
        </w:tc>
        <w:tc>
          <w:tcPr>
            <w:tcW w:w="1503" w:type="dxa"/>
            <w:tcBorders>
              <w:top w:val="none" w:sz="4" w:space="0" w:color="000000"/>
              <w:bottom w:val="single" w:sz="6" w:space="0" w:color="auto"/>
              <w:right w:val="none" w:sz="4" w:space="0" w:color="000000"/>
            </w:tcBorders>
            <w:vAlign w:val="center"/>
          </w:tcPr>
          <w:p w14:paraId="6156F0B9" w14:textId="77777777" w:rsidR="009030FD" w:rsidRDefault="00000000">
            <w:pPr>
              <w:jc w:val="center"/>
              <w:rPr>
                <w:rFonts w:ascii="Arial" w:eastAsia="Aptos" w:hAnsi="Arial" w:cs="Arial"/>
                <w:sz w:val="20"/>
                <w:szCs w:val="20"/>
              </w:rPr>
            </w:pPr>
            <w:r>
              <w:rPr>
                <w:rFonts w:ascii="Arial" w:eastAsia="Aptos" w:hAnsi="Arial" w:cs="Arial"/>
                <w:sz w:val="20"/>
                <w:szCs w:val="20"/>
              </w:rPr>
              <w:t>100-140%</w:t>
            </w:r>
          </w:p>
        </w:tc>
        <w:tc>
          <w:tcPr>
            <w:tcW w:w="1417" w:type="dxa"/>
            <w:tcBorders>
              <w:top w:val="none" w:sz="4" w:space="0" w:color="000000"/>
              <w:left w:val="none" w:sz="4" w:space="0" w:color="000000"/>
              <w:bottom w:val="single" w:sz="6" w:space="0" w:color="auto"/>
              <w:right w:val="none" w:sz="4" w:space="0" w:color="000000"/>
            </w:tcBorders>
            <w:vAlign w:val="center"/>
          </w:tcPr>
          <w:p w14:paraId="5F5DC96A" w14:textId="77777777" w:rsidR="009030FD" w:rsidRDefault="00000000">
            <w:pPr>
              <w:jc w:val="center"/>
              <w:rPr>
                <w:rFonts w:ascii="Arial" w:eastAsia="Aptos" w:hAnsi="Arial" w:cs="Arial"/>
                <w:sz w:val="20"/>
                <w:szCs w:val="20"/>
              </w:rPr>
            </w:pPr>
            <w:r>
              <w:rPr>
                <w:rFonts w:ascii="Arial" w:eastAsia="Aptos" w:hAnsi="Arial" w:cs="Arial"/>
                <w:sz w:val="20"/>
                <w:szCs w:val="20"/>
              </w:rPr>
              <w:t>t</w:t>
            </w:r>
            <w:r>
              <w:rPr>
                <w:rFonts w:ascii="Arial" w:eastAsia="Aptos" w:hAnsi="Arial" w:cs="Arial"/>
                <w:sz w:val="20"/>
                <w:szCs w:val="20"/>
                <w:vertAlign w:val="subscript"/>
              </w:rPr>
              <w:t>11</w:t>
            </w:r>
            <w:r>
              <w:rPr>
                <w:rFonts w:ascii="Arial" w:eastAsia="Aptos" w:hAnsi="Arial" w:cs="Arial"/>
                <w:sz w:val="20"/>
                <w:szCs w:val="20"/>
              </w:rPr>
              <w:t xml:space="preserve"> = -1.086</w:t>
            </w:r>
          </w:p>
        </w:tc>
        <w:tc>
          <w:tcPr>
            <w:tcW w:w="1276" w:type="dxa"/>
            <w:tcBorders>
              <w:top w:val="none" w:sz="4" w:space="0" w:color="000000"/>
              <w:left w:val="none" w:sz="4" w:space="0" w:color="000000"/>
              <w:bottom w:val="single" w:sz="6" w:space="0" w:color="auto"/>
              <w:right w:val="none" w:sz="4" w:space="0" w:color="000000"/>
            </w:tcBorders>
          </w:tcPr>
          <w:p w14:paraId="2C04CA0A" w14:textId="77777777" w:rsidR="009030FD" w:rsidRDefault="00000000">
            <w:pPr>
              <w:jc w:val="center"/>
              <w:rPr>
                <w:rFonts w:ascii="Arial" w:eastAsia="Aptos" w:hAnsi="Arial" w:cs="Arial"/>
                <w:sz w:val="20"/>
                <w:szCs w:val="20"/>
              </w:rPr>
            </w:pPr>
            <w:r>
              <w:rPr>
                <w:rFonts w:ascii="Arial" w:eastAsia="Aptos" w:hAnsi="Arial" w:cs="Arial"/>
                <w:sz w:val="20"/>
                <w:szCs w:val="20"/>
              </w:rPr>
              <w:t>-0.313</w:t>
            </w:r>
          </w:p>
        </w:tc>
        <w:tc>
          <w:tcPr>
            <w:tcW w:w="992" w:type="dxa"/>
            <w:tcBorders>
              <w:top w:val="none" w:sz="4" w:space="0" w:color="000000"/>
              <w:left w:val="none" w:sz="4" w:space="0" w:color="000000"/>
              <w:bottom w:val="single" w:sz="6" w:space="0" w:color="auto"/>
              <w:right w:val="none" w:sz="4" w:space="0" w:color="000000"/>
            </w:tcBorders>
            <w:vAlign w:val="center"/>
          </w:tcPr>
          <w:p w14:paraId="4EC7B600" w14:textId="77777777" w:rsidR="009030FD" w:rsidRDefault="00000000">
            <w:pPr>
              <w:jc w:val="center"/>
              <w:rPr>
                <w:rFonts w:ascii="Arial" w:eastAsia="Aptos" w:hAnsi="Arial" w:cs="Arial"/>
                <w:sz w:val="20"/>
                <w:szCs w:val="20"/>
              </w:rPr>
            </w:pPr>
            <w:r>
              <w:rPr>
                <w:rFonts w:ascii="Arial" w:eastAsia="Aptos" w:hAnsi="Arial" w:cs="Arial"/>
                <w:sz w:val="20"/>
                <w:szCs w:val="20"/>
              </w:rPr>
              <w:t>0.602</w:t>
            </w:r>
          </w:p>
        </w:tc>
      </w:tr>
    </w:tbl>
    <w:p w14:paraId="7041E1DB" w14:textId="1949B7EC" w:rsidR="009030FD" w:rsidRDefault="00000000" w:rsidP="003849F5">
      <w:pPr>
        <w:spacing w:line="36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sz w:val="20"/>
          <w:szCs w:val="18"/>
          <w14:ligatures w14:val="none"/>
        </w:rPr>
        <w:t xml:space="preserve">Table S2. Statistical analysis of head kinematic variability measures. </w:t>
      </w:r>
      <w:r w:rsidRPr="003849F5">
        <w:rPr>
          <w:rFonts w:ascii="Times New Roman" w:eastAsia="Cambria" w:hAnsi="Times New Roman" w:cs="Times New Roman"/>
          <w:sz w:val="20"/>
          <w:szCs w:val="18"/>
          <w14:ligatures w14:val="none"/>
        </w:rPr>
        <w:t>Statistical analysis of the mean proportion of residual variance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sz w:val="20"/>
          <w:szCs w:val="18"/>
          <w14:ligatures w14:val="none"/>
        </w:rPr>
        <w:t>) calculated from the gravity-corrected and transformed net linear acceleration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NET</m:t>
            </m:r>
          </m:sub>
        </m:sSub>
      </m:oMath>
      <w:r w:rsidRPr="003849F5">
        <w:rPr>
          <w:rFonts w:ascii="Times New Roman" w:eastAsia="Cambria" w:hAnsi="Times New Roman" w:cs="Times New Roman"/>
          <w:sz w:val="20"/>
          <w:szCs w:val="18"/>
          <w14:ligatures w14:val="none"/>
        </w:rPr>
        <w:t>), mediolateral linear acceleration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sidRPr="003849F5">
        <w:rPr>
          <w:rFonts w:ascii="Times New Roman" w:eastAsia="Cambria" w:hAnsi="Times New Roman" w:cs="Times New Roman"/>
          <w:sz w:val="20"/>
          <w:szCs w:val="18"/>
          <w14:ligatures w14:val="none"/>
        </w:rPr>
        <w:t>), net angular velocity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NET</m:t>
            </m:r>
          </m:sub>
        </m:sSub>
      </m:oMath>
      <w:r w:rsidRPr="003849F5">
        <w:rPr>
          <w:rFonts w:ascii="Times New Roman" w:eastAsia="Cambria" w:hAnsi="Times New Roman" w:cs="Times New Roman"/>
          <w:sz w:val="20"/>
          <w:szCs w:val="18"/>
          <w14:ligatures w14:val="none"/>
        </w:rPr>
        <w:t>), and roll angular velocity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roll</m:t>
            </m:r>
          </m:sub>
        </m:sSub>
      </m:oMath>
      <w:r w:rsidRPr="003849F5">
        <w:rPr>
          <w:rFonts w:ascii="Times New Roman" w:eastAsia="Cambria" w:hAnsi="Times New Roman" w:cs="Times New Roman"/>
          <w:sz w:val="20"/>
          <w:szCs w:val="18"/>
          <w14:ligatures w14:val="none"/>
        </w:rPr>
        <w:t xml:space="preserve">). These measures were calculated from trials </w:t>
      </w:r>
      <w:r w:rsidRPr="003849F5">
        <w:rPr>
          <w:rFonts w:ascii="Times New Roman" w:eastAsia="Cambria" w:hAnsi="Times New Roman" w:cs="Times New Roman"/>
          <w:i/>
          <w:iCs/>
          <w:sz w:val="20"/>
          <w:szCs w:val="18"/>
          <w14:ligatures w14:val="none"/>
        </w:rPr>
        <w:t>without vestibular stimulation</w:t>
      </w:r>
      <w:r w:rsidRPr="003849F5">
        <w:rPr>
          <w:rFonts w:ascii="Times New Roman" w:eastAsia="Cambria" w:hAnsi="Times New Roman" w:cs="Times New Roman"/>
          <w:sz w:val="20"/>
          <w:szCs w:val="18"/>
          <w14:ligatures w14:val="none"/>
        </w:rPr>
        <w:t>. A repeated measures analysis of variance (</w:t>
      </w:r>
      <w:proofErr w:type="spellStart"/>
      <w:r w:rsidRPr="003849F5">
        <w:rPr>
          <w:rFonts w:ascii="Times New Roman" w:eastAsia="Cambria" w:hAnsi="Times New Roman" w:cs="Times New Roman"/>
          <w:sz w:val="20"/>
          <w:szCs w:val="18"/>
          <w14:ligatures w14:val="none"/>
        </w:rPr>
        <w:t>rmANOVA</w:t>
      </w:r>
      <w:proofErr w:type="spellEnd"/>
      <w:r w:rsidRPr="003849F5">
        <w:rPr>
          <w:rFonts w:ascii="Times New Roman" w:eastAsia="Cambria" w:hAnsi="Times New Roman" w:cs="Times New Roman"/>
          <w:sz w:val="20"/>
          <w:szCs w:val="18"/>
          <w14:ligatures w14:val="none"/>
        </w:rPr>
        <w:t xml:space="preserve">) was performed for each measure, along with selected post-hoc </w:t>
      </w:r>
      <w:r w:rsidR="00AB0F14">
        <w:rPr>
          <w:rFonts w:ascii="Times New Roman" w:eastAsia="Cambria" w:hAnsi="Times New Roman" w:cs="Times New Roman"/>
          <w:sz w:val="20"/>
          <w:szCs w:val="18"/>
          <w14:ligatures w14:val="none"/>
        </w:rPr>
        <w:t>S</w:t>
      </w:r>
      <w:r w:rsidRPr="003849F5">
        <w:rPr>
          <w:rFonts w:ascii="Times New Roman" w:eastAsia="Cambria" w:hAnsi="Times New Roman" w:cs="Times New Roman"/>
          <w:sz w:val="20"/>
          <w:szCs w:val="18"/>
          <w14:ligatures w14:val="none"/>
        </w:rPr>
        <w:t xml:space="preserve">tudent t-tests (corrected with Holm method). </w:t>
      </w:r>
      <w:r>
        <w:rPr>
          <w:rFonts w:ascii="Times New Roman" w:eastAsia="Cambria" w:hAnsi="Times New Roman" w:cs="Times New Roman"/>
          <w:sz w:val="20"/>
          <w:szCs w:val="18"/>
          <w14:ligatures w14:val="none"/>
        </w:rPr>
        <w:t>Significant results are indicated with boldface type and an asterisk (*) denotes a significant decrease while a dagger (</w:t>
      </w:r>
      <w:r>
        <w:rPr>
          <w:rFonts w:ascii="Arial" w:eastAsia="Aptos" w:hAnsi="Arial" w:cs="Arial"/>
          <w:sz w:val="20"/>
          <w:szCs w:val="20"/>
          <w:vertAlign w:val="superscript"/>
        </w:rPr>
        <w:t>†</w:t>
      </w:r>
      <w:r>
        <w:rPr>
          <w:rFonts w:ascii="Times New Roman" w:eastAsia="Cambria" w:hAnsi="Times New Roman" w:cs="Times New Roman"/>
          <w:sz w:val="20"/>
          <w:szCs w:val="18"/>
          <w14:ligatures w14:val="none"/>
        </w:rPr>
        <w:t>) denotes a significant increase.</w:t>
      </w:r>
    </w:p>
    <w:p w14:paraId="0A1752D0" w14:textId="77777777" w:rsidR="009030FD" w:rsidRDefault="00000000">
      <w:pPr>
        <w:rPr>
          <w:rFonts w:ascii="Times New Roman" w:eastAsia="Cambria" w:hAnsi="Times New Roman" w:cs="Times New Roman"/>
          <w:b/>
          <w:bCs/>
          <w:sz w:val="20"/>
          <w:szCs w:val="18"/>
          <w14:ligatures w14:val="none"/>
        </w:rPr>
      </w:pPr>
      <w:r>
        <w:rPr>
          <w:rFonts w:ascii="Times New Roman" w:eastAsia="Cambria" w:hAnsi="Times New Roman" w:cs="Times New Roman"/>
          <w:b/>
          <w:bCs/>
          <w:sz w:val="20"/>
          <w:szCs w:val="18"/>
          <w14:ligatures w14:val="none"/>
        </w:rPr>
        <w:br w:type="page" w:clear="all"/>
      </w:r>
    </w:p>
    <w:p w14:paraId="4F844FB5" w14:textId="77777777"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noProof/>
          <w:sz w:val="24"/>
          <w:szCs w:val="24"/>
          <w14:ligatures w14:val="none"/>
        </w:rPr>
        <w:lastRenderedPageBreak/>
        <mc:AlternateContent>
          <mc:Choice Requires="wpg">
            <w:drawing>
              <wp:inline distT="0" distB="0" distL="0" distR="0" wp14:anchorId="0BFA5E2D" wp14:editId="1EFBA35D">
                <wp:extent cx="1817282" cy="422944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
                        <a:stretch/>
                      </pic:blipFill>
                      <pic:spPr bwMode="auto">
                        <a:xfrm>
                          <a:off x="0" y="0"/>
                          <a:ext cx="1817282" cy="4229443"/>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43.09pt;height:333.03pt;mso-wrap-distance-left:0.00pt;mso-wrap-distance-top:0.00pt;mso-wrap-distance-right:0.00pt;mso-wrap-distance-bottom:0.00pt;z-index:1;" stroked="f">
                <v:imagedata r:id="rId14" o:title=""/>
                <o:lock v:ext="edit" rotation="t"/>
              </v:shape>
            </w:pict>
          </mc:Fallback>
        </mc:AlternateContent>
      </w:r>
    </w:p>
    <w:p w14:paraId="21F2C027" w14:textId="506CE4A0" w:rsidR="009030FD" w:rsidRDefault="00000000">
      <w:pPr>
        <w:spacing w:after="0" w:line="36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sz w:val="20"/>
          <w:szCs w:val="18"/>
          <w14:ligatures w14:val="none"/>
        </w:rPr>
        <w:t xml:space="preserve">Figure S2. </w:t>
      </w:r>
      <w:r w:rsidRPr="003849F5">
        <w:rPr>
          <w:rFonts w:ascii="Times New Roman" w:eastAsia="Cambria" w:hAnsi="Times New Roman" w:cs="Times New Roman"/>
          <w:b/>
          <w:bCs/>
          <w:sz w:val="20"/>
          <w:szCs w:val="18"/>
          <w14:ligatures w14:val="none"/>
        </w:rPr>
        <w:t>Participant (n = 12) mean proportion of residual variance (</w:t>
      </w:r>
      <m:oMath>
        <m:sSub>
          <m:sSubPr>
            <m:ctrlPr>
              <w:rPr>
                <w:rFonts w:ascii="Cambria Math" w:hAnsi="Cambria Math"/>
              </w:rPr>
            </m:ctrlPr>
          </m:sSubPr>
          <m:e>
            <m:r>
              <m:rPr>
                <m:sty m:val="bi"/>
              </m:rPr>
              <w:rPr>
                <w:rFonts w:ascii="Cambria Math" w:eastAsia="Cambria" w:hAnsi="Cambria Math" w:cs="Times New Roman"/>
                <w:sz w:val="20"/>
                <w:szCs w:val="18"/>
                <w14:ligatures w14:val="none"/>
              </w:rPr>
              <m:t>V</m:t>
            </m:r>
          </m:e>
          <m:sub>
            <m:r>
              <m:rPr>
                <m:sty m:val="bi"/>
              </m:rP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b/>
          <w:bCs/>
          <w:sz w:val="20"/>
          <w:szCs w:val="18"/>
          <w14:ligatures w14:val="none"/>
        </w:rPr>
        <w:t xml:space="preserve">) across step cadence conditions during trials </w:t>
      </w:r>
      <w:r w:rsidRPr="003849F5">
        <w:rPr>
          <w:rFonts w:ascii="Times New Roman" w:eastAsia="Cambria" w:hAnsi="Times New Roman" w:cs="Times New Roman"/>
          <w:b/>
          <w:bCs/>
          <w:i/>
          <w:iCs/>
          <w:sz w:val="20"/>
          <w:szCs w:val="18"/>
          <w14:ligatures w14:val="none"/>
        </w:rPr>
        <w:t>without electrical vestibular stimulation</w:t>
      </w:r>
      <w:r w:rsidRPr="003849F5">
        <w:rPr>
          <w:rFonts w:ascii="Times New Roman" w:eastAsia="Cambria" w:hAnsi="Times New Roman" w:cs="Times New Roman"/>
          <w:b/>
          <w:bCs/>
          <w:sz w:val="20"/>
          <w:szCs w:val="18"/>
          <w14:ligatures w14:val="none"/>
        </w:rPr>
        <w:t>.</w:t>
      </w:r>
      <w:r>
        <w:rPr>
          <w:rFonts w:ascii="Times New Roman" w:eastAsia="Cambria" w:hAnsi="Times New Roman" w:cs="Times New Roman"/>
          <w:sz w:val="20"/>
          <w:szCs w:val="18"/>
          <w14:ligatures w14:val="none"/>
        </w:rPr>
        <w:t xml:space="preserve"> </w:t>
      </w:r>
      <w:bookmarkStart w:id="5" w:name="_Hlk182832428"/>
      <w:r>
        <w:rPr>
          <w:rFonts w:ascii="Times New Roman" w:eastAsia="Cambria" w:hAnsi="Times New Roman" w:cs="Times New Roman"/>
          <w:sz w:val="20"/>
          <w:szCs w:val="18"/>
          <w14:ligatures w14:val="none"/>
        </w:rPr>
        <w:t xml:space="preserve">We calculated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with the head net linear acceleration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mediolateral linear acceleration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net angular velocity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and roll angular velocity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roll</m:t>
            </m:r>
          </m:sub>
        </m:sSub>
      </m:oMath>
      <w:r>
        <w:rPr>
          <w:rFonts w:ascii="Times New Roman" w:eastAsia="Cambria" w:hAnsi="Times New Roman" w:cs="Times New Roman"/>
          <w:sz w:val="20"/>
          <w:szCs w:val="18"/>
          <w14:ligatures w14:val="none"/>
        </w:rPr>
        <w:t>).</w:t>
      </w:r>
      <w:bookmarkEnd w:id="5"/>
      <w:r>
        <w:rPr>
          <w:rFonts w:ascii="Times New Roman" w:eastAsia="Cambria" w:hAnsi="Times New Roman" w:cs="Times New Roman"/>
          <w:sz w:val="20"/>
          <w:szCs w:val="18"/>
          <w14:ligatures w14:val="none"/>
        </w:rPr>
        <w:t xml:space="preserve"> </w:t>
      </w:r>
      <w:r>
        <w:rPr>
          <w:rFonts w:ascii="Times New Roman" w:eastAsia="Cambria" w:hAnsi="Times New Roman" w:cs="Times New Roman"/>
          <w:sz w:val="20"/>
          <w:szCs w:val="28"/>
          <w14:ligatures w14:val="none"/>
        </w:rPr>
        <w:t xml:space="preserve">There was a significant main effect for all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w:r>
        <w:rPr>
          <w:rFonts w:ascii="Times New Roman" w:eastAsia="Cambria" w:hAnsi="Times New Roman" w:cs="Times New Roman"/>
          <w:sz w:val="20"/>
          <w:szCs w:val="28"/>
          <w14:ligatures w14:val="none"/>
        </w:rPr>
        <w:t>measures. Post-hoc</w:t>
      </w:r>
      <w:r w:rsidR="007751E3">
        <w:rPr>
          <w:rFonts w:ascii="Times New Roman" w:eastAsia="Cambria" w:hAnsi="Times New Roman" w:cs="Times New Roman"/>
          <w:sz w:val="20"/>
          <w:szCs w:val="28"/>
          <w14:ligatures w14:val="none"/>
        </w:rPr>
        <w:t xml:space="preserve"> Student</w:t>
      </w:r>
      <w:r>
        <w:rPr>
          <w:rFonts w:ascii="Times New Roman" w:eastAsia="Cambria" w:hAnsi="Times New Roman" w:cs="Times New Roman"/>
          <w:sz w:val="20"/>
          <w:szCs w:val="28"/>
          <w14:ligatures w14:val="none"/>
        </w:rPr>
        <w:t xml:space="preserve"> t-test</w:t>
      </w:r>
      <w:r w:rsidR="007751E3">
        <w:rPr>
          <w:rFonts w:ascii="Times New Roman" w:eastAsia="Cambria" w:hAnsi="Times New Roman" w:cs="Times New Roman"/>
          <w:sz w:val="20"/>
          <w:szCs w:val="28"/>
          <w14:ligatures w14:val="none"/>
        </w:rPr>
        <w:t>s</w:t>
      </w:r>
      <w:r>
        <w:rPr>
          <w:rFonts w:ascii="Times New Roman" w:eastAsia="Cambria" w:hAnsi="Times New Roman" w:cs="Times New Roman"/>
          <w:sz w:val="20"/>
          <w:szCs w:val="28"/>
          <w14:ligatures w14:val="none"/>
        </w:rPr>
        <w:t xml:space="preserve"> revealed that there was a significant decrease from the 40% to 100% step cadence condition for all measures. </w:t>
      </w:r>
      <w:r>
        <w:rPr>
          <w:rFonts w:ascii="Times New Roman" w:eastAsia="Cambria" w:hAnsi="Times New Roman" w:cs="Times New Roman"/>
          <w:sz w:val="20"/>
          <w:szCs w:val="18"/>
          <w14:ligatures w14:val="none"/>
        </w:rPr>
        <w:t xml:space="preserve">Increases were only observed in the 100-120% and 100-140% comparisons for the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xml:space="preserve"> and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w:t>
      </w:r>
      <w:bookmarkStart w:id="6" w:name="_Hlk182832179"/>
      <w:r>
        <w:rPr>
          <w:rFonts w:ascii="Times New Roman" w:eastAsia="Cambria" w:hAnsi="Times New Roman" w:cs="Times New Roman"/>
          <w:sz w:val="20"/>
          <w:szCs w:val="28"/>
          <w14:ligatures w14:val="none"/>
        </w:rPr>
        <w:t xml:space="preserve">Closed circles represent the values from individual participants. </w:t>
      </w:r>
      <w:bookmarkEnd w:id="6"/>
      <w:r>
        <w:rPr>
          <w:rFonts w:ascii="Times New Roman" w:eastAsia="Cambria" w:hAnsi="Times New Roman" w:cs="Times New Roman"/>
          <w:sz w:val="20"/>
          <w:szCs w:val="28"/>
          <w14:ligatures w14:val="none"/>
        </w:rPr>
        <w:t xml:space="preserve">Boxplots represent the median and interquartile range of the data. * </w:t>
      </w:r>
      <w:proofErr w:type="gramStart"/>
      <w:r>
        <w:rPr>
          <w:rFonts w:ascii="Times New Roman" w:eastAsia="Cambria" w:hAnsi="Times New Roman" w:cs="Times New Roman"/>
          <w:sz w:val="20"/>
          <w:szCs w:val="28"/>
          <w14:ligatures w14:val="none"/>
        </w:rPr>
        <w:t>denotes</w:t>
      </w:r>
      <w:proofErr w:type="gramEnd"/>
      <w:r>
        <w:rPr>
          <w:rFonts w:ascii="Times New Roman" w:eastAsia="Cambria" w:hAnsi="Times New Roman" w:cs="Times New Roman"/>
          <w:sz w:val="20"/>
          <w:szCs w:val="28"/>
          <w14:ligatures w14:val="none"/>
        </w:rPr>
        <w:t xml:space="preserve"> statistically significant differences (p &lt; 0.05).</w:t>
      </w:r>
    </w:p>
    <w:p w14:paraId="0A98B012" w14:textId="77777777" w:rsidR="009030FD" w:rsidRDefault="00000000">
      <w:pPr>
        <w:spacing w:after="0" w:line="480" w:lineRule="auto"/>
        <w:rPr>
          <w:rFonts w:ascii="Times New Roman" w:eastAsia="Cambria" w:hAnsi="Times New Roman" w:cs="Times New Roman"/>
          <w:sz w:val="24"/>
          <w:szCs w:val="24"/>
          <w14:ligatures w14:val="none"/>
        </w:rPr>
      </w:pPr>
      <w:r>
        <w:rPr>
          <w:rFonts w:ascii="Times New Roman" w:eastAsia="Cambria" w:hAnsi="Times New Roman" w:cs="Times New Roman"/>
          <w:noProof/>
          <w:sz w:val="24"/>
          <w:szCs w:val="24"/>
          <w14:ligatures w14:val="none"/>
        </w:rPr>
        <w:lastRenderedPageBreak/>
        <mc:AlternateContent>
          <mc:Choice Requires="wpg">
            <w:drawing>
              <wp:inline distT="0" distB="0" distL="0" distR="0" wp14:anchorId="36B6F769" wp14:editId="243E3BB5">
                <wp:extent cx="4785532" cy="4911054"/>
                <wp:effectExtent l="0" t="0" r="0" b="4445"/>
                <wp:docPr id="3" name="Picture 193587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35875249"/>
                        <pic:cNvPicPr>
                          <a:picLocks noChangeAspect="1"/>
                        </pic:cNvPicPr>
                      </pic:nvPicPr>
                      <pic:blipFill>
                        <a:blip r:embed="rId15"/>
                        <a:stretch/>
                      </pic:blipFill>
                      <pic:spPr bwMode="auto">
                        <a:xfrm>
                          <a:off x="0" y="0"/>
                          <a:ext cx="4785532" cy="4911054"/>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376.81pt;height:386.70pt;mso-wrap-distance-left:0.00pt;mso-wrap-distance-top:0.00pt;mso-wrap-distance-right:0.00pt;mso-wrap-distance-bottom:0.00pt;z-index:1;" stroked="f">
                <v:imagedata r:id="rId16" o:title=""/>
                <o:lock v:ext="edit" rotation="t"/>
              </v:shape>
            </w:pict>
          </mc:Fallback>
        </mc:AlternateContent>
      </w:r>
    </w:p>
    <w:p w14:paraId="1EA75545" w14:textId="54D30883" w:rsidR="009030FD" w:rsidRDefault="00000000">
      <w:pPr>
        <w:spacing w:after="0" w:line="36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sz w:val="20"/>
          <w:szCs w:val="18"/>
          <w14:ligatures w14:val="none"/>
        </w:rPr>
        <w:t xml:space="preserve">Figure S3. </w:t>
      </w:r>
      <w:r w:rsidRPr="003849F5">
        <w:rPr>
          <w:rFonts w:ascii="Times New Roman" w:eastAsia="Cambria" w:hAnsi="Times New Roman" w:cs="Times New Roman"/>
          <w:b/>
          <w:bCs/>
          <w:sz w:val="20"/>
          <w:szCs w:val="18"/>
          <w14:ligatures w14:val="none"/>
        </w:rPr>
        <w:t>Participant (n = 12) mean normalized proportion of residual variance (</w:t>
      </w:r>
      <m:oMath>
        <m:sSub>
          <m:sSubPr>
            <m:ctrlPr>
              <w:rPr>
                <w:rFonts w:ascii="Cambria Math" w:eastAsia="Cambria Math" w:hAnsi="Cambria Math" w:cs="Cambria Math"/>
                <w:b/>
                <w:bCs/>
                <w:i/>
                <w:sz w:val="20"/>
                <w:szCs w:val="18"/>
                <w14:ligatures w14:val="none"/>
              </w:rPr>
            </m:ctrlPr>
          </m:sSubPr>
          <m:e>
            <m:r>
              <m:rPr>
                <m:sty m:val="bi"/>
              </m:rPr>
              <w:rPr>
                <w:rFonts w:ascii="Cambria Math" w:eastAsia="Cambria" w:hAnsi="Cambria Math" w:cs="Times New Roman"/>
                <w:sz w:val="20"/>
                <w:szCs w:val="18"/>
                <w14:ligatures w14:val="none"/>
              </w:rPr>
              <m:t>V</m:t>
            </m:r>
          </m:e>
          <m:sub>
            <m:r>
              <m:rPr>
                <m:sty m:val="bi"/>
              </m:rP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b/>
          <w:bCs/>
          <w:sz w:val="20"/>
          <w:szCs w:val="18"/>
          <w14:ligatures w14:val="none"/>
        </w:rPr>
        <w:t xml:space="preserve">) across A) step cadences and B) gait speeds during trials </w:t>
      </w:r>
      <w:r w:rsidRPr="003849F5">
        <w:rPr>
          <w:rFonts w:ascii="Times New Roman" w:eastAsia="Cambria" w:hAnsi="Times New Roman" w:cs="Times New Roman"/>
          <w:b/>
          <w:bCs/>
          <w:i/>
          <w:iCs/>
          <w:sz w:val="20"/>
          <w:szCs w:val="18"/>
          <w14:ligatures w14:val="none"/>
        </w:rPr>
        <w:t>without electrical vestibular stimulation</w:t>
      </w:r>
      <w:r w:rsidRPr="003849F5">
        <w:rPr>
          <w:rFonts w:ascii="Times New Roman" w:eastAsia="Cambria" w:hAnsi="Times New Roman" w:cs="Times New Roman"/>
          <w:b/>
          <w:bCs/>
          <w:sz w:val="20"/>
          <w:szCs w:val="18"/>
          <w14:ligatures w14:val="none"/>
        </w:rPr>
        <w:t>.</w:t>
      </w:r>
      <w:r>
        <w:rPr>
          <w:rFonts w:ascii="Times New Roman" w:eastAsia="Cambria" w:hAnsi="Times New Roman" w:cs="Times New Roman"/>
          <w:sz w:val="20"/>
          <w:szCs w:val="18"/>
          <w14:ligatures w14:val="none"/>
        </w:rPr>
        <w:t xml:space="preserve">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was calculated with the head net linear acceleration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mediolateral linear acceleration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net angular velocity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and roll angular velocity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eastAsia="Cambria Math" w:hAnsi="Cambria Math" w:cs="Cambria Math"/>
                <w:i/>
                <w:sz w:val="20"/>
                <w:szCs w:val="18"/>
                <w14:ligatures w14:val="none"/>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roll</m:t>
            </m:r>
          </m:sub>
        </m:sSub>
      </m:oMath>
      <w:r>
        <w:rPr>
          <w:rFonts w:ascii="Times New Roman" w:eastAsia="Cambria" w:hAnsi="Times New Roman" w:cs="Times New Roman"/>
          <w:sz w:val="20"/>
          <w:szCs w:val="18"/>
          <w14:ligatures w14:val="none"/>
        </w:rPr>
        <w:t xml:space="preserve">). </w:t>
      </w:r>
      <w:r>
        <w:rPr>
          <w:rFonts w:ascii="Times New Roman" w:eastAsia="Cambria" w:hAnsi="Times New Roman" w:cs="Times New Roman"/>
          <w:sz w:val="20"/>
          <w:szCs w:val="28"/>
          <w14:ligatures w14:val="none"/>
        </w:rPr>
        <w:t xml:space="preserve">Individual participants are indicated with the same marker colour within and across plots. </w:t>
      </w:r>
      <w:r>
        <w:rPr>
          <w:rFonts w:ascii="Times New Roman" w:eastAsia="Cambria" w:hAnsi="Times New Roman" w:cs="Times New Roman"/>
          <w:sz w:val="20"/>
          <w:szCs w:val="18"/>
          <w14:ligatures w14:val="none"/>
        </w:rPr>
        <w:t>Thick black lines represent the group 2</w:t>
      </w:r>
      <w:r>
        <w:rPr>
          <w:rFonts w:ascii="Times New Roman" w:eastAsia="Cambria" w:hAnsi="Times New Roman" w:cs="Times New Roman"/>
          <w:sz w:val="20"/>
          <w:szCs w:val="18"/>
          <w:vertAlign w:val="superscript"/>
          <w14:ligatures w14:val="none"/>
        </w:rPr>
        <w:t>nd</w:t>
      </w:r>
      <w:r>
        <w:rPr>
          <w:rFonts w:ascii="Times New Roman" w:eastAsia="Cambria" w:hAnsi="Times New Roman" w:cs="Times New Roman"/>
          <w:sz w:val="20"/>
          <w:szCs w:val="18"/>
          <w14:ligatures w14:val="none"/>
        </w:rPr>
        <w:t xml:space="preserve"> degree polynomial fits for each plot with the adjusted coefficient of determination ( </w:t>
      </w:r>
      <m:oMath>
        <m:sSup>
          <m:sSupPr>
            <m:ctrlPr>
              <w:rPr>
                <w:rFonts w:ascii="Cambria Math" w:hAnsi="Cambria Math"/>
              </w:rPr>
            </m:ctrlPr>
          </m:sSupPr>
          <m:e>
            <m:acc>
              <m:accPr>
                <m:chr m:val="̅"/>
                <m:ctrlPr>
                  <w:rPr>
                    <w:rFonts w:ascii="Cambria Math" w:hAnsi="Cambria Math"/>
                  </w:rPr>
                </m:ctrlPr>
              </m:accPr>
              <m:e>
                <m:r>
                  <w:rPr>
                    <w:rFonts w:ascii="Cambria Math" w:eastAsia="Cambria" w:hAnsi="Cambria Math" w:cs="Times New Roman"/>
                    <w:sz w:val="20"/>
                    <w:szCs w:val="18"/>
                    <w14:ligatures w14:val="none"/>
                  </w:rPr>
                  <m:t>R</m:t>
                </m:r>
              </m:e>
            </m:acc>
          </m:e>
          <m:sup>
            <m:r>
              <w:rPr>
                <w:rFonts w:ascii="Cambria Math" w:eastAsia="Cambria" w:hAnsi="Cambria Math" w:cs="Times New Roman"/>
                <w:sz w:val="20"/>
                <w:szCs w:val="18"/>
                <w14:ligatures w14:val="none"/>
              </w:rPr>
              <m:t>2</m:t>
            </m:r>
          </m:sup>
        </m:sSup>
      </m:oMath>
      <w:r>
        <w:rPr>
          <w:rFonts w:ascii="Times New Roman" w:eastAsia="Cambria" w:hAnsi="Times New Roman" w:cs="Times New Roman"/>
          <w:sz w:val="20"/>
          <w:szCs w:val="18"/>
          <w14:ligatures w14:val="none"/>
        </w:rPr>
        <w:t>) presented. steps/min, steps per minute; m/s, metres per second.</w:t>
      </w:r>
    </w:p>
    <w:p w14:paraId="5E01EA59" w14:textId="77777777" w:rsidR="009030FD" w:rsidRDefault="00000000">
      <w:pPr>
        <w:rPr>
          <w:rFonts w:ascii="Times New Roman" w:eastAsia="Cambria" w:hAnsi="Times New Roman" w:cs="Times New Roman"/>
          <w:b/>
          <w:bCs/>
          <w:sz w:val="20"/>
          <w:szCs w:val="18"/>
          <w14:ligatures w14:val="none"/>
        </w:rPr>
      </w:pPr>
      <w:r>
        <w:rPr>
          <w:rFonts w:ascii="Times New Roman" w:eastAsia="Cambria" w:hAnsi="Times New Roman" w:cs="Times New Roman"/>
          <w:b/>
          <w:bCs/>
          <w:sz w:val="20"/>
          <w:szCs w:val="18"/>
          <w14:ligatures w14:val="none"/>
        </w:rPr>
        <w:br w:type="page" w:clear="all"/>
      </w:r>
    </w:p>
    <w:p w14:paraId="0A8835FF" w14:textId="77777777" w:rsidR="009030FD" w:rsidRDefault="00000000">
      <w:pPr>
        <w:spacing w:after="0" w:line="48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noProof/>
          <w:sz w:val="20"/>
          <w:szCs w:val="18"/>
          <w14:ligatures w14:val="none"/>
        </w:rPr>
        <w:lastRenderedPageBreak/>
        <mc:AlternateContent>
          <mc:Choice Requires="wpg">
            <w:drawing>
              <wp:inline distT="0" distB="0" distL="0" distR="0" wp14:anchorId="028549F4" wp14:editId="4E72B5C9">
                <wp:extent cx="5932805" cy="355722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7"/>
                        <a:stretch/>
                      </pic:blipFill>
                      <pic:spPr bwMode="auto">
                        <a:xfrm>
                          <a:off x="0" y="0"/>
                          <a:ext cx="5932805" cy="3557221"/>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67.15pt;height:280.10pt;mso-wrap-distance-left:0.00pt;mso-wrap-distance-top:0.00pt;mso-wrap-distance-right:0.00pt;mso-wrap-distance-bottom:0.00pt;z-index:1;" stroked="f">
                <v:imagedata r:id="rId18" o:title=""/>
                <o:lock v:ext="edit" rotation="t"/>
              </v:shape>
            </w:pict>
          </mc:Fallback>
        </mc:AlternateContent>
      </w:r>
    </w:p>
    <w:p w14:paraId="268C2D10" w14:textId="33BD7697" w:rsidR="009030FD" w:rsidRDefault="00000000">
      <w:pPr>
        <w:spacing w:after="0" w:line="360" w:lineRule="auto"/>
        <w:rPr>
          <w:rFonts w:ascii="Times New Roman" w:eastAsia="Cambria" w:hAnsi="Times New Roman" w:cs="Times New Roman"/>
          <w:sz w:val="20"/>
          <w:szCs w:val="18"/>
          <w14:ligatures w14:val="none"/>
        </w:rPr>
      </w:pPr>
      <w:r>
        <w:rPr>
          <w:rFonts w:ascii="Times New Roman" w:eastAsia="Cambria" w:hAnsi="Times New Roman" w:cs="Times New Roman"/>
          <w:b/>
          <w:bCs/>
          <w:sz w:val="20"/>
          <w:szCs w:val="18"/>
          <w14:ligatures w14:val="none"/>
        </w:rPr>
        <w:t>Figure S4. Bootstrapped differences of the coherence (top row), gain (middle row), and spectral power (bottom row) for the back mediolateral linear accelerations (</w:t>
      </w:r>
      <m:oMath>
        <m:sSub>
          <m:sSubPr>
            <m:ctrlPr>
              <w:rPr>
                <w:rFonts w:ascii="Cambria Math" w:hAnsi="Cambria Math"/>
              </w:rPr>
            </m:ctrlPr>
          </m:sSubPr>
          <m:e>
            <m:r>
              <m:rPr>
                <m:sty m:val="bi"/>
              </m:rPr>
              <w:rPr>
                <w:rFonts w:ascii="Cambria Math" w:eastAsia="Cambria" w:hAnsi="Cambria Math" w:cs="Times New Roman"/>
                <w:sz w:val="20"/>
                <w:szCs w:val="18"/>
                <w14:ligatures w14:val="none"/>
              </w:rPr>
              <m:t>a</m:t>
            </m:r>
          </m:e>
          <m:sub>
            <m:r>
              <m:rPr>
                <m:sty m:val="bi"/>
              </m:rPr>
              <w:rPr>
                <w:rFonts w:ascii="Cambria Math" w:eastAsia="Cambria" w:hAnsi="Cambria Math" w:cs="Times New Roman"/>
                <w:sz w:val="20"/>
                <w:szCs w:val="18"/>
                <w14:ligatures w14:val="none"/>
              </w:rPr>
              <m:t>ML</m:t>
            </m:r>
          </m:sub>
        </m:sSub>
      </m:oMath>
      <w:r>
        <w:rPr>
          <w:rFonts w:ascii="Times New Roman" w:eastAsia="Cambria" w:hAnsi="Times New Roman" w:cs="Times New Roman"/>
          <w:b/>
          <w:bCs/>
          <w:sz w:val="20"/>
          <w:szCs w:val="18"/>
          <w14:ligatures w14:val="none"/>
        </w:rPr>
        <w:t>).</w:t>
      </w:r>
      <w:r w:rsidRPr="003849F5">
        <w:rPr>
          <w:rFonts w:ascii="Times New Roman" w:eastAsia="Cambria" w:hAnsi="Times New Roman" w:cs="Times New Roman"/>
          <w:sz w:val="20"/>
          <w:szCs w:val="18"/>
          <w14:ligatures w14:val="none"/>
        </w:rPr>
        <w:t xml:space="preserve"> Coherence and gain were calculated between the applied electrical vestibular stimulation and the back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sidRPr="003849F5">
        <w:rPr>
          <w:rFonts w:ascii="Times New Roman" w:eastAsia="Cambria" w:hAnsi="Times New Roman" w:cs="Times New Roman"/>
          <w:sz w:val="20"/>
          <w:szCs w:val="18"/>
          <w14:ligatures w14:val="none"/>
        </w:rPr>
        <w:t xml:space="preserve"> and spectral power is the auto spectra of the back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sidRPr="003849F5">
        <w:rPr>
          <w:rFonts w:ascii="Times New Roman" w:eastAsia="Cambria" w:hAnsi="Times New Roman" w:cs="Times New Roman"/>
          <w:sz w:val="20"/>
          <w:szCs w:val="18"/>
          <w14:ligatures w14:val="none"/>
        </w:rPr>
        <w:t>. Each column contains comparisons between the 40% step cadence condition and a faster step cadence condition</w:t>
      </w:r>
      <w:r>
        <w:rPr>
          <w:rFonts w:ascii="Times New Roman" w:eastAsia="Cambria" w:hAnsi="Times New Roman" w:cs="Times New Roman"/>
          <w:sz w:val="20"/>
          <w:szCs w:val="18"/>
          <w14:ligatures w14:val="none"/>
        </w:rPr>
        <w:t xml:space="preserve"> (i.e. 60, 80, 100, 120 and 140%)</w:t>
      </w:r>
      <w:r w:rsidRPr="003849F5">
        <w:rPr>
          <w:rFonts w:ascii="Times New Roman" w:eastAsia="Cambria" w:hAnsi="Times New Roman" w:cs="Times New Roman"/>
          <w:sz w:val="20"/>
          <w:szCs w:val="18"/>
          <w14:ligatures w14:val="none"/>
        </w:rPr>
        <w:t xml:space="preserve">. </w:t>
      </w:r>
      <w:bookmarkStart w:id="7" w:name="_Hlk185176268"/>
      <w:r>
        <w:rPr>
          <w:rFonts w:ascii="Times New Roman" w:eastAsia="Cambria" w:hAnsi="Times New Roman" w:cs="Times New Roman"/>
          <w:sz w:val="20"/>
          <w:szCs w:val="18"/>
          <w14:ligatures w14:val="none"/>
        </w:rPr>
        <w:t xml:space="preserve">Yellow indicates a decrease in coherence, gain, or power from the 40% condition to the faster step cadence condition, green indicates no significant difference, and blue indicates an increase from the 40% condition. </w:t>
      </w:r>
      <w:r w:rsidR="00154B2B">
        <w:rPr>
          <w:rFonts w:ascii="Times New Roman" w:eastAsia="Cambria" w:hAnsi="Times New Roman" w:cs="Times New Roman"/>
          <w:sz w:val="20"/>
          <w:szCs w:val="18"/>
          <w14:ligatures w14:val="none"/>
        </w:rPr>
        <w:t>RHS, right heel strike</w:t>
      </w:r>
      <w:r w:rsidR="001C4264">
        <w:rPr>
          <w:rFonts w:ascii="Cambria Math" w:eastAsia="Cambria" w:hAnsi="Cambria Math" w:cs="Times New Roman"/>
          <w:iCs/>
          <w:sz w:val="20"/>
          <w:szCs w:val="18"/>
          <w14:ligatures w14:val="none"/>
        </w:rPr>
        <w:t xml:space="preserve">; </w:t>
      </w:r>
      <w:r w:rsidRPr="003849F5">
        <w:rPr>
          <w:rFonts w:ascii="Times New Roman" w:eastAsia="Cambria" w:hAnsi="Times New Roman" w:cs="Times New Roman"/>
          <w:sz w:val="20"/>
          <w:szCs w:val="18"/>
          <w14:ligatures w14:val="none"/>
        </w:rPr>
        <w:t>LTO, left toe-off; LHS, left heel strike; RTO, right toe-off.</w:t>
      </w:r>
      <w:bookmarkEnd w:id="7"/>
    </w:p>
    <w:p w14:paraId="0B3CB77A" w14:textId="77777777" w:rsidR="009030FD" w:rsidRDefault="00000000">
      <w:pPr>
        <w:rPr>
          <w:rFonts w:ascii="Times New Roman" w:eastAsia="Cambria" w:hAnsi="Times New Roman" w:cs="Times New Roman"/>
          <w:sz w:val="20"/>
          <w:szCs w:val="18"/>
          <w14:ligatures w14:val="none"/>
        </w:rPr>
      </w:pPr>
      <w:r>
        <w:rPr>
          <w:rFonts w:ascii="Times New Roman" w:eastAsia="Cambria" w:hAnsi="Times New Roman" w:cs="Times New Roman"/>
          <w:sz w:val="20"/>
          <w:szCs w:val="18"/>
          <w14:ligatures w14:val="none"/>
        </w:rPr>
        <w:br w:type="page" w:clear="all"/>
      </w:r>
    </w:p>
    <w:p w14:paraId="33578B1A" w14:textId="77777777" w:rsidR="009030FD" w:rsidRDefault="00000000">
      <w:pPr>
        <w:spacing w:after="0" w:line="48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noProof/>
          <w:sz w:val="20"/>
          <w:szCs w:val="18"/>
          <w14:ligatures w14:val="none"/>
        </w:rPr>
        <w:lastRenderedPageBreak/>
        <mc:AlternateContent>
          <mc:Choice Requires="wpg">
            <w:drawing>
              <wp:inline distT="0" distB="0" distL="0" distR="0" wp14:anchorId="21B4B6F1" wp14:editId="2CDAFAA4">
                <wp:extent cx="5931581" cy="3556487"/>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19"/>
                        <a:stretch/>
                      </pic:blipFill>
                      <pic:spPr bwMode="auto">
                        <a:xfrm>
                          <a:off x="0" y="0"/>
                          <a:ext cx="5931581" cy="3556487"/>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67.05pt;height:280.04pt;mso-wrap-distance-left:0.00pt;mso-wrap-distance-top:0.00pt;mso-wrap-distance-right:0.00pt;mso-wrap-distance-bottom:0.00pt;z-index:1;" stroked="f">
                <v:imagedata r:id="rId20" o:title=""/>
                <o:lock v:ext="edit" rotation="t"/>
              </v:shape>
            </w:pict>
          </mc:Fallback>
        </mc:AlternateContent>
      </w:r>
    </w:p>
    <w:p w14:paraId="40803EBC" w14:textId="041AEE2D" w:rsidR="009030FD" w:rsidRDefault="00000000">
      <w:pPr>
        <w:spacing w:after="0" w:line="360" w:lineRule="auto"/>
        <w:rPr>
          <w:rFonts w:ascii="Times New Roman" w:eastAsia="Cambria" w:hAnsi="Times New Roman" w:cs="Times New Roman"/>
          <w:sz w:val="20"/>
          <w:szCs w:val="18"/>
          <w14:ligatures w14:val="none"/>
        </w:rPr>
      </w:pPr>
      <w:r>
        <w:rPr>
          <w:rFonts w:ascii="Times New Roman" w:eastAsia="Cambria" w:hAnsi="Times New Roman" w:cs="Times New Roman"/>
          <w:b/>
          <w:bCs/>
          <w:sz w:val="20"/>
          <w:szCs w:val="18"/>
          <w14:ligatures w14:val="none"/>
        </w:rPr>
        <w:t xml:space="preserve">Figure S5. </w:t>
      </w:r>
      <w:r w:rsidRPr="003849F5">
        <w:rPr>
          <w:rFonts w:ascii="Times New Roman" w:eastAsia="Cambria" w:hAnsi="Times New Roman" w:cs="Times New Roman"/>
          <w:b/>
          <w:bCs/>
          <w:sz w:val="20"/>
          <w:szCs w:val="18"/>
          <w14:ligatures w14:val="none"/>
        </w:rPr>
        <w:t>Bootstrapped differences of the coherence (top row), gain (middle row), and spectral power (bottom row) for the right ankle mediolateral linear accelerations (</w:t>
      </w:r>
      <m:oMath>
        <m:sSub>
          <m:sSubPr>
            <m:ctrlPr>
              <w:rPr>
                <w:rFonts w:ascii="Cambria Math" w:hAnsi="Cambria Math"/>
              </w:rPr>
            </m:ctrlPr>
          </m:sSubPr>
          <m:e>
            <m:r>
              <m:rPr>
                <m:sty m:val="bi"/>
              </m:rPr>
              <w:rPr>
                <w:rFonts w:ascii="Cambria Math" w:eastAsia="Cambria" w:hAnsi="Cambria Math" w:cs="Times New Roman"/>
                <w:sz w:val="20"/>
                <w:szCs w:val="18"/>
                <w14:ligatures w14:val="none"/>
              </w:rPr>
              <m:t>a</m:t>
            </m:r>
          </m:e>
          <m:sub>
            <m:r>
              <m:rPr>
                <m:sty m:val="bi"/>
              </m:rPr>
              <w:rPr>
                <w:rFonts w:ascii="Cambria Math" w:eastAsia="Cambria" w:hAnsi="Cambria Math" w:cs="Times New Roman"/>
                <w:sz w:val="20"/>
                <w:szCs w:val="18"/>
                <w14:ligatures w14:val="none"/>
              </w:rPr>
              <m:t>ML</m:t>
            </m:r>
          </m:sub>
        </m:sSub>
      </m:oMath>
      <w:r w:rsidRPr="003849F5">
        <w:rPr>
          <w:rFonts w:ascii="Times New Roman" w:eastAsia="Cambria" w:hAnsi="Times New Roman" w:cs="Times New Roman"/>
          <w:b/>
          <w:bCs/>
          <w:sz w:val="20"/>
          <w:szCs w:val="18"/>
          <w14:ligatures w14:val="none"/>
        </w:rPr>
        <w:t>).</w:t>
      </w:r>
      <w:r>
        <w:rPr>
          <w:rFonts w:ascii="Times New Roman" w:eastAsia="Cambria" w:hAnsi="Times New Roman" w:cs="Times New Roman"/>
          <w:sz w:val="20"/>
          <w:szCs w:val="18"/>
          <w14:ligatures w14:val="none"/>
        </w:rPr>
        <w:t xml:space="preserve"> Coherence and gain were calculated between the applied electrical vestibular stimulation and the right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and spectral power is the auto spectra of the right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Each column contains comparisons between the 40% step cadence condition and a faster step cadence condition (i.e. 60, 80, 100, 120 and 140%). Yellow indicates a decrease in coherence, gain, or power from the 40% condition to the faster step cadence condition, green indicates no significant difference, and blue indicates an increase from the 40% condition.</w:t>
      </w:r>
      <w:r w:rsidR="00154B2B" w:rsidRPr="00154B2B">
        <w:rPr>
          <w:rFonts w:ascii="Times New Roman" w:eastAsia="Cambria" w:hAnsi="Times New Roman" w:cs="Times New Roman"/>
          <w:sz w:val="20"/>
          <w:szCs w:val="18"/>
          <w14:ligatures w14:val="none"/>
        </w:rPr>
        <w:t xml:space="preserve"> </w:t>
      </w:r>
      <w:r w:rsidR="00154B2B">
        <w:rPr>
          <w:rFonts w:ascii="Times New Roman" w:eastAsia="Cambria" w:hAnsi="Times New Roman" w:cs="Times New Roman"/>
          <w:sz w:val="20"/>
          <w:szCs w:val="18"/>
          <w14:ligatures w14:val="none"/>
        </w:rPr>
        <w:t>RHS, right heel strike</w:t>
      </w:r>
      <w:r w:rsidR="001C4264">
        <w:rPr>
          <w:rFonts w:ascii="Cambria Math" w:eastAsia="Cambria" w:hAnsi="Cambria Math" w:cs="Times New Roman"/>
          <w:iCs/>
          <w:sz w:val="20"/>
          <w:szCs w:val="18"/>
          <w14:ligatures w14:val="none"/>
        </w:rPr>
        <w:t xml:space="preserve">; </w:t>
      </w:r>
      <w:r>
        <w:rPr>
          <w:rFonts w:ascii="Times New Roman" w:eastAsia="Cambria" w:hAnsi="Times New Roman" w:cs="Times New Roman"/>
          <w:sz w:val="20"/>
          <w:szCs w:val="18"/>
          <w14:ligatures w14:val="none"/>
        </w:rPr>
        <w:t>LTO, left toe-off; LHS, left heel strike; RTO, right toe-off.</w:t>
      </w:r>
    </w:p>
    <w:p w14:paraId="6BF9960D" w14:textId="77777777" w:rsidR="009030FD" w:rsidRDefault="00000000">
      <w:pPr>
        <w:rPr>
          <w:rFonts w:ascii="Times New Roman" w:eastAsia="Cambria" w:hAnsi="Times New Roman" w:cs="Times New Roman"/>
          <w:sz w:val="20"/>
          <w:szCs w:val="18"/>
          <w14:ligatures w14:val="none"/>
        </w:rPr>
      </w:pPr>
      <w:r>
        <w:rPr>
          <w:rFonts w:ascii="Times New Roman" w:eastAsia="Cambria" w:hAnsi="Times New Roman" w:cs="Times New Roman"/>
          <w:sz w:val="20"/>
          <w:szCs w:val="18"/>
          <w14:ligatures w14:val="none"/>
        </w:rPr>
        <w:br w:type="page" w:clear="all"/>
      </w:r>
    </w:p>
    <w:p w14:paraId="60FE623D" w14:textId="77777777" w:rsidR="009030FD" w:rsidRDefault="00000000">
      <w:pPr>
        <w:spacing w:after="0" w:line="48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noProof/>
          <w:sz w:val="20"/>
          <w:szCs w:val="18"/>
          <w14:ligatures w14:val="none"/>
        </w:rPr>
        <w:lastRenderedPageBreak/>
        <mc:AlternateContent>
          <mc:Choice Requires="wpg">
            <w:drawing>
              <wp:inline distT="0" distB="0" distL="0" distR="0" wp14:anchorId="67CE3D2B" wp14:editId="6E0D816C">
                <wp:extent cx="5931581" cy="3556487"/>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pic:cNvPicPr>
                      </pic:nvPicPr>
                      <pic:blipFill>
                        <a:blip r:embed="rId21"/>
                        <a:stretch/>
                      </pic:blipFill>
                      <pic:spPr bwMode="auto">
                        <a:xfrm>
                          <a:off x="0" y="0"/>
                          <a:ext cx="5931581" cy="3556487"/>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67.05pt;height:280.04pt;mso-wrap-distance-left:0.00pt;mso-wrap-distance-top:0.00pt;mso-wrap-distance-right:0.00pt;mso-wrap-distance-bottom:0.00pt;z-index:1;" stroked="f">
                <v:imagedata r:id="rId22" o:title=""/>
                <o:lock v:ext="edit" rotation="t"/>
              </v:shape>
            </w:pict>
          </mc:Fallback>
        </mc:AlternateContent>
      </w:r>
    </w:p>
    <w:p w14:paraId="1A0B9F32" w14:textId="0B432085" w:rsidR="009030FD" w:rsidRDefault="00000000">
      <w:pPr>
        <w:spacing w:after="0" w:line="360" w:lineRule="auto"/>
        <w:rPr>
          <w:rFonts w:ascii="Times New Roman" w:eastAsia="Cambria" w:hAnsi="Times New Roman" w:cs="Times New Roman"/>
          <w:sz w:val="20"/>
          <w:szCs w:val="18"/>
          <w14:ligatures w14:val="none"/>
        </w:rPr>
      </w:pPr>
      <w:r>
        <w:rPr>
          <w:rFonts w:ascii="Times New Roman" w:eastAsia="Cambria" w:hAnsi="Times New Roman" w:cs="Times New Roman"/>
          <w:b/>
          <w:bCs/>
          <w:sz w:val="20"/>
          <w:szCs w:val="18"/>
          <w14:ligatures w14:val="none"/>
        </w:rPr>
        <w:t xml:space="preserve">Figure S6. </w:t>
      </w:r>
      <w:r w:rsidRPr="003849F5">
        <w:rPr>
          <w:rFonts w:ascii="Times New Roman" w:eastAsia="Cambria" w:hAnsi="Times New Roman" w:cs="Times New Roman"/>
          <w:b/>
          <w:bCs/>
          <w:sz w:val="20"/>
          <w:szCs w:val="18"/>
          <w14:ligatures w14:val="none"/>
        </w:rPr>
        <w:t>Bootstrapped differences of the coherence (top row), gain (middle row), and spectral power (bottom row) for the left ankle mediolateral linear accelerations (</w:t>
      </w:r>
      <m:oMath>
        <m:sSub>
          <m:sSubPr>
            <m:ctrlPr>
              <w:rPr>
                <w:rFonts w:ascii="Cambria Math" w:hAnsi="Cambria Math"/>
              </w:rPr>
            </m:ctrlPr>
          </m:sSubPr>
          <m:e>
            <m:r>
              <m:rPr>
                <m:sty m:val="bi"/>
              </m:rPr>
              <w:rPr>
                <w:rFonts w:ascii="Cambria Math" w:eastAsia="Cambria" w:hAnsi="Cambria Math" w:cs="Times New Roman"/>
                <w:sz w:val="20"/>
                <w:szCs w:val="18"/>
                <w14:ligatures w14:val="none"/>
              </w:rPr>
              <m:t>a</m:t>
            </m:r>
          </m:e>
          <m:sub>
            <m:r>
              <m:rPr>
                <m:sty m:val="bi"/>
              </m:rPr>
              <w:rPr>
                <w:rFonts w:ascii="Cambria Math" w:eastAsia="Cambria" w:hAnsi="Cambria Math" w:cs="Times New Roman"/>
                <w:sz w:val="20"/>
                <w:szCs w:val="18"/>
                <w14:ligatures w14:val="none"/>
              </w:rPr>
              <m:t>ML</m:t>
            </m:r>
          </m:sub>
        </m:sSub>
      </m:oMath>
      <w:r w:rsidRPr="003849F5">
        <w:rPr>
          <w:rFonts w:ascii="Times New Roman" w:eastAsia="Cambria" w:hAnsi="Times New Roman" w:cs="Times New Roman"/>
          <w:b/>
          <w:bCs/>
          <w:sz w:val="20"/>
          <w:szCs w:val="18"/>
          <w14:ligatures w14:val="none"/>
        </w:rPr>
        <w:t>).</w:t>
      </w:r>
      <w:r>
        <w:rPr>
          <w:rFonts w:ascii="Times New Roman" w:eastAsia="Cambria" w:hAnsi="Times New Roman" w:cs="Times New Roman"/>
          <w:sz w:val="20"/>
          <w:szCs w:val="18"/>
          <w14:ligatures w14:val="none"/>
        </w:rPr>
        <w:t xml:space="preserve"> Coherence and gain were calculated between the applied electrical vestibular stimulation and the left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and spectral power is the auto spectra of the left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Each column contains comparisons between the 40% step cadence condition and a faster step cadence condition (i.e. 60, 80, 100, 120 and 140%). Yellow indicates a decrease in coherence, gain, or power from the 40% condition to the faster step cadence condition, green indicates no significant difference, and blue indicates an increase from the 40% condition. </w:t>
      </w:r>
      <w:r w:rsidR="00154B2B">
        <w:rPr>
          <w:rFonts w:ascii="Times New Roman" w:eastAsia="Cambria" w:hAnsi="Times New Roman" w:cs="Times New Roman"/>
          <w:sz w:val="20"/>
          <w:szCs w:val="18"/>
          <w14:ligatures w14:val="none"/>
        </w:rPr>
        <w:t>RHS, right heel strike</w:t>
      </w:r>
      <w:r w:rsidR="001C4264">
        <w:rPr>
          <w:rFonts w:ascii="Cambria Math" w:eastAsia="Cambria" w:hAnsi="Cambria Math" w:cs="Times New Roman"/>
          <w:iCs/>
          <w:sz w:val="20"/>
          <w:szCs w:val="18"/>
          <w14:ligatures w14:val="none"/>
        </w:rPr>
        <w:t xml:space="preserve">; </w:t>
      </w:r>
      <w:r>
        <w:rPr>
          <w:rFonts w:ascii="Times New Roman" w:eastAsia="Cambria" w:hAnsi="Times New Roman" w:cs="Times New Roman"/>
          <w:sz w:val="20"/>
          <w:szCs w:val="18"/>
          <w14:ligatures w14:val="none"/>
        </w:rPr>
        <w:t>LTO, left toe-off; LHS, left heel strike; RTO, right toe-off.</w:t>
      </w:r>
    </w:p>
    <w:p w14:paraId="1C398E26" w14:textId="77777777" w:rsidR="009030FD" w:rsidRDefault="00000000">
      <w:pPr>
        <w:rPr>
          <w:rFonts w:ascii="Times New Roman" w:eastAsia="Cambria" w:hAnsi="Times New Roman" w:cs="Times New Roman"/>
          <w:sz w:val="20"/>
          <w:szCs w:val="18"/>
          <w14:ligatures w14:val="none"/>
        </w:rPr>
      </w:pPr>
      <w:r>
        <w:rPr>
          <w:rFonts w:ascii="Times New Roman" w:eastAsia="Cambria" w:hAnsi="Times New Roman" w:cs="Times New Roman"/>
          <w:sz w:val="20"/>
          <w:szCs w:val="18"/>
          <w14:ligatures w14:val="none"/>
        </w:rPr>
        <w:br w:type="page" w:clear="all"/>
      </w:r>
    </w:p>
    <w:p w14:paraId="670F1AF9" w14:textId="77777777" w:rsidR="009030FD" w:rsidRDefault="00000000">
      <w:pPr>
        <w:spacing w:after="0" w:line="360" w:lineRule="auto"/>
        <w:rPr>
          <w:rFonts w:ascii="Times New Roman" w:eastAsia="Cambria" w:hAnsi="Times New Roman" w:cs="Times New Roman"/>
          <w:b/>
          <w:bCs/>
          <w:sz w:val="20"/>
          <w:szCs w:val="18"/>
          <w14:ligatures w14:val="none"/>
        </w:rPr>
      </w:pPr>
      <w:r>
        <w:rPr>
          <w:rFonts w:ascii="Times New Roman" w:eastAsia="Cambria" w:hAnsi="Times New Roman" w:cs="Times New Roman"/>
          <w:b/>
          <w:bCs/>
          <w:noProof/>
          <w:sz w:val="20"/>
          <w:szCs w:val="18"/>
          <w14:ligatures w14:val="none"/>
        </w:rPr>
        <w:lastRenderedPageBreak/>
        <mc:AlternateContent>
          <mc:Choice Requires="wpg">
            <w:drawing>
              <wp:inline distT="0" distB="0" distL="0" distR="0" wp14:anchorId="172AEE2B" wp14:editId="64FFAAAE">
                <wp:extent cx="5933331" cy="345059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422" name="Picture 1"/>
                        <pic:cNvPicPr>
                          <a:picLocks noChangeAspect="1"/>
                        </pic:cNvPicPr>
                      </pic:nvPicPr>
                      <pic:blipFill>
                        <a:blip r:embed="rId23"/>
                        <a:stretch/>
                      </pic:blipFill>
                      <pic:spPr bwMode="auto">
                        <a:xfrm>
                          <a:off x="0" y="0"/>
                          <a:ext cx="5933331" cy="345059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67.19pt;height:271.70pt;mso-wrap-distance-left:0.00pt;mso-wrap-distance-top:0.00pt;mso-wrap-distance-right:0.00pt;mso-wrap-distance-bottom:0.00pt;z-index:1;" stroked="f">
                <v:imagedata r:id="rId24" o:title=""/>
                <o:lock v:ext="edit" rotation="t"/>
              </v:shape>
            </w:pict>
          </mc:Fallback>
        </mc:AlternateContent>
      </w:r>
    </w:p>
    <w:p w14:paraId="498AB41F" w14:textId="76A8AF0C" w:rsidR="009030FD" w:rsidRDefault="00000000">
      <w:pPr>
        <w:spacing w:after="0" w:line="360" w:lineRule="auto"/>
        <w:rPr>
          <w:rFonts w:ascii="Times New Roman" w:eastAsia="Cambria" w:hAnsi="Times New Roman" w:cs="Times New Roman"/>
          <w:sz w:val="20"/>
          <w:szCs w:val="28"/>
          <w14:ligatures w14:val="none"/>
        </w:rPr>
      </w:pPr>
      <w:r>
        <w:rPr>
          <w:rFonts w:ascii="Times New Roman" w:eastAsia="Cambria" w:hAnsi="Times New Roman" w:cs="Times New Roman"/>
          <w:b/>
          <w:bCs/>
          <w:sz w:val="20"/>
          <w:szCs w:val="18"/>
          <w14:ligatures w14:val="none"/>
        </w:rPr>
        <w:t>Figure S7.</w:t>
      </w:r>
      <w:r>
        <w:rPr>
          <w:rFonts w:ascii="Times New Roman" w:eastAsia="Cambria" w:hAnsi="Times New Roman" w:cs="Times New Roman"/>
          <w:sz w:val="20"/>
          <w:szCs w:val="18"/>
          <w14:ligatures w14:val="none"/>
        </w:rPr>
        <w:t xml:space="preserve"> </w:t>
      </w:r>
      <w:r>
        <w:rPr>
          <w:rFonts w:ascii="Times New Roman" w:eastAsia="Cambria" w:hAnsi="Times New Roman" w:cs="Times New Roman"/>
          <w:b/>
          <w:bCs/>
          <w:sz w:val="20"/>
          <w:szCs w:val="18"/>
          <w14:ligatures w14:val="none"/>
        </w:rPr>
        <w:t>Linear fits between m</w:t>
      </w:r>
      <w:r w:rsidRPr="003849F5">
        <w:rPr>
          <w:rFonts w:ascii="Times New Roman" w:eastAsia="Cambria" w:hAnsi="Times New Roman" w:cs="Times New Roman"/>
          <w:b/>
          <w:bCs/>
          <w:sz w:val="20"/>
          <w:szCs w:val="18"/>
          <w14:ligatures w14:val="none"/>
        </w:rPr>
        <w:t>ean proportion of residual variance (</w:t>
      </w:r>
      <m:oMath>
        <m:sSub>
          <m:sSubPr>
            <m:ctrlPr>
              <w:rPr>
                <w:rFonts w:ascii="Cambria Math" w:hAnsi="Cambria Math"/>
              </w:rPr>
            </m:ctrlPr>
          </m:sSubPr>
          <m:e>
            <m:r>
              <m:rPr>
                <m:sty m:val="bi"/>
              </m:rPr>
              <w:rPr>
                <w:rFonts w:ascii="Cambria Math" w:eastAsia="Cambria" w:hAnsi="Cambria Math" w:cs="Times New Roman"/>
                <w:sz w:val="20"/>
                <w:szCs w:val="18"/>
                <w14:ligatures w14:val="none"/>
              </w:rPr>
              <m:t>V</m:t>
            </m:r>
          </m:e>
          <m:sub>
            <m:r>
              <m:rPr>
                <m:sty m:val="bi"/>
              </m:rPr>
              <w:rPr>
                <w:rFonts w:ascii="Cambria Math" w:eastAsia="Cambria" w:hAnsi="Cambria Math" w:cs="Times New Roman"/>
                <w:sz w:val="20"/>
                <w:szCs w:val="18"/>
                <w14:ligatures w14:val="none"/>
              </w:rPr>
              <m:t>res</m:t>
            </m:r>
          </m:sub>
        </m:sSub>
      </m:oMath>
      <w:r w:rsidRPr="003849F5">
        <w:rPr>
          <w:rFonts w:ascii="Times New Roman" w:eastAsia="Cambria" w:hAnsi="Times New Roman" w:cs="Times New Roman"/>
          <w:b/>
          <w:bCs/>
          <w:sz w:val="20"/>
          <w:szCs w:val="18"/>
          <w14:ligatures w14:val="none"/>
        </w:rPr>
        <w:t>) versus peak coherence for all measures</w:t>
      </w:r>
      <w:r>
        <w:rPr>
          <w:rFonts w:ascii="Times New Roman" w:eastAsia="Cambria" w:hAnsi="Times New Roman" w:cs="Times New Roman"/>
          <w:sz w:val="20"/>
          <w:szCs w:val="18"/>
          <w14:ligatures w14:val="none"/>
        </w:rPr>
        <w:t xml:space="preserve">. We calculated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with the head net linear acceleration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first column), mediolateral linear acceleration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r>
          <w:rPr>
            <w:rFonts w:ascii="Cambria Math" w:eastAsia="Cambria" w:hAnsi="Cambria Math" w:cs="Times New Roman"/>
            <w:sz w:val="20"/>
            <w:szCs w:val="18"/>
            <w14:ligatures w14:val="none"/>
          </w:rPr>
          <m:t xml:space="preserve"> </m:t>
        </m:r>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second column), net angular velocity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NET</m:t>
            </m:r>
          </m:sub>
        </m:sSub>
      </m:oMath>
      <w:r>
        <w:rPr>
          <w:rFonts w:ascii="Times New Roman" w:eastAsia="Cambria" w:hAnsi="Times New Roman" w:cs="Times New Roman"/>
          <w:sz w:val="20"/>
          <w:szCs w:val="18"/>
          <w14:ligatures w14:val="none"/>
        </w:rPr>
        <w:t>; third column), and roll angular velocity (</w:t>
      </w:r>
      <w:bookmarkStart w:id="8" w:name="_Hlk182832216"/>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roll</m:t>
            </m:r>
          </m:sub>
        </m:sSub>
      </m:oMath>
      <w:bookmarkEnd w:id="8"/>
      <w:r>
        <w:rPr>
          <w:rFonts w:ascii="Times New Roman" w:eastAsia="Cambria" w:hAnsi="Times New Roman" w:cs="Times New Roman"/>
          <w:sz w:val="20"/>
          <w:szCs w:val="18"/>
          <w14:ligatures w14:val="none"/>
        </w:rPr>
        <w:t xml:space="preserve">; fourth column) from the trials </w:t>
      </w:r>
      <w:r>
        <w:rPr>
          <w:rFonts w:ascii="Times New Roman" w:eastAsia="Cambria" w:hAnsi="Times New Roman" w:cs="Times New Roman"/>
          <w:i/>
          <w:iCs/>
          <w:sz w:val="20"/>
          <w:szCs w:val="18"/>
          <w14:ligatures w14:val="none"/>
        </w:rPr>
        <w:t>with electrical vestibular stimulation</w:t>
      </w:r>
      <w:r>
        <w:rPr>
          <w:rFonts w:ascii="Times New Roman" w:eastAsia="Cambria" w:hAnsi="Times New Roman" w:cs="Times New Roman"/>
          <w:sz w:val="20"/>
          <w:szCs w:val="18"/>
          <w14:ligatures w14:val="none"/>
        </w:rPr>
        <w:t xml:space="preserve">. We calculated </w:t>
      </w:r>
      <w:r>
        <w:rPr>
          <w:rFonts w:ascii="Times New Roman" w:eastAsia="Cambria" w:hAnsi="Times New Roman" w:cs="Times New Roman"/>
          <w:sz w:val="20"/>
          <w:szCs w:val="28"/>
          <w14:ligatures w14:val="none"/>
        </w:rPr>
        <w:t>coherence between the applied electrical vestibular stimulation and the back mediolateral linear acceleration (</w:t>
      </w:r>
      <m:oMath>
        <m:sSub>
          <m:sSubPr>
            <m:ctrlPr>
              <w:rPr>
                <w:rFonts w:ascii="Cambria Math" w:hAnsi="Cambria Math"/>
              </w:rPr>
            </m:ctrlPr>
          </m:sSubPr>
          <m:e>
            <m:r>
              <w:rPr>
                <w:rFonts w:ascii="Cambria Math" w:eastAsia="Cambria" w:hAnsi="Cambria Math" w:cs="Times New Roman"/>
                <w:sz w:val="20"/>
                <w:szCs w:val="28"/>
                <w14:ligatures w14:val="none"/>
              </w:rPr>
              <m:t>a</m:t>
            </m:r>
          </m:e>
          <m:sub>
            <m:r>
              <w:rPr>
                <w:rFonts w:ascii="Cambria Math" w:eastAsia="Cambria" w:hAnsi="Cambria Math" w:cs="Times New Roman"/>
                <w:sz w:val="20"/>
                <w:szCs w:val="28"/>
                <w14:ligatures w14:val="none"/>
              </w:rPr>
              <m:t>ML</m:t>
            </m:r>
          </m:sub>
        </m:sSub>
        <m:r>
          <w:rPr>
            <w:rFonts w:ascii="Cambria Math" w:eastAsia="Cambria" w:hAnsi="Cambria Math" w:cs="Times New Roman"/>
            <w:sz w:val="20"/>
            <w:szCs w:val="28"/>
            <w14:ligatures w14:val="none"/>
          </w:rPr>
          <m:t xml:space="preserve">; </m:t>
        </m:r>
      </m:oMath>
      <w:r>
        <w:rPr>
          <w:rFonts w:ascii="Times New Roman" w:eastAsia="Cambria" w:hAnsi="Times New Roman" w:cs="Times New Roman"/>
          <w:sz w:val="20"/>
          <w:szCs w:val="28"/>
          <w14:ligatures w14:val="none"/>
        </w:rPr>
        <w:t xml:space="preserve">top row), right ankle </w:t>
      </w:r>
      <m:oMath>
        <m:sSub>
          <m:sSubPr>
            <m:ctrlPr>
              <w:rPr>
                <w:rFonts w:ascii="Cambria Math" w:hAnsi="Cambria Math"/>
              </w:rPr>
            </m:ctrlPr>
          </m:sSubPr>
          <m:e>
            <m:r>
              <w:rPr>
                <w:rFonts w:ascii="Cambria Math" w:eastAsia="Cambria" w:hAnsi="Cambria Math" w:cs="Times New Roman"/>
                <w:sz w:val="20"/>
                <w:szCs w:val="28"/>
                <w14:ligatures w14:val="none"/>
              </w:rPr>
              <m:t>a</m:t>
            </m:r>
          </m:e>
          <m:sub>
            <m:r>
              <w:rPr>
                <w:rFonts w:ascii="Cambria Math" w:eastAsia="Cambria" w:hAnsi="Cambria Math" w:cs="Times New Roman"/>
                <w:sz w:val="20"/>
                <w:szCs w:val="28"/>
                <w14:ligatures w14:val="none"/>
              </w:rPr>
              <m:t>ML</m:t>
            </m:r>
          </m:sub>
        </m:sSub>
      </m:oMath>
      <w:r>
        <w:rPr>
          <w:rFonts w:ascii="Times New Roman" w:eastAsia="Cambria" w:hAnsi="Times New Roman" w:cs="Times New Roman"/>
          <w:sz w:val="20"/>
          <w:szCs w:val="28"/>
          <w14:ligatures w14:val="none"/>
        </w:rPr>
        <w:t xml:space="preserve"> (middle row), and left ankle </w:t>
      </w:r>
      <m:oMath>
        <m:sSub>
          <m:sSubPr>
            <m:ctrlPr>
              <w:rPr>
                <w:rFonts w:ascii="Cambria Math" w:hAnsi="Cambria Math"/>
              </w:rPr>
            </m:ctrlPr>
          </m:sSubPr>
          <m:e>
            <m:r>
              <w:rPr>
                <w:rFonts w:ascii="Cambria Math" w:eastAsia="Cambria" w:hAnsi="Cambria Math" w:cs="Times New Roman"/>
                <w:sz w:val="20"/>
                <w:szCs w:val="28"/>
                <w14:ligatures w14:val="none"/>
              </w:rPr>
              <m:t>a</m:t>
            </m:r>
          </m:e>
          <m:sub>
            <m:r>
              <w:rPr>
                <w:rFonts w:ascii="Cambria Math" w:eastAsia="Cambria" w:hAnsi="Cambria Math" w:cs="Times New Roman"/>
                <w:sz w:val="20"/>
                <w:szCs w:val="28"/>
                <w14:ligatures w14:val="none"/>
              </w:rPr>
              <m:t>ML</m:t>
            </m:r>
          </m:sub>
        </m:sSub>
      </m:oMath>
      <w:r>
        <w:rPr>
          <w:rFonts w:ascii="Times New Roman" w:eastAsia="Cambria" w:hAnsi="Times New Roman" w:cs="Times New Roman"/>
          <w:sz w:val="20"/>
          <w:szCs w:val="28"/>
          <w14:ligatures w14:val="none"/>
        </w:rPr>
        <w:t xml:space="preserve"> (bottom row). </w:t>
      </w:r>
      <w:r>
        <w:rPr>
          <w:rFonts w:ascii="Times New Roman" w:eastAsia="Cambria" w:hAnsi="Times New Roman" w:cs="Times New Roman"/>
          <w:sz w:val="20"/>
          <w:szCs w:val="18"/>
          <w14:ligatures w14:val="none"/>
        </w:rPr>
        <w:t>The legend indicates the coefficient of determination (R</w:t>
      </w:r>
      <w:r>
        <w:rPr>
          <w:rFonts w:ascii="Times New Roman" w:eastAsia="Cambria" w:hAnsi="Times New Roman" w:cs="Times New Roman"/>
          <w:sz w:val="20"/>
          <w:szCs w:val="18"/>
          <w:vertAlign w:val="superscript"/>
          <w14:ligatures w14:val="none"/>
        </w:rPr>
        <w:t>2</w:t>
      </w:r>
      <w:r>
        <w:rPr>
          <w:rFonts w:ascii="Times New Roman" w:eastAsia="Cambria" w:hAnsi="Times New Roman" w:cs="Times New Roman"/>
          <w:sz w:val="20"/>
          <w:szCs w:val="18"/>
          <w14:ligatures w14:val="none"/>
        </w:rPr>
        <w:t xml:space="preserve">) for the fit with all the step cadence conditions (“All”, black), the fit with the 40% to 100% step cadence conditions (“40:100%”, light blue), and the fit with the 100% to 140% step cadence conditions (“100:140%”, pink). In all cases, except for </w:t>
      </w:r>
      <m:oMath>
        <m:sSub>
          <m:sSubPr>
            <m:ctrlPr>
              <w:rPr>
                <w:rFonts w:ascii="Cambria Math" w:hAnsi="Cambria Math"/>
              </w:rPr>
            </m:ctrlPr>
          </m:sSubPr>
          <m:e>
            <m:r>
              <w:rPr>
                <w:rFonts w:ascii="Cambria Math" w:eastAsia="Cambria" w:hAnsi="Cambria Math" w:cs="Times New Roman"/>
                <w:sz w:val="20"/>
                <w:szCs w:val="18"/>
                <w14:ligatures w14:val="none"/>
              </w:rPr>
              <m:t>V</m:t>
            </m:r>
          </m:e>
          <m:sub>
            <m:r>
              <w:rPr>
                <w:rFonts w:ascii="Cambria Math" w:eastAsia="Cambria" w:hAnsi="Cambria Math" w:cs="Times New Roman"/>
                <w:sz w:val="20"/>
                <w:szCs w:val="18"/>
                <w14:ligatures w14:val="none"/>
              </w:rPr>
              <m:t>res</m:t>
            </m:r>
          </m:sub>
        </m:sSub>
      </m:oMath>
      <w:r>
        <w:rPr>
          <w:rFonts w:ascii="Times New Roman" w:eastAsia="Cambria" w:hAnsi="Times New Roman" w:cs="Times New Roman"/>
          <w:sz w:val="20"/>
          <w:szCs w:val="18"/>
          <w14:ligatures w14:val="none"/>
        </w:rPr>
        <w:t xml:space="preserve"> </w:t>
      </w:r>
      <m:oMath>
        <m:sSub>
          <m:sSubPr>
            <m:ctrlPr>
              <w:rPr>
                <w:rFonts w:ascii="Cambria Math" w:hAnsi="Cambria Math"/>
              </w:rPr>
            </m:ctrlPr>
          </m:sSubPr>
          <m:e>
            <m:r>
              <w:rPr>
                <w:rFonts w:ascii="Cambria Math" w:eastAsia="Cambria" w:hAnsi="Cambria Math" w:cs="Times New Roman"/>
                <w:sz w:val="20"/>
                <w:szCs w:val="18"/>
                <w14:ligatures w14:val="none"/>
              </w:rPr>
              <m:t>ω</m:t>
            </m:r>
          </m:e>
          <m:sub>
            <m:r>
              <w:rPr>
                <w:rFonts w:ascii="Cambria Math" w:eastAsia="Cambria" w:hAnsi="Cambria Math" w:cs="Times New Roman"/>
                <w:sz w:val="20"/>
                <w:szCs w:val="18"/>
                <w14:ligatures w14:val="none"/>
              </w:rPr>
              <m:t>roll</m:t>
            </m:r>
          </m:sub>
        </m:sSub>
      </m:oMath>
      <w:r>
        <w:rPr>
          <w:rFonts w:ascii="Times New Roman" w:eastAsia="Cambria" w:hAnsi="Times New Roman" w:cs="Times New Roman"/>
          <w:sz w:val="20"/>
          <w:szCs w:val="18"/>
          <w14:ligatures w14:val="none"/>
        </w:rPr>
        <w:t xml:space="preserve"> vs left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coherence, the R</w:t>
      </w:r>
      <w:r>
        <w:rPr>
          <w:rFonts w:ascii="Times New Roman" w:eastAsia="Cambria" w:hAnsi="Times New Roman" w:cs="Times New Roman"/>
          <w:sz w:val="20"/>
          <w:szCs w:val="18"/>
          <w:vertAlign w:val="superscript"/>
          <w14:ligatures w14:val="none"/>
        </w:rPr>
        <w:t>2</w:t>
      </w:r>
      <w:r>
        <w:rPr>
          <w:rFonts w:ascii="Times New Roman" w:eastAsia="Cambria" w:hAnsi="Times New Roman" w:cs="Times New Roman"/>
          <w:sz w:val="20"/>
          <w:szCs w:val="18"/>
          <w14:ligatures w14:val="none"/>
        </w:rPr>
        <w:t xml:space="preserve"> was lower in the fit with all conditions compared to the fit with the 40% to 100% conditions. </w:t>
      </w:r>
      <w:r>
        <w:rPr>
          <w:rFonts w:ascii="Times New Roman" w:eastAsia="Cambria" w:hAnsi="Times New Roman" w:cs="Times New Roman"/>
          <w:sz w:val="20"/>
          <w:szCs w:val="28"/>
          <w14:ligatures w14:val="none"/>
        </w:rPr>
        <w:t xml:space="preserve">Closed circles represent the values from individual participants and colour gradient indicates step cadence condition (40%: light blue; 140%: pink). </w:t>
      </w:r>
    </w:p>
    <w:p w14:paraId="2E9DDBC2" w14:textId="77777777" w:rsidR="009030FD" w:rsidRDefault="00000000">
      <w:pPr>
        <w:rPr>
          <w:rFonts w:ascii="Times New Roman" w:eastAsia="Cambria" w:hAnsi="Times New Roman" w:cs="Times New Roman"/>
          <w:sz w:val="20"/>
          <w:szCs w:val="28"/>
          <w14:ligatures w14:val="none"/>
        </w:rPr>
      </w:pPr>
      <w:r>
        <w:rPr>
          <w:rFonts w:ascii="Times New Roman" w:eastAsia="Cambria" w:hAnsi="Times New Roman" w:cs="Times New Roman"/>
          <w:sz w:val="20"/>
          <w:szCs w:val="28"/>
          <w14:ligatures w14:val="none"/>
        </w:rPr>
        <w:br w:type="page" w:clear="all"/>
      </w:r>
    </w:p>
    <w:p w14:paraId="79047252" w14:textId="77777777" w:rsidR="009030FD" w:rsidRDefault="00000000">
      <w:pPr>
        <w:spacing w:after="0" w:line="360" w:lineRule="auto"/>
        <w:rPr>
          <w:rFonts w:ascii="Times New Roman" w:eastAsia="Cambria" w:hAnsi="Times New Roman" w:cs="Times New Roman"/>
          <w:sz w:val="20"/>
          <w:szCs w:val="28"/>
          <w14:ligatures w14:val="none"/>
        </w:rPr>
      </w:pPr>
      <w:r>
        <w:rPr>
          <w:rFonts w:ascii="Times New Roman" w:eastAsia="Cambria" w:hAnsi="Times New Roman" w:cs="Times New Roman"/>
          <w:noProof/>
          <w:sz w:val="20"/>
          <w:szCs w:val="28"/>
        </w:rPr>
        <w:lastRenderedPageBreak/>
        <mc:AlternateContent>
          <mc:Choice Requires="wpg">
            <w:drawing>
              <wp:inline distT="0" distB="0" distL="0" distR="0" wp14:anchorId="3F43C4DB" wp14:editId="25E3D1C3">
                <wp:extent cx="5943476" cy="35636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90174" name="Picture 1"/>
                        <pic:cNvPicPr>
                          <a:picLocks noChangeAspect="1"/>
                        </pic:cNvPicPr>
                      </pic:nvPicPr>
                      <pic:blipFill>
                        <a:blip r:embed="rId25"/>
                        <a:stretch/>
                      </pic:blipFill>
                      <pic:spPr bwMode="auto">
                        <a:xfrm>
                          <a:off x="0" y="0"/>
                          <a:ext cx="5943476" cy="356362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67.99pt;height:280.60pt;mso-wrap-distance-left:0.00pt;mso-wrap-distance-top:0.00pt;mso-wrap-distance-right:0.00pt;mso-wrap-distance-bottom:0.00pt;z-index:1;" stroked="false">
                <v:imagedata r:id="rId26" o:title=""/>
                <o:lock v:ext="edit" rotation="t"/>
              </v:shape>
            </w:pict>
          </mc:Fallback>
        </mc:AlternateContent>
      </w:r>
    </w:p>
    <w:p w14:paraId="3AA2B39E" w14:textId="4542789D" w:rsidR="009030FD" w:rsidRDefault="00000000">
      <w:pPr>
        <w:spacing w:after="0" w:line="360" w:lineRule="auto"/>
        <w:rPr>
          <w:rFonts w:ascii="Times New Roman" w:eastAsia="Cambria" w:hAnsi="Times New Roman" w:cs="Times New Roman"/>
          <w:sz w:val="20"/>
          <w:szCs w:val="28"/>
          <w14:ligatures w14:val="none"/>
        </w:rPr>
      </w:pPr>
      <w:r>
        <w:rPr>
          <w:rFonts w:ascii="Times New Roman" w:eastAsia="Cambria" w:hAnsi="Times New Roman" w:cs="Times New Roman"/>
          <w:b/>
          <w:bCs/>
          <w:sz w:val="20"/>
          <w:szCs w:val="28"/>
          <w14:ligatures w14:val="none"/>
        </w:rPr>
        <w:t xml:space="preserve">Figure S8. Predicted encoding of canal afferent firing rates </w:t>
      </w:r>
      <w:r w:rsidR="00E409DA">
        <w:rPr>
          <w:rFonts w:ascii="Times New Roman" w:eastAsia="Cambria" w:hAnsi="Times New Roman" w:cs="Times New Roman"/>
          <w:b/>
          <w:bCs/>
          <w:sz w:val="20"/>
          <w:szCs w:val="28"/>
          <w14:ligatures w14:val="none"/>
        </w:rPr>
        <w:t>from mechanical and electrical stimuli</w:t>
      </w:r>
      <w:r>
        <w:rPr>
          <w:rFonts w:ascii="Times New Roman" w:eastAsia="Cambria" w:hAnsi="Times New Roman" w:cs="Times New Roman"/>
          <w:b/>
          <w:bCs/>
          <w:sz w:val="20"/>
          <w:szCs w:val="28"/>
          <w14:ligatures w14:val="none"/>
        </w:rPr>
        <w:t>.</w:t>
      </w:r>
      <w:r>
        <w:rPr>
          <w:rFonts w:ascii="Times New Roman" w:eastAsia="Cambria" w:hAnsi="Times New Roman" w:cs="Times New Roman"/>
          <w:sz w:val="20"/>
          <w:szCs w:val="28"/>
          <w14:ligatures w14:val="none"/>
        </w:rPr>
        <w:t xml:space="preserve"> The firing rates include head kinematic and electrical vestibular stimulation inputs. Top row includes the linear predictions of the firing rates from all </w:t>
      </w:r>
      <w:proofErr w:type="gramStart"/>
      <w:r>
        <w:rPr>
          <w:rFonts w:ascii="Times New Roman" w:eastAsia="Cambria" w:hAnsi="Times New Roman" w:cs="Times New Roman"/>
          <w:sz w:val="20"/>
          <w:szCs w:val="28"/>
          <w14:ligatures w14:val="none"/>
        </w:rPr>
        <w:t>irregular</w:t>
      </w:r>
      <w:proofErr w:type="gramEnd"/>
      <w:r>
        <w:rPr>
          <w:rFonts w:ascii="Times New Roman" w:eastAsia="Cambria" w:hAnsi="Times New Roman" w:cs="Times New Roman"/>
          <w:sz w:val="20"/>
          <w:szCs w:val="28"/>
          <w14:ligatures w14:val="none"/>
        </w:rPr>
        <w:t xml:space="preserve"> (red) and regular (blue) canal afferents in all participants (n = 12). To determine the actual afferent response firing rates (middle row), </w:t>
      </w:r>
      <w:r w:rsidR="000D2BE4" w:rsidRPr="000D2BE4">
        <w:rPr>
          <w:rFonts w:ascii="Times New Roman" w:eastAsia="Cambria" w:hAnsi="Times New Roman" w:cs="Times New Roman"/>
          <w:sz w:val="20"/>
          <w:szCs w:val="28"/>
          <w14:ligatures w14:val="none"/>
        </w:rPr>
        <w:t>a sigmoid function (dash</w:t>
      </w:r>
      <w:r w:rsidR="000D2BE4">
        <w:rPr>
          <w:rFonts w:ascii="Times New Roman" w:eastAsia="Cambria" w:hAnsi="Times New Roman" w:cs="Times New Roman"/>
          <w:sz w:val="20"/>
          <w:szCs w:val="28"/>
          <w14:ligatures w14:val="none"/>
        </w:rPr>
        <w:t>e</w:t>
      </w:r>
      <w:r w:rsidR="000D2BE4" w:rsidRPr="000D2BE4">
        <w:rPr>
          <w:rFonts w:ascii="Times New Roman" w:eastAsia="Cambria" w:hAnsi="Times New Roman" w:cs="Times New Roman"/>
          <w:sz w:val="20"/>
          <w:szCs w:val="28"/>
          <w14:ligatures w14:val="none"/>
        </w:rPr>
        <w:t>d lines) was applied to the linear predictions for irregular and regular primary vestibular afferents</w:t>
      </w:r>
      <w:r>
        <w:rPr>
          <w:rFonts w:ascii="Times New Roman" w:eastAsia="Cambria" w:hAnsi="Times New Roman" w:cs="Times New Roman"/>
          <w:sz w:val="20"/>
          <w:szCs w:val="28"/>
          <w14:ligatures w14:val="none"/>
        </w:rPr>
        <w:t xml:space="preserve">. Non-linear processing in central vestibular nuclei (VN) firing rates (bottom row) </w:t>
      </w:r>
      <w:proofErr w:type="gramStart"/>
      <w:r>
        <w:rPr>
          <w:rFonts w:ascii="Times New Roman" w:eastAsia="Cambria" w:hAnsi="Times New Roman" w:cs="Times New Roman"/>
          <w:sz w:val="20"/>
          <w:szCs w:val="28"/>
          <w14:ligatures w14:val="none"/>
        </w:rPr>
        <w:t>were</w:t>
      </w:r>
      <w:proofErr w:type="gramEnd"/>
      <w:r>
        <w:rPr>
          <w:rFonts w:ascii="Times New Roman" w:eastAsia="Cambria" w:hAnsi="Times New Roman" w:cs="Times New Roman"/>
          <w:sz w:val="20"/>
          <w:szCs w:val="28"/>
          <w14:ligatures w14:val="none"/>
        </w:rPr>
        <w:t xml:space="preserve"> estimated with a bi-linear function (dashed black line). Closed circles represent firing rates estimated at a single time step from individual trials and participants. </w:t>
      </w:r>
    </w:p>
    <w:p w14:paraId="1A117F5D" w14:textId="77777777" w:rsidR="009030FD" w:rsidRDefault="00000000">
      <w:pPr>
        <w:rPr>
          <w:rFonts w:ascii="Times New Roman" w:eastAsia="Cambria" w:hAnsi="Times New Roman" w:cs="Times New Roman"/>
          <w:sz w:val="20"/>
          <w:szCs w:val="28"/>
          <w14:ligatures w14:val="none"/>
        </w:rPr>
      </w:pPr>
      <w:r>
        <w:rPr>
          <w:rFonts w:ascii="Times New Roman" w:eastAsia="Cambria" w:hAnsi="Times New Roman" w:cs="Times New Roman"/>
          <w:sz w:val="20"/>
          <w:szCs w:val="28"/>
          <w14:ligatures w14:val="none"/>
        </w:rPr>
        <w:br w:type="page" w:clear="all"/>
      </w:r>
    </w:p>
    <w:p w14:paraId="2C4FC118" w14:textId="77777777" w:rsidR="009030FD" w:rsidRDefault="00000000">
      <w:pPr>
        <w:spacing w:after="0" w:line="360" w:lineRule="auto"/>
        <w:rPr>
          <w:b/>
          <w:bCs/>
        </w:rPr>
      </w:pPr>
      <w:r>
        <w:rPr>
          <w:b/>
          <w:bCs/>
          <w:noProof/>
        </w:rPr>
        <w:lastRenderedPageBreak/>
        <mc:AlternateContent>
          <mc:Choice Requires="wpg">
            <w:drawing>
              <wp:inline distT="0" distB="0" distL="0" distR="0" wp14:anchorId="2FF2F544" wp14:editId="16B7F9DD">
                <wp:extent cx="5937885" cy="3559810"/>
                <wp:effectExtent l="0" t="0" r="0" b="254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7"/>
                        <a:stretch/>
                      </pic:blipFill>
                      <pic:spPr bwMode="auto">
                        <a:xfrm>
                          <a:off x="0" y="0"/>
                          <a:ext cx="5937885" cy="355981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67.55pt;height:280.30pt;mso-wrap-distance-left:0.00pt;mso-wrap-distance-top:0.00pt;mso-wrap-distance-right:0.00pt;mso-wrap-distance-bottom:0.00pt;z-index:1;" stroked="f">
                <v:imagedata r:id="rId28" o:title=""/>
                <o:lock v:ext="edit" rotation="t"/>
              </v:shape>
            </w:pict>
          </mc:Fallback>
        </mc:AlternateContent>
      </w:r>
    </w:p>
    <w:p w14:paraId="0AAF72F0" w14:textId="221A02D7" w:rsidR="009030FD" w:rsidRDefault="00000000">
      <w:pPr>
        <w:spacing w:after="0" w:line="360" w:lineRule="auto"/>
        <w:rPr>
          <w:rFonts w:ascii="Times New Roman" w:eastAsia="Cambria" w:hAnsi="Times New Roman" w:cs="Times New Roman"/>
          <w:sz w:val="20"/>
          <w:szCs w:val="28"/>
          <w14:ligatures w14:val="none"/>
        </w:rPr>
      </w:pPr>
      <w:r>
        <w:rPr>
          <w:rFonts w:ascii="Times New Roman" w:eastAsia="Cambria" w:hAnsi="Times New Roman" w:cs="Times New Roman"/>
          <w:b/>
          <w:bCs/>
          <w:sz w:val="20"/>
          <w:szCs w:val="28"/>
          <w14:ligatures w14:val="none"/>
        </w:rPr>
        <w:t xml:space="preserve">Figure S9.  Predicted encoding of otolith afferent firing rates </w:t>
      </w:r>
      <w:r w:rsidR="0087011C">
        <w:rPr>
          <w:rFonts w:ascii="Times New Roman" w:eastAsia="Cambria" w:hAnsi="Times New Roman" w:cs="Times New Roman"/>
          <w:b/>
          <w:bCs/>
          <w:sz w:val="20"/>
          <w:szCs w:val="28"/>
          <w14:ligatures w14:val="none"/>
        </w:rPr>
        <w:t>from mechanical and electrical stimuli</w:t>
      </w:r>
      <w:r>
        <w:rPr>
          <w:rFonts w:ascii="Times New Roman" w:eastAsia="Cambria" w:hAnsi="Times New Roman" w:cs="Times New Roman"/>
          <w:b/>
          <w:bCs/>
          <w:sz w:val="20"/>
          <w:szCs w:val="28"/>
          <w14:ligatures w14:val="none"/>
        </w:rPr>
        <w:t xml:space="preserve">. </w:t>
      </w:r>
      <w:r>
        <w:rPr>
          <w:rFonts w:ascii="Times New Roman" w:eastAsia="Cambria" w:hAnsi="Times New Roman" w:cs="Times New Roman"/>
          <w:sz w:val="20"/>
          <w:szCs w:val="28"/>
          <w14:ligatures w14:val="none"/>
        </w:rPr>
        <w:t xml:space="preserve">The firing rates include head kinematic and electrical vestibular stimulation inputs. Top row includes the linear predictions of the firing rates from all </w:t>
      </w:r>
      <w:proofErr w:type="gramStart"/>
      <w:r>
        <w:rPr>
          <w:rFonts w:ascii="Times New Roman" w:eastAsia="Cambria" w:hAnsi="Times New Roman" w:cs="Times New Roman"/>
          <w:sz w:val="20"/>
          <w:szCs w:val="28"/>
          <w14:ligatures w14:val="none"/>
        </w:rPr>
        <w:t>irregular</w:t>
      </w:r>
      <w:proofErr w:type="gramEnd"/>
      <w:r>
        <w:rPr>
          <w:rFonts w:ascii="Times New Roman" w:eastAsia="Cambria" w:hAnsi="Times New Roman" w:cs="Times New Roman"/>
          <w:sz w:val="20"/>
          <w:szCs w:val="28"/>
          <w14:ligatures w14:val="none"/>
        </w:rPr>
        <w:t xml:space="preserve"> (red) and regular (blue) otolith afferents in all participants (n = 12). To determine the actual afferent response firing rates (middle row), </w:t>
      </w:r>
      <w:r w:rsidR="000D2BE4" w:rsidRPr="000D2BE4">
        <w:rPr>
          <w:rFonts w:ascii="Times New Roman" w:eastAsia="Cambria" w:hAnsi="Times New Roman" w:cs="Times New Roman"/>
          <w:sz w:val="20"/>
          <w:szCs w:val="28"/>
          <w14:ligatures w14:val="none"/>
        </w:rPr>
        <w:t>a sigmoid function (dash</w:t>
      </w:r>
      <w:r w:rsidR="000D2BE4">
        <w:rPr>
          <w:rFonts w:ascii="Times New Roman" w:eastAsia="Cambria" w:hAnsi="Times New Roman" w:cs="Times New Roman"/>
          <w:sz w:val="20"/>
          <w:szCs w:val="28"/>
          <w14:ligatures w14:val="none"/>
        </w:rPr>
        <w:t>e</w:t>
      </w:r>
      <w:r w:rsidR="000D2BE4" w:rsidRPr="000D2BE4">
        <w:rPr>
          <w:rFonts w:ascii="Times New Roman" w:eastAsia="Cambria" w:hAnsi="Times New Roman" w:cs="Times New Roman"/>
          <w:sz w:val="20"/>
          <w:szCs w:val="28"/>
          <w14:ligatures w14:val="none"/>
        </w:rPr>
        <w:t>d lines) was applied to the linear predictions for irregular and regular primary vestibular afferents</w:t>
      </w:r>
      <w:r>
        <w:rPr>
          <w:rFonts w:ascii="Times New Roman" w:eastAsia="Cambria" w:hAnsi="Times New Roman" w:cs="Times New Roman"/>
          <w:sz w:val="20"/>
          <w:szCs w:val="28"/>
          <w14:ligatures w14:val="none"/>
        </w:rPr>
        <w:t xml:space="preserve">. Non-linear processing in central, vestibular nuclei (VN) firing rates (bottom row) </w:t>
      </w:r>
      <w:proofErr w:type="gramStart"/>
      <w:r>
        <w:rPr>
          <w:rFonts w:ascii="Times New Roman" w:eastAsia="Cambria" w:hAnsi="Times New Roman" w:cs="Times New Roman"/>
          <w:sz w:val="20"/>
          <w:szCs w:val="28"/>
          <w14:ligatures w14:val="none"/>
        </w:rPr>
        <w:t>were</w:t>
      </w:r>
      <w:proofErr w:type="gramEnd"/>
      <w:r>
        <w:rPr>
          <w:rFonts w:ascii="Times New Roman" w:eastAsia="Cambria" w:hAnsi="Times New Roman" w:cs="Times New Roman"/>
          <w:sz w:val="20"/>
          <w:szCs w:val="28"/>
          <w14:ligatures w14:val="none"/>
        </w:rPr>
        <w:t xml:space="preserve"> estimated with a bi-linear function (dashed black line). Closed circles represent firing rates estimated at a single time step from individual trials and participants.</w:t>
      </w:r>
    </w:p>
    <w:p w14:paraId="39C9AC7D" w14:textId="77777777" w:rsidR="009030FD" w:rsidRDefault="00000000">
      <w:pPr>
        <w:rPr>
          <w:rFonts w:ascii="Times New Roman" w:eastAsia="Cambria" w:hAnsi="Times New Roman" w:cs="Times New Roman"/>
          <w:sz w:val="20"/>
          <w:szCs w:val="28"/>
          <w14:ligatures w14:val="none"/>
        </w:rPr>
      </w:pPr>
      <w:r>
        <w:rPr>
          <w:rFonts w:ascii="Times New Roman" w:eastAsia="Cambria" w:hAnsi="Times New Roman" w:cs="Times New Roman"/>
          <w:sz w:val="20"/>
          <w:szCs w:val="28"/>
          <w14:ligatures w14:val="none"/>
        </w:rPr>
        <w:br w:type="page" w:clear="all"/>
      </w:r>
    </w:p>
    <w:p w14:paraId="08EB0A22" w14:textId="77777777" w:rsidR="009030FD" w:rsidRDefault="00000000">
      <w:pPr>
        <w:spacing w:after="0" w:line="360" w:lineRule="auto"/>
        <w:rPr>
          <w:rFonts w:ascii="Times New Roman" w:eastAsia="Cambria" w:hAnsi="Times New Roman" w:cs="Times New Roman"/>
          <w:sz w:val="20"/>
          <w:szCs w:val="28"/>
          <w14:ligatures w14:val="none"/>
        </w:rPr>
      </w:pPr>
      <w:r>
        <w:rPr>
          <w:rFonts w:ascii="Times New Roman" w:eastAsia="Cambria" w:hAnsi="Times New Roman" w:cs="Times New Roman"/>
          <w:noProof/>
          <w:sz w:val="20"/>
          <w:szCs w:val="28"/>
          <w14:ligatures w14:val="none"/>
        </w:rPr>
        <w:lastRenderedPageBreak/>
        <w:drawing>
          <wp:inline distT="0" distB="0" distL="0" distR="0" wp14:anchorId="2AF943B1" wp14:editId="5490C58B">
            <wp:extent cx="5998029" cy="3055722"/>
            <wp:effectExtent l="0" t="0" r="3175"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6012056" cy="3062868"/>
                    </a:xfrm>
                    <a:prstGeom prst="rect">
                      <a:avLst/>
                    </a:prstGeom>
                    <a:noFill/>
                    <a:ln>
                      <a:noFill/>
                    </a:ln>
                  </pic:spPr>
                </pic:pic>
              </a:graphicData>
            </a:graphic>
          </wp:inline>
        </w:drawing>
      </w:r>
    </w:p>
    <w:p w14:paraId="3BF08235" w14:textId="5390B73E" w:rsidR="009030FD" w:rsidRPr="003849F5" w:rsidRDefault="00000000">
      <w:pPr>
        <w:spacing w:after="0" w:line="360" w:lineRule="auto"/>
      </w:pPr>
      <w:r>
        <w:rPr>
          <w:rFonts w:ascii="Times New Roman" w:eastAsia="Cambria" w:hAnsi="Times New Roman" w:cs="Times New Roman"/>
          <w:b/>
          <w:bCs/>
          <w:sz w:val="20"/>
          <w:szCs w:val="28"/>
          <w14:ligatures w14:val="none"/>
        </w:rPr>
        <w:t xml:space="preserve">Figure S10. Comparison of stationary coherence using true electrical vestibular stimulation signals and estimated central vestibular signals. </w:t>
      </w:r>
      <w:r>
        <w:rPr>
          <w:rFonts w:ascii="Times New Roman" w:eastAsia="Cambria" w:hAnsi="Times New Roman" w:cs="Times New Roman"/>
          <w:sz w:val="20"/>
          <w:szCs w:val="28"/>
          <w14:ligatures w14:val="none"/>
        </w:rPr>
        <w:t xml:space="preserve">Stationary coherence calculated with the true electrical vestibular stimulation signal (blue line) or the central vestibular encoding estimate (red dashed line) with the back mediolateral acceleration </w:t>
      </w:r>
      <w:r>
        <w:rPr>
          <w:rFonts w:ascii="Times New Roman" w:eastAsia="Cambria" w:hAnsi="Times New Roman" w:cs="Times New Roman"/>
          <w:sz w:val="20"/>
          <w:szCs w:val="18"/>
          <w14:ligatures w14:val="none"/>
        </w:rPr>
        <w:t>(</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r>
          <w:rPr>
            <w:rFonts w:ascii="Cambria Math" w:eastAsia="Cambria" w:hAnsi="Cambria Math" w:cs="Times New Roman"/>
            <w:sz w:val="20"/>
            <w:szCs w:val="18"/>
            <w14:ligatures w14:val="none"/>
          </w:rPr>
          <m:t xml:space="preserve">; </m:t>
        </m:r>
      </m:oMath>
      <w:r>
        <w:rPr>
          <w:rFonts w:ascii="Times New Roman" w:eastAsia="Cambria" w:hAnsi="Times New Roman" w:cs="Times New Roman"/>
          <w:sz w:val="20"/>
          <w:szCs w:val="18"/>
          <w14:ligatures w14:val="none"/>
        </w:rPr>
        <w:t xml:space="preserve">top row), right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(middle row), and left ankle </w:t>
      </w:r>
      <m:oMath>
        <m:sSub>
          <m:sSubPr>
            <m:ctrlPr>
              <w:rPr>
                <w:rFonts w:ascii="Cambria Math" w:hAnsi="Cambria Math"/>
              </w:rPr>
            </m:ctrlPr>
          </m:sSubPr>
          <m:e>
            <m:r>
              <w:rPr>
                <w:rFonts w:ascii="Cambria Math" w:eastAsia="Cambria" w:hAnsi="Cambria Math" w:cs="Times New Roman"/>
                <w:sz w:val="20"/>
                <w:szCs w:val="18"/>
                <w14:ligatures w14:val="none"/>
              </w:rPr>
              <m:t>a</m:t>
            </m:r>
          </m:e>
          <m:sub>
            <m:r>
              <w:rPr>
                <w:rFonts w:ascii="Cambria Math" w:eastAsia="Cambria" w:hAnsi="Cambria Math" w:cs="Times New Roman"/>
                <w:sz w:val="20"/>
                <w:szCs w:val="18"/>
                <w14:ligatures w14:val="none"/>
              </w:rPr>
              <m:t>ML</m:t>
            </m:r>
          </m:sub>
        </m:sSub>
      </m:oMath>
      <w:r>
        <w:rPr>
          <w:rFonts w:ascii="Times New Roman" w:eastAsia="Cambria" w:hAnsi="Times New Roman" w:cs="Times New Roman"/>
          <w:sz w:val="20"/>
          <w:szCs w:val="18"/>
          <w14:ligatures w14:val="none"/>
        </w:rPr>
        <w:t xml:space="preserve"> (bottom row) across step cadence conditions. The largest difference observed between coherence estimates </w:t>
      </w:r>
      <w:r w:rsidR="00106292">
        <w:rPr>
          <w:rFonts w:ascii="Times New Roman" w:eastAsia="Cambria" w:hAnsi="Times New Roman" w:cs="Times New Roman"/>
          <w:sz w:val="20"/>
          <w:szCs w:val="18"/>
          <w14:ligatures w14:val="none"/>
        </w:rPr>
        <w:t xml:space="preserve">at a given frequency </w:t>
      </w:r>
      <w:r>
        <w:rPr>
          <w:rFonts w:ascii="Times New Roman" w:eastAsia="Cambria" w:hAnsi="Times New Roman" w:cs="Times New Roman"/>
          <w:sz w:val="20"/>
          <w:szCs w:val="18"/>
          <w14:ligatures w14:val="none"/>
        </w:rPr>
        <w:t xml:space="preserve">(across all sensors and conditions) was 0.0089. </w:t>
      </w:r>
      <w:r w:rsidR="00BE14BD">
        <w:rPr>
          <w:rFonts w:ascii="Times New Roman" w:eastAsia="Cambria" w:hAnsi="Times New Roman" w:cs="Times New Roman"/>
          <w:sz w:val="20"/>
          <w:szCs w:val="18"/>
          <w14:ligatures w14:val="none"/>
        </w:rPr>
        <w:t xml:space="preserve">Horizontal dashed line indicates the 95% confidence threshold for the pooled coherence estimates. </w:t>
      </w:r>
    </w:p>
    <w:p w14:paraId="06CBC1EF" w14:textId="77777777" w:rsidR="009030FD" w:rsidRPr="003849F5" w:rsidRDefault="009030FD">
      <w:pPr>
        <w:spacing w:after="0" w:line="360" w:lineRule="auto"/>
        <w:rPr>
          <w:b/>
          <w:bCs/>
        </w:rPr>
      </w:pPr>
    </w:p>
    <w:p w14:paraId="51DBA6EB" w14:textId="77777777" w:rsidR="009030FD" w:rsidRDefault="00000000">
      <w:pPr>
        <w:rPr>
          <w:rFonts w:ascii="Times New Roman" w:eastAsia="Cambria" w:hAnsi="Times New Roman" w:cs="Times New Roman"/>
          <w:sz w:val="20"/>
          <w:szCs w:val="28"/>
          <w14:ligatures w14:val="none"/>
        </w:rPr>
      </w:pPr>
      <w:r>
        <w:rPr>
          <w:rFonts w:ascii="Times New Roman" w:eastAsia="Cambria" w:hAnsi="Times New Roman" w:cs="Times New Roman"/>
          <w:sz w:val="20"/>
          <w:szCs w:val="28"/>
          <w14:ligatures w14:val="none"/>
        </w:rPr>
        <w:br w:type="page" w:clear="all"/>
      </w:r>
    </w:p>
    <w:p w14:paraId="729F6EF1" w14:textId="77777777" w:rsidR="009030FD" w:rsidRDefault="00000000">
      <w:pPr>
        <w:spacing w:after="0" w:line="360" w:lineRule="auto"/>
        <w:rPr>
          <w:rFonts w:ascii="Times New Roman" w:eastAsia="Cambria" w:hAnsi="Times New Roman" w:cs="Times New Roman"/>
          <w:b/>
          <w:bCs/>
          <w:sz w:val="24"/>
          <w14:ligatures w14:val="none"/>
        </w:rPr>
      </w:pPr>
      <w:r>
        <w:rPr>
          <w:rFonts w:ascii="Times New Roman" w:eastAsia="Cambria" w:hAnsi="Times New Roman" w:cs="Times New Roman"/>
          <w:b/>
          <w:bCs/>
          <w:sz w:val="24"/>
          <w14:ligatures w14:val="none"/>
        </w:rPr>
        <w:lastRenderedPageBreak/>
        <w:t>References</w:t>
      </w:r>
    </w:p>
    <w:p w14:paraId="69701121" w14:textId="77777777" w:rsidR="009030FD" w:rsidRDefault="00000000">
      <w:pPr>
        <w:pStyle w:val="Bibliography"/>
        <w:rPr>
          <w:rFonts w:ascii="Times New Roman" w:hAnsi="Times New Roman" w:cs="Times New Roman"/>
          <w:sz w:val="24"/>
        </w:rPr>
      </w:pPr>
      <w:r>
        <w:rPr>
          <w:rFonts w:eastAsia="Cambria"/>
          <w:b/>
          <w:bCs/>
          <w:sz w:val="24"/>
          <w14:ligatures w14:val="none"/>
        </w:rPr>
        <w:fldChar w:fldCharType="begin"/>
      </w:r>
      <w:r>
        <w:rPr>
          <w:rFonts w:eastAsia="Cambria"/>
          <w:b/>
          <w:bCs/>
          <w:sz w:val="24"/>
          <w14:ligatures w14:val="none"/>
        </w:rPr>
        <w:instrText xml:space="preserve"> ADDIN ZOTERO_BIBL {"uncited":[],"omitted":[],"custom":[]} CSL_BIBLIOGRAPHY </w:instrText>
      </w:r>
      <w:r>
        <w:rPr>
          <w:rFonts w:eastAsia="Cambria"/>
          <w:b/>
          <w:bCs/>
          <w:sz w:val="24"/>
          <w14:ligatures w14:val="none"/>
        </w:rPr>
        <w:fldChar w:fldCharType="separate"/>
      </w:r>
      <w:r>
        <w:rPr>
          <w:rFonts w:ascii="Times New Roman" w:hAnsi="Times New Roman" w:cs="Times New Roman"/>
          <w:sz w:val="24"/>
        </w:rPr>
        <w:t>1.</w:t>
      </w:r>
      <w:r>
        <w:rPr>
          <w:rFonts w:ascii="Times New Roman" w:hAnsi="Times New Roman" w:cs="Times New Roman"/>
          <w:sz w:val="24"/>
        </w:rPr>
        <w:tab/>
        <w:t xml:space="preserve">Forbes, P. A., Siegmund, G. P., Schouten, A. C. &amp; Blouin, J.-S. Task, muscle and frequency dependent vestibular control of posture. </w:t>
      </w:r>
      <w:r>
        <w:rPr>
          <w:rFonts w:ascii="Times New Roman" w:hAnsi="Times New Roman" w:cs="Times New Roman"/>
          <w:i/>
          <w:iCs/>
          <w:sz w:val="24"/>
        </w:rPr>
        <w:t>Frontiers in Integrative Neuroscience</w:t>
      </w:r>
      <w:r>
        <w:rPr>
          <w:rFonts w:ascii="Times New Roman" w:hAnsi="Times New Roman" w:cs="Times New Roman"/>
          <w:sz w:val="24"/>
        </w:rPr>
        <w:t xml:space="preserve"> </w:t>
      </w:r>
      <w:r>
        <w:rPr>
          <w:rFonts w:ascii="Times New Roman" w:hAnsi="Times New Roman" w:cs="Times New Roman"/>
          <w:b/>
          <w:bCs/>
          <w:sz w:val="24"/>
        </w:rPr>
        <w:t>8</w:t>
      </w:r>
      <w:r>
        <w:rPr>
          <w:rFonts w:ascii="Times New Roman" w:hAnsi="Times New Roman" w:cs="Times New Roman"/>
          <w:sz w:val="24"/>
        </w:rPr>
        <w:t>, (2015).</w:t>
      </w:r>
    </w:p>
    <w:p w14:paraId="0B4E0951"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t xml:space="preserve">Foulger, L. H., Charlton, J. M. &amp; Blouin, J.-S. Real-world characterization of vestibular contributions during locomotion. </w:t>
      </w:r>
      <w:r>
        <w:rPr>
          <w:rFonts w:ascii="Times New Roman" w:hAnsi="Times New Roman" w:cs="Times New Roman"/>
          <w:i/>
          <w:iCs/>
          <w:sz w:val="24"/>
        </w:rPr>
        <w:t>Frontiers in Human Neuroscience</w:t>
      </w:r>
      <w:r>
        <w:rPr>
          <w:rFonts w:ascii="Times New Roman" w:hAnsi="Times New Roman" w:cs="Times New Roman"/>
          <w:sz w:val="24"/>
        </w:rPr>
        <w:t xml:space="preserve"> </w:t>
      </w:r>
      <w:r>
        <w:rPr>
          <w:rFonts w:ascii="Times New Roman" w:hAnsi="Times New Roman" w:cs="Times New Roman"/>
          <w:b/>
          <w:bCs/>
          <w:sz w:val="24"/>
        </w:rPr>
        <w:t>17</w:t>
      </w:r>
      <w:r>
        <w:rPr>
          <w:rFonts w:ascii="Times New Roman" w:hAnsi="Times New Roman" w:cs="Times New Roman"/>
          <w:sz w:val="24"/>
        </w:rPr>
        <w:t>, (2024).</w:t>
      </w:r>
    </w:p>
    <w:p w14:paraId="4BC8123C"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ab/>
        <w:t xml:space="preserve">Hannan, K. B., Todd, M. K., Pearson, N. J., Forbes, P. A. &amp; Dakin, C. J. Vestibular attenuation to random-waveform galvanic vestibular stimulation during standing and treadmill walking. </w:t>
      </w:r>
      <w:r>
        <w:rPr>
          <w:rFonts w:ascii="Times New Roman" w:hAnsi="Times New Roman" w:cs="Times New Roman"/>
          <w:i/>
          <w:iCs/>
          <w:sz w:val="24"/>
        </w:rPr>
        <w:t>Sci Rep</w:t>
      </w:r>
      <w:r>
        <w:rPr>
          <w:rFonts w:ascii="Times New Roman" w:hAnsi="Times New Roman" w:cs="Times New Roman"/>
          <w:sz w:val="24"/>
        </w:rPr>
        <w:t xml:space="preserve"> </w:t>
      </w:r>
      <w:r>
        <w:rPr>
          <w:rFonts w:ascii="Times New Roman" w:hAnsi="Times New Roman" w:cs="Times New Roman"/>
          <w:b/>
          <w:bCs/>
          <w:sz w:val="24"/>
        </w:rPr>
        <w:t>11</w:t>
      </w:r>
      <w:r>
        <w:rPr>
          <w:rFonts w:ascii="Times New Roman" w:hAnsi="Times New Roman" w:cs="Times New Roman"/>
          <w:sz w:val="24"/>
        </w:rPr>
        <w:t>, 8127 (2021).</w:t>
      </w:r>
    </w:p>
    <w:p w14:paraId="55706F46"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t xml:space="preserve">Schneider, A. D., Jamali, M., Carriot, J., Chacron, M. J. &amp; Cullen, K. E. The increased sensitivity of irregular peripheral canal and otolith vestibular afferents optimizes their encoding of natural stimuli. </w:t>
      </w:r>
      <w:r>
        <w:rPr>
          <w:rFonts w:ascii="Times New Roman" w:hAnsi="Times New Roman" w:cs="Times New Roman"/>
          <w:i/>
          <w:iCs/>
          <w:sz w:val="24"/>
        </w:rPr>
        <w:t>J. Neurosci.</w:t>
      </w:r>
      <w:r>
        <w:rPr>
          <w:rFonts w:ascii="Times New Roman" w:hAnsi="Times New Roman" w:cs="Times New Roman"/>
          <w:sz w:val="24"/>
        </w:rPr>
        <w:t xml:space="preserve"> </w:t>
      </w:r>
      <w:r>
        <w:rPr>
          <w:rFonts w:ascii="Times New Roman" w:hAnsi="Times New Roman" w:cs="Times New Roman"/>
          <w:b/>
          <w:bCs/>
          <w:sz w:val="24"/>
        </w:rPr>
        <w:t>35</w:t>
      </w:r>
      <w:r>
        <w:rPr>
          <w:rFonts w:ascii="Times New Roman" w:hAnsi="Times New Roman" w:cs="Times New Roman"/>
          <w:sz w:val="24"/>
        </w:rPr>
        <w:t>, 5522–5536 (2015).</w:t>
      </w:r>
    </w:p>
    <w:p w14:paraId="5569A459"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ab/>
        <w:t xml:space="preserve">Massot, C., Schneider, A. D., Chacron, M. J. &amp; Cullen, K. E. The Vestibular System Implements a Linear–Nonlinear Transformation In Order to Encode Self-Motion. </w:t>
      </w:r>
      <w:r>
        <w:rPr>
          <w:rFonts w:ascii="Times New Roman" w:hAnsi="Times New Roman" w:cs="Times New Roman"/>
          <w:i/>
          <w:iCs/>
          <w:sz w:val="24"/>
        </w:rPr>
        <w:t>PLOS Biology</w:t>
      </w:r>
      <w:r>
        <w:rPr>
          <w:rFonts w:ascii="Times New Roman" w:hAnsi="Times New Roman" w:cs="Times New Roman"/>
          <w:sz w:val="24"/>
        </w:rPr>
        <w:t xml:space="preserve"> </w:t>
      </w:r>
      <w:r>
        <w:rPr>
          <w:rFonts w:ascii="Times New Roman" w:hAnsi="Times New Roman" w:cs="Times New Roman"/>
          <w:b/>
          <w:bCs/>
          <w:sz w:val="24"/>
        </w:rPr>
        <w:t>10</w:t>
      </w:r>
      <w:r>
        <w:rPr>
          <w:rFonts w:ascii="Times New Roman" w:hAnsi="Times New Roman" w:cs="Times New Roman"/>
          <w:sz w:val="24"/>
        </w:rPr>
        <w:t>, e1001365 (2012).</w:t>
      </w:r>
    </w:p>
    <w:p w14:paraId="50D2D4F4"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sz w:val="24"/>
        </w:rPr>
        <w:tab/>
        <w:t xml:space="preserve">Dakin, C. J. &amp; Rosenberg, A. Gravity estimation and verticality perception. in </w:t>
      </w:r>
      <w:r>
        <w:rPr>
          <w:rFonts w:ascii="Times New Roman" w:hAnsi="Times New Roman" w:cs="Times New Roman"/>
          <w:i/>
          <w:iCs/>
          <w:sz w:val="24"/>
        </w:rPr>
        <w:t>Handbook of Clinical Neurology</w:t>
      </w:r>
      <w:r>
        <w:rPr>
          <w:rFonts w:ascii="Times New Roman" w:hAnsi="Times New Roman" w:cs="Times New Roman"/>
          <w:sz w:val="24"/>
        </w:rPr>
        <w:t xml:space="preserve"> vol. 159 43–59 (Elsevier, 2018).</w:t>
      </w:r>
    </w:p>
    <w:p w14:paraId="434080B0"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sz w:val="24"/>
        </w:rPr>
        <w:tab/>
        <w:t>Chen, A. Physiological computations underlying our internal representation of vestibular self-motion. (University of British Columbia, University of British Columbia, 2023).</w:t>
      </w:r>
    </w:p>
    <w:p w14:paraId="1C95B6EF"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sz w:val="24"/>
        </w:rPr>
        <w:tab/>
        <w:t xml:space="preserve">Della Santina, C. C., Potyagaylo, V., Migliaccio, A. A., Minor, L. B. &amp; Carey, J. P. Orientation of human semicircular canals measured by three-dimensional multiplanar CT reconstruction. </w:t>
      </w:r>
      <w:r>
        <w:rPr>
          <w:rFonts w:ascii="Times New Roman" w:hAnsi="Times New Roman" w:cs="Times New Roman"/>
          <w:i/>
          <w:iCs/>
          <w:sz w:val="24"/>
        </w:rPr>
        <w:t>Journal of the Association for Research in Otolaryngology</w:t>
      </w:r>
      <w:r>
        <w:rPr>
          <w:rFonts w:ascii="Times New Roman" w:hAnsi="Times New Roman" w:cs="Times New Roman"/>
          <w:sz w:val="24"/>
        </w:rPr>
        <w:t xml:space="preserve"> </w:t>
      </w:r>
      <w:r>
        <w:rPr>
          <w:rFonts w:ascii="Times New Roman" w:hAnsi="Times New Roman" w:cs="Times New Roman"/>
          <w:b/>
          <w:bCs/>
          <w:sz w:val="24"/>
        </w:rPr>
        <w:t>6</w:t>
      </w:r>
      <w:r>
        <w:rPr>
          <w:rFonts w:ascii="Times New Roman" w:hAnsi="Times New Roman" w:cs="Times New Roman"/>
          <w:sz w:val="24"/>
        </w:rPr>
        <w:t>, 191–206 (2005).</w:t>
      </w:r>
    </w:p>
    <w:p w14:paraId="36979DE1"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rPr>
        <w:tab/>
        <w:t xml:space="preserve">Mian, O. S., Dakin, C. J., Blouin, J.-S., Fitzpatrick, R. C. &amp; Day, B. L. Lack of otolith involvement in balance responses evoked by mastoid electrical stimulation. </w:t>
      </w:r>
      <w:r>
        <w:rPr>
          <w:rFonts w:ascii="Times New Roman" w:hAnsi="Times New Roman" w:cs="Times New Roman"/>
          <w:i/>
          <w:iCs/>
          <w:sz w:val="24"/>
        </w:rPr>
        <w:t>The Journal of Physiology</w:t>
      </w:r>
      <w:r>
        <w:rPr>
          <w:rFonts w:ascii="Times New Roman" w:hAnsi="Times New Roman" w:cs="Times New Roman"/>
          <w:sz w:val="24"/>
        </w:rPr>
        <w:t xml:space="preserve"> </w:t>
      </w:r>
      <w:r>
        <w:rPr>
          <w:rFonts w:ascii="Times New Roman" w:hAnsi="Times New Roman" w:cs="Times New Roman"/>
          <w:b/>
          <w:bCs/>
          <w:sz w:val="24"/>
        </w:rPr>
        <w:t>588</w:t>
      </w:r>
      <w:r>
        <w:rPr>
          <w:rFonts w:ascii="Times New Roman" w:hAnsi="Times New Roman" w:cs="Times New Roman"/>
          <w:sz w:val="24"/>
        </w:rPr>
        <w:t>, 4441–4451 (2010).</w:t>
      </w:r>
    </w:p>
    <w:p w14:paraId="71909D46" w14:textId="77777777" w:rsidR="009030FD" w:rsidRDefault="00000000">
      <w:pPr>
        <w:pStyle w:val="Bibliography"/>
        <w:rPr>
          <w:rFonts w:ascii="Times New Roman" w:hAnsi="Times New Roman" w:cs="Times New Roman"/>
          <w:sz w:val="24"/>
        </w:rPr>
      </w:pPr>
      <w:r>
        <w:rPr>
          <w:rFonts w:ascii="Times New Roman" w:hAnsi="Times New Roman" w:cs="Times New Roman"/>
          <w:sz w:val="24"/>
        </w:rPr>
        <w:lastRenderedPageBreak/>
        <w:t>10.</w:t>
      </w:r>
      <w:r>
        <w:rPr>
          <w:rFonts w:ascii="Times New Roman" w:hAnsi="Times New Roman" w:cs="Times New Roman"/>
          <w:sz w:val="24"/>
        </w:rPr>
        <w:tab/>
        <w:t xml:space="preserve">Tribukait, A. &amp; Rosenhall, U. Directional sensitivity of the human macula utriculi based on morphological characteristics. </w:t>
      </w:r>
      <w:r>
        <w:rPr>
          <w:rFonts w:ascii="Times New Roman" w:hAnsi="Times New Roman" w:cs="Times New Roman"/>
          <w:i/>
          <w:iCs/>
          <w:sz w:val="24"/>
        </w:rPr>
        <w:t>Audiol Neurootol</w:t>
      </w:r>
      <w:r>
        <w:rPr>
          <w:rFonts w:ascii="Times New Roman" w:hAnsi="Times New Roman" w:cs="Times New Roman"/>
          <w:sz w:val="24"/>
        </w:rPr>
        <w:t xml:space="preserve"> </w:t>
      </w:r>
      <w:r>
        <w:rPr>
          <w:rFonts w:ascii="Times New Roman" w:hAnsi="Times New Roman" w:cs="Times New Roman"/>
          <w:b/>
          <w:bCs/>
          <w:sz w:val="24"/>
        </w:rPr>
        <w:t>6</w:t>
      </w:r>
      <w:r>
        <w:rPr>
          <w:rFonts w:ascii="Times New Roman" w:hAnsi="Times New Roman" w:cs="Times New Roman"/>
          <w:sz w:val="24"/>
        </w:rPr>
        <w:t>, 98–107 (2001).</w:t>
      </w:r>
    </w:p>
    <w:p w14:paraId="53EE6CC8"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ab/>
        <w:t xml:space="preserve">Kwan, A., Forbes, P. A., Mitchell, D. E., Blouin, J.-S. &amp; Cullen, K. E. Neural substrates, dynamics and thresholds of galvanic vestibular stimulation in the behaving primate. </w:t>
      </w:r>
      <w:r>
        <w:rPr>
          <w:rFonts w:ascii="Times New Roman" w:hAnsi="Times New Roman" w:cs="Times New Roman"/>
          <w:i/>
          <w:iCs/>
          <w:sz w:val="24"/>
        </w:rPr>
        <w:t>Nature Communications</w:t>
      </w:r>
      <w:r>
        <w:rPr>
          <w:rFonts w:ascii="Times New Roman" w:hAnsi="Times New Roman" w:cs="Times New Roman"/>
          <w:sz w:val="24"/>
        </w:rPr>
        <w:t xml:space="preserve"> </w:t>
      </w:r>
      <w:r>
        <w:rPr>
          <w:rFonts w:ascii="Times New Roman" w:hAnsi="Times New Roman" w:cs="Times New Roman"/>
          <w:b/>
          <w:bCs/>
          <w:sz w:val="24"/>
        </w:rPr>
        <w:t>10</w:t>
      </w:r>
      <w:r>
        <w:rPr>
          <w:rFonts w:ascii="Times New Roman" w:hAnsi="Times New Roman" w:cs="Times New Roman"/>
          <w:sz w:val="24"/>
        </w:rPr>
        <w:t>, (2019).</w:t>
      </w:r>
    </w:p>
    <w:p w14:paraId="7CD0134A"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ab/>
        <w:t xml:space="preserve">Goldberg, J. M., Fernandez, C. &amp; Smith, C. E. Responses of vestibular-nerve afferents in the squirrel monkey to externally applied galvanic currents. </w:t>
      </w:r>
      <w:r>
        <w:rPr>
          <w:rFonts w:ascii="Times New Roman" w:hAnsi="Times New Roman" w:cs="Times New Roman"/>
          <w:i/>
          <w:iCs/>
          <w:sz w:val="24"/>
        </w:rPr>
        <w:t>Brain Research</w:t>
      </w:r>
      <w:r>
        <w:rPr>
          <w:rFonts w:ascii="Times New Roman" w:hAnsi="Times New Roman" w:cs="Times New Roman"/>
          <w:sz w:val="24"/>
        </w:rPr>
        <w:t xml:space="preserve"> </w:t>
      </w:r>
      <w:r>
        <w:rPr>
          <w:rFonts w:ascii="Times New Roman" w:hAnsi="Times New Roman" w:cs="Times New Roman"/>
          <w:b/>
          <w:bCs/>
          <w:sz w:val="24"/>
        </w:rPr>
        <w:t>252</w:t>
      </w:r>
      <w:r>
        <w:rPr>
          <w:rFonts w:ascii="Times New Roman" w:hAnsi="Times New Roman" w:cs="Times New Roman"/>
          <w:sz w:val="24"/>
        </w:rPr>
        <w:t>, 156–160 (1982).</w:t>
      </w:r>
    </w:p>
    <w:p w14:paraId="5580E788"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ab/>
        <w:t xml:space="preserve">Fitzpatrick, R. C. &amp; Day, B. L. Probing the human vestibular system with galvanic stimulation. </w:t>
      </w:r>
      <w:r>
        <w:rPr>
          <w:rFonts w:ascii="Times New Roman" w:hAnsi="Times New Roman" w:cs="Times New Roman"/>
          <w:i/>
          <w:iCs/>
          <w:sz w:val="24"/>
        </w:rPr>
        <w:t>Journal of Applied Physiology</w:t>
      </w:r>
      <w:r>
        <w:rPr>
          <w:rFonts w:ascii="Times New Roman" w:hAnsi="Times New Roman" w:cs="Times New Roman"/>
          <w:sz w:val="24"/>
        </w:rPr>
        <w:t xml:space="preserve"> </w:t>
      </w:r>
      <w:r>
        <w:rPr>
          <w:rFonts w:ascii="Times New Roman" w:hAnsi="Times New Roman" w:cs="Times New Roman"/>
          <w:b/>
          <w:bCs/>
          <w:sz w:val="24"/>
        </w:rPr>
        <w:t>96</w:t>
      </w:r>
      <w:r>
        <w:rPr>
          <w:rFonts w:ascii="Times New Roman" w:hAnsi="Times New Roman" w:cs="Times New Roman"/>
          <w:sz w:val="24"/>
        </w:rPr>
        <w:t>, 2301–2316 (2004).</w:t>
      </w:r>
    </w:p>
    <w:p w14:paraId="4D3F2ABE"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ab/>
        <w:t xml:space="preserve">Chen, A., Khosravi-Hashemi, N., Kuo, C., Kramer, J. K. &amp; Blouin, J. S. Development of a conversion model between mechanical and electrical vestibular stimuli. </w:t>
      </w:r>
      <w:r>
        <w:rPr>
          <w:rFonts w:ascii="Times New Roman" w:hAnsi="Times New Roman" w:cs="Times New Roman"/>
          <w:i/>
          <w:iCs/>
          <w:sz w:val="24"/>
        </w:rPr>
        <w:t>Journal of neurophysiology</w:t>
      </w:r>
      <w:r>
        <w:rPr>
          <w:rFonts w:ascii="Times New Roman" w:hAnsi="Times New Roman" w:cs="Times New Roman"/>
          <w:sz w:val="24"/>
        </w:rPr>
        <w:t xml:space="preserve"> </w:t>
      </w:r>
      <w:r>
        <w:rPr>
          <w:rFonts w:ascii="Times New Roman" w:hAnsi="Times New Roman" w:cs="Times New Roman"/>
          <w:b/>
          <w:bCs/>
          <w:sz w:val="24"/>
        </w:rPr>
        <w:t>123</w:t>
      </w:r>
      <w:r>
        <w:rPr>
          <w:rFonts w:ascii="Times New Roman" w:hAnsi="Times New Roman" w:cs="Times New Roman"/>
          <w:sz w:val="24"/>
        </w:rPr>
        <w:t>, 548–559 (2020).</w:t>
      </w:r>
    </w:p>
    <w:p w14:paraId="0B5788CD"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sz w:val="24"/>
        </w:rPr>
        <w:tab/>
        <w:t xml:space="preserve">Chen, A., Kuo, C. &amp; Blouin, J.-S. A portable and low-cost solution for real-time manipulation of the vestibular sense. </w:t>
      </w:r>
      <w:r>
        <w:rPr>
          <w:rFonts w:ascii="Times New Roman" w:hAnsi="Times New Roman" w:cs="Times New Roman"/>
          <w:i/>
          <w:iCs/>
          <w:sz w:val="24"/>
        </w:rPr>
        <w:t>Journal of Neuroscience Methods</w:t>
      </w:r>
      <w:r>
        <w:rPr>
          <w:rFonts w:ascii="Times New Roman" w:hAnsi="Times New Roman" w:cs="Times New Roman"/>
          <w:sz w:val="24"/>
        </w:rPr>
        <w:t xml:space="preserve"> </w:t>
      </w:r>
      <w:r>
        <w:rPr>
          <w:rFonts w:ascii="Times New Roman" w:hAnsi="Times New Roman" w:cs="Times New Roman"/>
          <w:b/>
          <w:bCs/>
          <w:sz w:val="24"/>
        </w:rPr>
        <w:t>382</w:t>
      </w:r>
      <w:r>
        <w:rPr>
          <w:rFonts w:ascii="Times New Roman" w:hAnsi="Times New Roman" w:cs="Times New Roman"/>
          <w:sz w:val="24"/>
        </w:rPr>
        <w:t>, 109709 (2022).</w:t>
      </w:r>
    </w:p>
    <w:p w14:paraId="3827E8C7"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16.</w:t>
      </w:r>
      <w:r>
        <w:rPr>
          <w:rFonts w:ascii="Times New Roman" w:hAnsi="Times New Roman" w:cs="Times New Roman"/>
          <w:sz w:val="24"/>
        </w:rPr>
        <w:tab/>
        <w:t xml:space="preserve">Sadeghi, S. G., Chacron, M. J., Taylor, M. C. &amp; Cullen, K. E. Neural variability, detection thresholds, and information transmission in the vestibular system. </w:t>
      </w:r>
      <w:r>
        <w:rPr>
          <w:rFonts w:ascii="Times New Roman" w:hAnsi="Times New Roman" w:cs="Times New Roman"/>
          <w:i/>
          <w:iCs/>
          <w:sz w:val="24"/>
        </w:rPr>
        <w:t>Journal of Neuroscience</w:t>
      </w:r>
      <w:r>
        <w:rPr>
          <w:rFonts w:ascii="Times New Roman" w:hAnsi="Times New Roman" w:cs="Times New Roman"/>
          <w:sz w:val="24"/>
        </w:rPr>
        <w:t xml:space="preserve"> </w:t>
      </w:r>
      <w:r>
        <w:rPr>
          <w:rFonts w:ascii="Times New Roman" w:hAnsi="Times New Roman" w:cs="Times New Roman"/>
          <w:b/>
          <w:bCs/>
          <w:sz w:val="24"/>
        </w:rPr>
        <w:t>27</w:t>
      </w:r>
      <w:r>
        <w:rPr>
          <w:rFonts w:ascii="Times New Roman" w:hAnsi="Times New Roman" w:cs="Times New Roman"/>
          <w:sz w:val="24"/>
        </w:rPr>
        <w:t>, 771–781 (2007).</w:t>
      </w:r>
    </w:p>
    <w:p w14:paraId="6E19FEFE"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17.</w:t>
      </w:r>
      <w:r>
        <w:rPr>
          <w:rFonts w:ascii="Times New Roman" w:hAnsi="Times New Roman" w:cs="Times New Roman"/>
          <w:sz w:val="24"/>
        </w:rPr>
        <w:tab/>
        <w:t xml:space="preserve">Jamali, M., Carriot, J., Chacron, M. J. &amp; Cullen, K. E. Strong correlations between sensitivity and variability give rise to constant discrimination thresholds across the otolith afferent population. </w:t>
      </w:r>
      <w:r>
        <w:rPr>
          <w:rFonts w:ascii="Times New Roman" w:hAnsi="Times New Roman" w:cs="Times New Roman"/>
          <w:i/>
          <w:iCs/>
          <w:sz w:val="24"/>
        </w:rPr>
        <w:t>Journal of Neuroscience</w:t>
      </w:r>
      <w:r>
        <w:rPr>
          <w:rFonts w:ascii="Times New Roman" w:hAnsi="Times New Roman" w:cs="Times New Roman"/>
          <w:sz w:val="24"/>
        </w:rPr>
        <w:t xml:space="preserve"> </w:t>
      </w:r>
      <w:r>
        <w:rPr>
          <w:rFonts w:ascii="Times New Roman" w:hAnsi="Times New Roman" w:cs="Times New Roman"/>
          <w:b/>
          <w:bCs/>
          <w:sz w:val="24"/>
        </w:rPr>
        <w:t>33</w:t>
      </w:r>
      <w:r>
        <w:rPr>
          <w:rFonts w:ascii="Times New Roman" w:hAnsi="Times New Roman" w:cs="Times New Roman"/>
          <w:sz w:val="24"/>
        </w:rPr>
        <w:t>, 11302–11313 (2013).</w:t>
      </w:r>
    </w:p>
    <w:p w14:paraId="76585B45" w14:textId="77777777" w:rsidR="009030FD" w:rsidRDefault="00000000">
      <w:pPr>
        <w:pStyle w:val="Bibliography"/>
        <w:rPr>
          <w:rFonts w:ascii="Times New Roman" w:hAnsi="Times New Roman" w:cs="Times New Roman"/>
          <w:sz w:val="24"/>
        </w:rPr>
      </w:pPr>
      <w:r>
        <w:rPr>
          <w:rFonts w:ascii="Times New Roman" w:hAnsi="Times New Roman" w:cs="Times New Roman"/>
          <w:sz w:val="24"/>
        </w:rPr>
        <w:lastRenderedPageBreak/>
        <w:t>18.</w:t>
      </w:r>
      <w:r>
        <w:rPr>
          <w:rFonts w:ascii="Times New Roman" w:hAnsi="Times New Roman" w:cs="Times New Roman"/>
          <w:sz w:val="24"/>
        </w:rPr>
        <w:tab/>
        <w:t xml:space="preserve">Mackrous, I., Carriot, J. &amp; Cullen, K. E. Context-independent encoding of passive and active self-motion in vestibular afferent fibers during locomotion in primates. </w:t>
      </w:r>
      <w:r>
        <w:rPr>
          <w:rFonts w:ascii="Times New Roman" w:hAnsi="Times New Roman" w:cs="Times New Roman"/>
          <w:i/>
          <w:iCs/>
          <w:sz w:val="24"/>
        </w:rPr>
        <w:t>Nat Commun</w:t>
      </w:r>
      <w:r>
        <w:rPr>
          <w:rFonts w:ascii="Times New Roman" w:hAnsi="Times New Roman" w:cs="Times New Roman"/>
          <w:sz w:val="24"/>
        </w:rPr>
        <w:t xml:space="preserve"> </w:t>
      </w:r>
      <w:r>
        <w:rPr>
          <w:rFonts w:ascii="Times New Roman" w:hAnsi="Times New Roman" w:cs="Times New Roman"/>
          <w:b/>
          <w:bCs/>
          <w:sz w:val="24"/>
        </w:rPr>
        <w:t>13</w:t>
      </w:r>
      <w:r>
        <w:rPr>
          <w:rFonts w:ascii="Times New Roman" w:hAnsi="Times New Roman" w:cs="Times New Roman"/>
          <w:sz w:val="24"/>
        </w:rPr>
        <w:t>, 120 (2022).</w:t>
      </w:r>
    </w:p>
    <w:p w14:paraId="36B24FCB" w14:textId="77777777" w:rsidR="009030FD" w:rsidRDefault="00000000">
      <w:pPr>
        <w:pStyle w:val="Bibliography"/>
        <w:rPr>
          <w:rFonts w:ascii="Times New Roman" w:hAnsi="Times New Roman" w:cs="Times New Roman"/>
          <w:sz w:val="24"/>
        </w:rPr>
      </w:pPr>
      <w:r>
        <w:rPr>
          <w:rFonts w:ascii="Times New Roman" w:hAnsi="Times New Roman" w:cs="Times New Roman"/>
          <w:sz w:val="24"/>
        </w:rPr>
        <w:t>19.</w:t>
      </w:r>
      <w:r>
        <w:rPr>
          <w:rFonts w:ascii="Times New Roman" w:hAnsi="Times New Roman" w:cs="Times New Roman"/>
          <w:sz w:val="24"/>
        </w:rPr>
        <w:tab/>
        <w:t xml:space="preserve">Forbes, P. A., Kwan, A., Mitchell, D. E., Blouin, J.-S. &amp; Cullen, K. E. The neural basis for biased behavioral responses evoked by galvanic vestibular stimulation in primates. </w:t>
      </w:r>
      <w:r>
        <w:rPr>
          <w:rFonts w:ascii="Times New Roman" w:hAnsi="Times New Roman" w:cs="Times New Roman"/>
          <w:i/>
          <w:iCs/>
          <w:sz w:val="24"/>
        </w:rPr>
        <w:t>J. Neurosci.</w:t>
      </w:r>
      <w:r>
        <w:rPr>
          <w:rFonts w:ascii="Times New Roman" w:hAnsi="Times New Roman" w:cs="Times New Roman"/>
          <w:sz w:val="24"/>
        </w:rPr>
        <w:t xml:space="preserve"> </w:t>
      </w:r>
      <w:r>
        <w:rPr>
          <w:rFonts w:ascii="Times New Roman" w:hAnsi="Times New Roman" w:cs="Times New Roman"/>
          <w:b/>
          <w:bCs/>
          <w:sz w:val="24"/>
        </w:rPr>
        <w:t>43</w:t>
      </w:r>
      <w:r>
        <w:rPr>
          <w:rFonts w:ascii="Times New Roman" w:hAnsi="Times New Roman" w:cs="Times New Roman"/>
          <w:sz w:val="24"/>
        </w:rPr>
        <w:t>, 1905–1919 (2023).</w:t>
      </w:r>
    </w:p>
    <w:p w14:paraId="71ABDD9C" w14:textId="77777777" w:rsidR="009030FD" w:rsidRPr="003849F5" w:rsidRDefault="00000000">
      <w:pPr>
        <w:spacing w:after="0" w:line="360" w:lineRule="auto"/>
        <w:rPr>
          <w:rFonts w:ascii="Times New Roman" w:eastAsia="Cambria" w:hAnsi="Times New Roman" w:cs="Times New Roman"/>
          <w:b/>
          <w:bCs/>
          <w:sz w:val="24"/>
          <w14:ligatures w14:val="none"/>
        </w:rPr>
      </w:pPr>
      <w:r>
        <w:rPr>
          <w:rFonts w:ascii="Times New Roman" w:eastAsia="Cambria" w:hAnsi="Times New Roman" w:cs="Times New Roman"/>
          <w:b/>
          <w:bCs/>
          <w:sz w:val="24"/>
          <w14:ligatures w14:val="none"/>
        </w:rPr>
        <w:fldChar w:fldCharType="end"/>
      </w:r>
    </w:p>
    <w:p w14:paraId="696192B8" w14:textId="77777777" w:rsidR="009030FD" w:rsidRDefault="009030FD">
      <w:pPr>
        <w:spacing w:after="0" w:line="360" w:lineRule="auto"/>
        <w:rPr>
          <w:rFonts w:ascii="Times New Roman" w:eastAsia="Cambria" w:hAnsi="Times New Roman" w:cs="Times New Roman"/>
          <w:b/>
          <w:bCs/>
          <w:sz w:val="20"/>
          <w:szCs w:val="18"/>
          <w14:ligatures w14:val="none"/>
        </w:rPr>
      </w:pPr>
    </w:p>
    <w:sectPr w:rsidR="009030FD">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EAEC" w14:textId="77777777" w:rsidR="008C58B9" w:rsidRDefault="008C58B9">
      <w:pPr>
        <w:spacing w:after="0" w:line="240" w:lineRule="auto"/>
      </w:pPr>
      <w:r>
        <w:separator/>
      </w:r>
    </w:p>
  </w:endnote>
  <w:endnote w:type="continuationSeparator" w:id="0">
    <w:p w14:paraId="599765AB" w14:textId="77777777" w:rsidR="008C58B9" w:rsidRDefault="008C5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8E8D" w14:textId="77777777" w:rsidR="008C58B9" w:rsidRDefault="008C58B9">
      <w:pPr>
        <w:spacing w:after="0" w:line="240" w:lineRule="auto"/>
      </w:pPr>
      <w:r>
        <w:separator/>
      </w:r>
    </w:p>
  </w:footnote>
  <w:footnote w:type="continuationSeparator" w:id="0">
    <w:p w14:paraId="1B631548" w14:textId="77777777" w:rsidR="008C58B9" w:rsidRDefault="008C58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0FD"/>
    <w:rsid w:val="000023C0"/>
    <w:rsid w:val="00004990"/>
    <w:rsid w:val="000303DE"/>
    <w:rsid w:val="000770F1"/>
    <w:rsid w:val="0008590C"/>
    <w:rsid w:val="000D2BE4"/>
    <w:rsid w:val="00106292"/>
    <w:rsid w:val="001117F1"/>
    <w:rsid w:val="00151617"/>
    <w:rsid w:val="00154B2B"/>
    <w:rsid w:val="00165AC4"/>
    <w:rsid w:val="001C4264"/>
    <w:rsid w:val="00205EF5"/>
    <w:rsid w:val="002411AD"/>
    <w:rsid w:val="002875E4"/>
    <w:rsid w:val="002B0CBA"/>
    <w:rsid w:val="002C31E9"/>
    <w:rsid w:val="003025A5"/>
    <w:rsid w:val="00342560"/>
    <w:rsid w:val="003849F5"/>
    <w:rsid w:val="003E3542"/>
    <w:rsid w:val="00421BB7"/>
    <w:rsid w:val="00424DFC"/>
    <w:rsid w:val="004430E0"/>
    <w:rsid w:val="004A3554"/>
    <w:rsid w:val="004E458C"/>
    <w:rsid w:val="00503D01"/>
    <w:rsid w:val="00597636"/>
    <w:rsid w:val="005E5C9F"/>
    <w:rsid w:val="007751E3"/>
    <w:rsid w:val="00784E95"/>
    <w:rsid w:val="008534F7"/>
    <w:rsid w:val="00864EC6"/>
    <w:rsid w:val="0087011C"/>
    <w:rsid w:val="008A3B7C"/>
    <w:rsid w:val="008B72B1"/>
    <w:rsid w:val="008C58B9"/>
    <w:rsid w:val="008E630F"/>
    <w:rsid w:val="009030FD"/>
    <w:rsid w:val="0097449C"/>
    <w:rsid w:val="009807B9"/>
    <w:rsid w:val="009A48E3"/>
    <w:rsid w:val="00A6643E"/>
    <w:rsid w:val="00AB0F14"/>
    <w:rsid w:val="00B72345"/>
    <w:rsid w:val="00BE14BD"/>
    <w:rsid w:val="00BE624D"/>
    <w:rsid w:val="00D42AE1"/>
    <w:rsid w:val="00E409DA"/>
    <w:rsid w:val="00E61CE6"/>
    <w:rsid w:val="00E81A3B"/>
    <w:rsid w:val="00EE4297"/>
    <w:rsid w:val="00EE4CA2"/>
    <w:rsid w:val="00F01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8BFF"/>
  <w15:docId w15:val="{6B098AEA-6A35-4F98-BA0F-C575EF3F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000000"/>
          <w:left w:val="none" w:sz="0" w:space="0" w:color="000000"/>
          <w:bottom w:val="single" w:sz="4" w:space="0" w:color="63BDE6" w:themeColor="accent1" w:themeTint="80"/>
          <w:right w:val="none" w:sz="0"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000000"/>
          <w:left w:val="none" w:sz="0" w:space="0" w:color="000000"/>
          <w:bottom w:val="none" w:sz="0"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000000"/>
          <w:left w:val="single" w:sz="4" w:space="0" w:color="63BDE6" w:themeColor="accent1" w:themeTint="80"/>
          <w:bottom w:val="none" w:sz="0" w:space="0" w:color="000000"/>
          <w:right w:val="none" w:sz="0"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000000"/>
          <w:left w:val="none" w:sz="0" w:space="0" w:color="000000"/>
          <w:bottom w:val="single" w:sz="4" w:space="0" w:color="F2AA85" w:themeColor="accent2" w:themeTint="97"/>
          <w:right w:val="none" w:sz="0"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000000"/>
          <w:left w:val="none" w:sz="0" w:space="0" w:color="000000"/>
          <w:bottom w:val="none" w:sz="0"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000000"/>
          <w:left w:val="single" w:sz="4" w:space="0" w:color="F2AA85" w:themeColor="accent2" w:themeTint="97"/>
          <w:bottom w:val="none" w:sz="0" w:space="0" w:color="000000"/>
          <w:right w:val="none" w:sz="0"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000000"/>
          <w:left w:val="none" w:sz="0" w:space="0" w:color="000000"/>
          <w:bottom w:val="single" w:sz="4" w:space="0" w:color="196C24" w:themeColor="accent3" w:themeTint="FE"/>
          <w:right w:val="none" w:sz="0"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000000"/>
          <w:left w:val="none" w:sz="0" w:space="0" w:color="000000"/>
          <w:bottom w:val="none" w:sz="0"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000000"/>
          <w:left w:val="single" w:sz="4" w:space="0" w:color="196C24" w:themeColor="accent3" w:themeTint="FE"/>
          <w:bottom w:val="none" w:sz="0" w:space="0" w:color="000000"/>
          <w:right w:val="none" w:sz="0"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000000"/>
          <w:left w:val="none" w:sz="0" w:space="0" w:color="000000"/>
          <w:bottom w:val="single" w:sz="4" w:space="0" w:color="5FCAF3" w:themeColor="accent4" w:themeTint="9A"/>
          <w:right w:val="none" w:sz="0"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000000"/>
          <w:left w:val="none" w:sz="0" w:space="0" w:color="000000"/>
          <w:bottom w:val="none" w:sz="0"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000000"/>
          <w:left w:val="single" w:sz="4" w:space="0" w:color="5FCAF3" w:themeColor="accent4" w:themeTint="9A"/>
          <w:bottom w:val="none" w:sz="0" w:space="0" w:color="000000"/>
          <w:right w:val="none" w:sz="0"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000000"/>
          <w:left w:val="none" w:sz="0" w:space="0" w:color="000000"/>
          <w:bottom w:val="single" w:sz="4" w:space="0" w:color="DA76CE" w:themeColor="accent5" w:themeTint="90"/>
          <w:right w:val="none" w:sz="0"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000000"/>
          <w:left w:val="none" w:sz="0" w:space="0" w:color="000000"/>
          <w:bottom w:val="none" w:sz="0"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000000"/>
          <w:left w:val="single" w:sz="4" w:space="0" w:color="DA76CE" w:themeColor="accent5" w:themeTint="90"/>
          <w:bottom w:val="none" w:sz="0" w:space="0" w:color="000000"/>
          <w:right w:val="none" w:sz="0"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000000"/>
          <w:left w:val="none" w:sz="0" w:space="0" w:color="000000"/>
          <w:bottom w:val="single" w:sz="4" w:space="0" w:color="94DA7B" w:themeColor="accent6" w:themeTint="90"/>
          <w:right w:val="none" w:sz="0"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000000"/>
          <w:left w:val="none" w:sz="0" w:space="0" w:color="000000"/>
          <w:bottom w:val="none" w:sz="0"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000000"/>
          <w:left w:val="single" w:sz="4" w:space="0" w:color="94DA7B" w:themeColor="accent6" w:themeTint="90"/>
          <w:bottom w:val="none" w:sz="0" w:space="0" w:color="000000"/>
          <w:right w:val="none" w:sz="0"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000000"/>
          <w:left w:val="none" w:sz="0" w:space="0" w:color="000000"/>
          <w:bottom w:val="single" w:sz="4" w:space="0" w:color="156082" w:themeColor="accent1"/>
          <w:right w:val="none" w:sz="0"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000000"/>
          <w:left w:val="none" w:sz="0" w:space="0" w:color="000000"/>
          <w:bottom w:val="none" w:sz="0"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000000"/>
          <w:left w:val="single" w:sz="4" w:space="0" w:color="156082" w:themeColor="accent1"/>
          <w:bottom w:val="none" w:sz="0" w:space="0" w:color="000000"/>
          <w:right w:val="none" w:sz="0"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000000"/>
          <w:left w:val="none" w:sz="0" w:space="0" w:color="000000"/>
          <w:bottom w:val="single" w:sz="4" w:space="0" w:color="F2AA85" w:themeColor="accent2" w:themeTint="97"/>
          <w:right w:val="none" w:sz="0"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000000"/>
          <w:left w:val="none" w:sz="0" w:space="0" w:color="000000"/>
          <w:bottom w:val="none" w:sz="0"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000000"/>
          <w:left w:val="single" w:sz="4" w:space="0" w:color="F2AA85" w:themeColor="accent2" w:themeTint="97"/>
          <w:bottom w:val="none" w:sz="0" w:space="0" w:color="000000"/>
          <w:right w:val="none" w:sz="0"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000000"/>
          <w:left w:val="none" w:sz="0" w:space="0" w:color="000000"/>
          <w:bottom w:val="single" w:sz="4" w:space="0" w:color="48D45B" w:themeColor="accent3" w:themeTint="98"/>
          <w:right w:val="none" w:sz="0"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000000"/>
          <w:left w:val="none" w:sz="0" w:space="0" w:color="000000"/>
          <w:bottom w:val="none" w:sz="0"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000000"/>
          <w:left w:val="single" w:sz="4" w:space="0" w:color="48D45B" w:themeColor="accent3" w:themeTint="98"/>
          <w:bottom w:val="none" w:sz="0" w:space="0" w:color="000000"/>
          <w:right w:val="none" w:sz="0"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000000"/>
          <w:left w:val="none" w:sz="0" w:space="0" w:color="000000"/>
          <w:bottom w:val="single" w:sz="4" w:space="0" w:color="5FCAF3" w:themeColor="accent4" w:themeTint="9A"/>
          <w:right w:val="none" w:sz="0"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000000"/>
          <w:left w:val="none" w:sz="0" w:space="0" w:color="000000"/>
          <w:bottom w:val="none" w:sz="0"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000000"/>
          <w:left w:val="single" w:sz="4" w:space="0" w:color="5FCAF3" w:themeColor="accent4" w:themeTint="9A"/>
          <w:bottom w:val="none" w:sz="0" w:space="0" w:color="000000"/>
          <w:right w:val="none" w:sz="0"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000000"/>
          <w:left w:val="none" w:sz="0" w:space="0" w:color="000000"/>
          <w:bottom w:val="single" w:sz="4" w:space="0" w:color="D76CCB" w:themeColor="accent5" w:themeTint="9A"/>
          <w:right w:val="none" w:sz="0"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000000"/>
          <w:left w:val="none" w:sz="0" w:space="0" w:color="000000"/>
          <w:bottom w:val="none" w:sz="0"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000000"/>
          <w:left w:val="single" w:sz="4" w:space="0" w:color="D76CCB" w:themeColor="accent5" w:themeTint="9A"/>
          <w:bottom w:val="none" w:sz="0" w:space="0" w:color="000000"/>
          <w:right w:val="none" w:sz="0"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000000"/>
          <w:left w:val="none" w:sz="0" w:space="0" w:color="000000"/>
          <w:bottom w:val="single" w:sz="4" w:space="0" w:color="8ED873" w:themeColor="accent6" w:themeTint="98"/>
          <w:right w:val="none" w:sz="0"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000000"/>
          <w:left w:val="none" w:sz="0" w:space="0" w:color="000000"/>
          <w:bottom w:val="none" w:sz="0"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000000"/>
          <w:left w:val="single" w:sz="4" w:space="0" w:color="8ED873" w:themeColor="accent6" w:themeTint="98"/>
          <w:bottom w:val="none" w:sz="0" w:space="0" w:color="000000"/>
          <w:right w:val="none" w:sz="0"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styleId="FollowedHyperlink">
    <w:name w:val="FollowedHyperlink"/>
    <w:basedOn w:val="DefaultParagraphFont"/>
    <w:uiPriority w:val="99"/>
    <w:semiHidden/>
    <w:unhideWhenUsed/>
    <w:rPr>
      <w:color w:val="96607D" w:themeColor="followedHyperlink"/>
      <w:u w:val="single"/>
    </w:r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pPr>
      <w:tabs>
        <w:tab w:val="center" w:pos="7143"/>
        <w:tab w:val="right" w:pos="14287"/>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1"/>
    <w:uiPriority w:val="99"/>
    <w:unhideWhenUsed/>
    <w:pPr>
      <w:tabs>
        <w:tab w:val="center" w:pos="7143"/>
        <w:tab w:val="right" w:pos="14287"/>
      </w:tabs>
      <w:spacing w:after="0" w:line="240" w:lineRule="auto"/>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FooterChar1">
    <w:name w:val="Footer Char1"/>
    <w:link w:val="Foote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en-CA"/>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en-CA"/>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customStyle="1" w:styleId="PlainTable51">
    <w:name w:val="Plain Table 51"/>
    <w:basedOn w:val="TableNormal"/>
    <w:next w:val="PlainTable5"/>
    <w:uiPriority w:val="45"/>
    <w:pPr>
      <w:spacing w:after="0" w:line="240" w:lineRule="auto"/>
    </w:pPr>
    <w:rPr>
      <w:rFonts w:ascii="Cambria" w:eastAsia="Cambria" w:hAnsi="Cambria" w:cs="Times New Roman"/>
      <w:sz w:val="20"/>
      <w:szCs w:val="20"/>
      <w:lang w:eastAsia="en-CA"/>
      <w14:ligatures w14:val="none"/>
    </w:rPr>
    <w:tblPr>
      <w:tblStyleRowBandSize w:val="1"/>
      <w:tblStyleColBandSize w:val="1"/>
    </w:tblPr>
    <w:tblStylePr w:type="firstRow">
      <w:rPr>
        <w:rFonts w:ascii="Cambria" w:eastAsia="MS Gothic" w:hAnsi="Cambria" w:cs="Times New Roman"/>
        <w:i/>
        <w:iCs/>
        <w:sz w:val="26"/>
      </w:rPr>
      <w:tblPr/>
      <w:tcPr>
        <w:tcBorders>
          <w:bottom w:val="single" w:sz="4" w:space="0" w:color="7F7F7F"/>
        </w:tcBorders>
        <w:shd w:val="clear" w:color="auto" w:fill="FFFFFF"/>
      </w:tcPr>
    </w:tblStylePr>
    <w:tblStylePr w:type="lastRow">
      <w:rPr>
        <w:rFonts w:ascii="Cambria" w:eastAsia="MS Gothic" w:hAnsi="Cambria" w:cs="Times New Roman"/>
        <w:i/>
        <w:iCs/>
        <w:sz w:val="26"/>
      </w:rPr>
      <w:tblPr/>
      <w:tcPr>
        <w:tcBorders>
          <w:top w:val="single" w:sz="4" w:space="0" w:color="7F7F7F"/>
        </w:tcBorders>
        <w:shd w:val="clear" w:color="auto" w:fill="FFFFFF"/>
      </w:tcPr>
    </w:tblStylePr>
    <w:tblStylePr w:type="firstCol">
      <w:pPr>
        <w:jc w:val="right"/>
      </w:pPr>
      <w:rPr>
        <w:rFonts w:ascii="Cambria" w:eastAsia="MS Gothic" w:hAnsi="Cambria" w:cs="Times New Roman"/>
        <w:i/>
        <w:iCs/>
        <w:sz w:val="26"/>
      </w:rPr>
      <w:tblPr/>
      <w:tcPr>
        <w:tcBorders>
          <w:right w:val="single" w:sz="4" w:space="0" w:color="7F7F7F"/>
        </w:tcBorders>
        <w:shd w:val="clear" w:color="auto" w:fill="FFFFFF"/>
      </w:tcPr>
    </w:tblStylePr>
    <w:tblStylePr w:type="lastCol">
      <w:rPr>
        <w:rFonts w:ascii="Cambria" w:eastAsia="MS Gothic"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ommentTextChar1">
    <w:name w:val="Comment Text Char1"/>
    <w:basedOn w:val="DefaultParagraphFont"/>
    <w:uiPriority w:val="99"/>
    <w:rPr>
      <w:sz w:val="20"/>
      <w:szCs w:val="20"/>
    </w:rPr>
  </w:style>
  <w:style w:type="paragraph" w:styleId="Revision">
    <w:name w:val="Revision"/>
    <w:hidden/>
    <w:uiPriority w:val="99"/>
    <w:semiHidden/>
    <w:pPr>
      <w:spacing w:after="0" w:line="240" w:lineRule="auto"/>
    </w:pPr>
  </w:style>
  <w:style w:type="table" w:customStyle="1" w:styleId="TableGrid1">
    <w:name w:val="Table Grid1"/>
    <w:basedOn w:val="TableNormal"/>
    <w:next w:val="TableGrid"/>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phy">
    <w:name w:val="Bibliography"/>
    <w:basedOn w:val="Normal"/>
    <w:next w:val="Normal"/>
    <w:uiPriority w:val="37"/>
    <w:unhideWhenUsed/>
    <w:pPr>
      <w:tabs>
        <w:tab w:val="left" w:pos="264"/>
      </w:tabs>
      <w:spacing w:after="0" w:line="480" w:lineRule="auto"/>
      <w:ind w:left="264" w:hanging="264"/>
    </w:pPr>
  </w:style>
  <w:style w:type="character" w:styleId="PlaceholderText">
    <w:name w:val="Placeholder Text"/>
    <w:basedOn w:val="DefaultParagraphFon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0473">
      <w:bodyDiv w:val="1"/>
      <w:marLeft w:val="0"/>
      <w:marRight w:val="0"/>
      <w:marTop w:val="0"/>
      <w:marBottom w:val="0"/>
      <w:divBdr>
        <w:top w:val="none" w:sz="0" w:space="0" w:color="auto"/>
        <w:left w:val="none" w:sz="0" w:space="0" w:color="auto"/>
        <w:bottom w:val="none" w:sz="0" w:space="0" w:color="auto"/>
        <w:right w:val="none" w:sz="0" w:space="0" w:color="auto"/>
      </w:divBdr>
    </w:div>
    <w:div w:id="924995720">
      <w:bodyDiv w:val="1"/>
      <w:marLeft w:val="0"/>
      <w:marRight w:val="0"/>
      <w:marTop w:val="0"/>
      <w:marBottom w:val="0"/>
      <w:divBdr>
        <w:top w:val="none" w:sz="0" w:space="0" w:color="auto"/>
        <w:left w:val="none" w:sz="0" w:space="0" w:color="auto"/>
        <w:bottom w:val="none" w:sz="0" w:space="0" w:color="auto"/>
        <w:right w:val="none" w:sz="0" w:space="0" w:color="auto"/>
      </w:divBdr>
    </w:div>
    <w:div w:id="175709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40.png"/><Relationship Id="rId26" Type="http://schemas.openxmlformats.org/officeDocument/2006/relationships/image" Target="media/image80.png"/><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image" Target="media/image1.png"/><Relationship Id="rId12" Type="http://schemas.openxmlformats.org/officeDocument/2006/relationships/image" Target="media/image10.png"/><Relationship Id="rId17" Type="http://schemas.openxmlformats.org/officeDocument/2006/relationships/image" Target="media/image4.png"/><Relationship Id="rId25"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30.jpg"/><Relationship Id="rId20" Type="http://schemas.openxmlformats.org/officeDocument/2006/relationships/image" Target="media/image50.png"/><Relationship Id="rId29"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endnotes" Target="endnotes.xml"/><Relationship Id="rId24" Type="http://schemas.openxmlformats.org/officeDocument/2006/relationships/image" Target="media/image70.png"/><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image" Target="media/image7.png"/><Relationship Id="rId28" Type="http://schemas.openxmlformats.org/officeDocument/2006/relationships/image" Target="media/image90.png"/><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image" Target="media/image20.jpg"/><Relationship Id="rId22" Type="http://schemas.openxmlformats.org/officeDocument/2006/relationships/image" Target="media/image60.png"/><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5966D-E552-4470-AFFD-5825770F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13636</Words>
  <Characters>77731</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lfoulger@student.ubc.ca</dc:creator>
  <cp:keywords/>
  <dc:description/>
  <cp:lastModifiedBy>lfoulger@student.ubc.ca</cp:lastModifiedBy>
  <cp:revision>2</cp:revision>
  <dcterms:created xsi:type="dcterms:W3CDTF">2025-05-15T18:55:00Z</dcterms:created>
  <dcterms:modified xsi:type="dcterms:W3CDTF">2025-05-15T18:55:00Z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id="V3IYxsFP"/&gt;&lt;style id="http://www.zotero.org/styles/nature" hasBibliography="1" bibliographyStyleHasBeenSet="1"/&gt;&lt;prefs&gt;&lt;pref name="fieldType" value="Field"/&gt;&lt;pref name="dontAskDelayCitationUpdate</vt:lpwstr>
  </property>
  <property fmtid="{D5CDD505-2E9C-101B-9397-08002B2CF9AE}" pid="3" name="ZOTERO_PREF_2">
    <vt:lpwstr>s" value="true"/&gt;&lt;/prefs&gt;&lt;/data&gt;</vt:lpwstr>
  </property>
</Properties>
</file>