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85F" w:rsidRPr="005B485F" w:rsidRDefault="005B485F">
      <w:pPr>
        <w:rPr>
          <w:rFonts w:ascii="Times New Roman" w:hAnsi="Times New Roman" w:cs="Times New Roman"/>
          <w:b/>
          <w:sz w:val="28"/>
          <w:szCs w:val="28"/>
        </w:rPr>
      </w:pPr>
      <w:r w:rsidRPr="005B485F">
        <w:rPr>
          <w:rFonts w:ascii="Times New Roman" w:hAnsi="Times New Roman" w:cs="Times New Roman"/>
          <w:b/>
          <w:sz w:val="28"/>
          <w:szCs w:val="28"/>
        </w:rPr>
        <w:t>Gout Explained: 25 Frequently Asked Questions with Evidence-Based Responses</w:t>
      </w:r>
    </w:p>
    <w:p w:rsidR="00974DF5" w:rsidRPr="00A40D6A" w:rsidRDefault="00C34C34">
      <w:pPr>
        <w:rPr>
          <w:rStyle w:val="Gl"/>
          <w:rFonts w:ascii="Times New Roman" w:hAnsi="Times New Roman" w:cs="Times New Roman"/>
          <w:sz w:val="24"/>
          <w:szCs w:val="24"/>
        </w:rPr>
      </w:pPr>
      <w:r w:rsidRPr="00A40D6A">
        <w:rPr>
          <w:rStyle w:val="Gl"/>
          <w:rFonts w:ascii="Times New Roman" w:hAnsi="Times New Roman" w:cs="Times New Roman"/>
          <w:sz w:val="24"/>
          <w:szCs w:val="24"/>
        </w:rPr>
        <w:t>Q1: What is the gold standard for the diagnosis of gout?</w:t>
      </w:r>
    </w:p>
    <w:p w:rsidR="00C34C34" w:rsidRPr="00A40D6A" w:rsidRDefault="00C34C34" w:rsidP="00C34C34">
      <w:pPr>
        <w:pStyle w:val="NormalWeb"/>
      </w:pPr>
      <w:r w:rsidRPr="00A40D6A">
        <w:rPr>
          <w:rStyle w:val="Gl"/>
        </w:rPr>
        <w:t>Expected Answer:</w:t>
      </w:r>
      <w:r w:rsidRPr="00A40D6A">
        <w:br/>
        <w:t>Identification of monosodium urate (MSU) crystals in synovial fluid or tophus via polarised light microscopy.</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w:t>
      </w:r>
      <w:bookmarkStart w:id="0" w:name="_GoBack"/>
      <w:bookmarkEnd w:id="0"/>
      <w:r w:rsidRPr="00A40D6A">
        <w:rPr>
          <w:rFonts w:ascii="Times New Roman" w:eastAsia="Times New Roman" w:hAnsi="Times New Roman" w:cs="Times New Roman"/>
          <w:b/>
          <w:bCs/>
          <w:sz w:val="24"/>
          <w:szCs w:val="24"/>
          <w:lang w:eastAsia="tr-TR"/>
        </w:rPr>
        <w:t>ements:</w:t>
      </w:r>
    </w:p>
    <w:p w:rsidR="00C34C34" w:rsidRPr="00A40D6A" w:rsidRDefault="0026504B" w:rsidP="0026504B">
      <w:pPr>
        <w:pStyle w:val="NormalWeb"/>
        <w:rPr>
          <w:u w:val="single"/>
        </w:rPr>
      </w:pPr>
      <w:r w:rsidRPr="00A40D6A">
        <w:rPr>
          <w:rStyle w:val="Vurgu"/>
          <w:highlight w:val="yellow"/>
          <w:u w:val="single"/>
        </w:rPr>
        <w:t xml:space="preserve"> </w:t>
      </w:r>
      <w:r w:rsidR="00C34C34" w:rsidRPr="00A40D6A">
        <w:rPr>
          <w:rStyle w:val="Vurgu"/>
          <w:highlight w:val="yellow"/>
          <w:u w:val="single"/>
        </w:rPr>
        <w:t xml:space="preserve">“The task force agreed that the gold standard for a diagnosis of gout </w:t>
      </w:r>
      <w:r w:rsidR="00C34C34" w:rsidRPr="00A40D6A">
        <w:rPr>
          <w:rStyle w:val="Gl"/>
          <w:b w:val="0"/>
          <w:i/>
          <w:iCs/>
          <w:highlight w:val="yellow"/>
          <w:u w:val="single"/>
        </w:rPr>
        <w:t>still relies on the demonstration of MSU crystals in fluid or tophus aspirates</w:t>
      </w:r>
      <w:r w:rsidR="00C34C34" w:rsidRPr="00A40D6A">
        <w:rPr>
          <w:rStyle w:val="Vurgu"/>
          <w:b/>
          <w:highlight w:val="yellow"/>
          <w:u w:val="single"/>
        </w:rPr>
        <w:t xml:space="preserve">, </w:t>
      </w:r>
      <w:r w:rsidR="00C34C34" w:rsidRPr="00A40D6A">
        <w:rPr>
          <w:rStyle w:val="Vurgu"/>
          <w:highlight w:val="yellow"/>
          <w:u w:val="single"/>
        </w:rPr>
        <w:t>as it has 100% specificity.”</w:t>
      </w:r>
    </w:p>
    <w:p w:rsidR="004D2980" w:rsidRPr="00A40D6A" w:rsidRDefault="004D2980" w:rsidP="004D2980">
      <w:pPr>
        <w:spacing w:before="100" w:beforeAutospacing="1" w:after="100" w:afterAutospacing="1" w:line="240" w:lineRule="auto"/>
        <w:rPr>
          <w:rFonts w:ascii="Times New Roman" w:eastAsia="Times New Roman" w:hAnsi="Times New Roman" w:cs="Times New Roman"/>
          <w:b/>
          <w:bCs/>
          <w:sz w:val="24"/>
          <w:szCs w:val="24"/>
          <w:lang w:eastAsia="tr-TR"/>
        </w:rPr>
      </w:pPr>
      <w:r w:rsidRPr="00A40D6A">
        <w:rPr>
          <w:rStyle w:val="Gl"/>
          <w:rFonts w:ascii="Times New Roman" w:hAnsi="Times New Roman" w:cs="Times New Roman"/>
          <w:sz w:val="24"/>
          <w:szCs w:val="24"/>
        </w:rPr>
        <w:t xml:space="preserve">Q2: </w:t>
      </w:r>
      <w:r w:rsidRPr="00A40D6A">
        <w:rPr>
          <w:rFonts w:ascii="Times New Roman" w:eastAsia="Times New Roman" w:hAnsi="Times New Roman" w:cs="Times New Roman"/>
          <w:b/>
          <w:bCs/>
          <w:sz w:val="24"/>
          <w:szCs w:val="24"/>
          <w:lang w:eastAsia="tr-TR"/>
        </w:rPr>
        <w:t>Can hyperuricaemia alone be considered sufficient for the diagnosis of gout?</w:t>
      </w:r>
    </w:p>
    <w:p w:rsidR="004D2980" w:rsidRPr="00A40D6A" w:rsidRDefault="004D2980" w:rsidP="004D2980">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Style w:val="Gl"/>
          <w:rFonts w:ascii="Times New Roman" w:hAnsi="Times New Roman" w:cs="Times New Roman"/>
          <w:sz w:val="24"/>
          <w:szCs w:val="24"/>
        </w:rPr>
        <w:t>Expected Answer:</w:t>
      </w:r>
    </w:p>
    <w:p w:rsidR="004D2980" w:rsidRPr="00A40D6A" w:rsidRDefault="004D2980">
      <w:pPr>
        <w:rPr>
          <w:rFonts w:ascii="Times New Roman" w:hAnsi="Times New Roman" w:cs="Times New Roman"/>
          <w:sz w:val="24"/>
          <w:szCs w:val="24"/>
        </w:rPr>
      </w:pPr>
      <w:r w:rsidRPr="00A40D6A">
        <w:rPr>
          <w:rFonts w:ascii="Times New Roman" w:hAnsi="Times New Roman" w:cs="Times New Roman"/>
          <w:sz w:val="24"/>
          <w:szCs w:val="24"/>
        </w:rPr>
        <w:t>No. Hyperuricaemia alone is not sufficient for the diagnosis of gout. Although there is a known association between hyperuricaemia and the development of gout, the presence of elevated serum uric acid levels by itself lacks adequate specificity to establish the diagnosis. Therefore, it should be regarded solely as a strong risk factor, not as a diagnostic criterion.</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4D2980" w:rsidRPr="00A40D6A" w:rsidRDefault="004D2980">
      <w:pPr>
        <w:rPr>
          <w:rFonts w:ascii="Times New Roman" w:hAnsi="Times New Roman" w:cs="Times New Roman"/>
          <w:i/>
          <w:sz w:val="24"/>
          <w:szCs w:val="24"/>
          <w:u w:val="single"/>
        </w:rPr>
      </w:pPr>
      <w:r w:rsidRPr="00A40D6A">
        <w:rPr>
          <w:rFonts w:ascii="Times New Roman" w:hAnsi="Times New Roman" w:cs="Times New Roman"/>
          <w:sz w:val="24"/>
          <w:szCs w:val="24"/>
        </w:rPr>
        <w:br/>
        <w:t>"</w:t>
      </w:r>
      <w:r w:rsidRPr="00A40D6A">
        <w:rPr>
          <w:rFonts w:ascii="Times New Roman" w:hAnsi="Times New Roman" w:cs="Times New Roman"/>
          <w:i/>
          <w:sz w:val="24"/>
          <w:szCs w:val="24"/>
          <w:highlight w:val="yellow"/>
          <w:u w:val="single"/>
        </w:rPr>
        <w:t>With MSU crystals identification as reference standard, the specificity of hyperuricaemia for the diagnosis of gout is low, ranging from 53% to 61%. Therefore, hyperuricaemia alone should be considered solely as a strong risk factor for incident gout and not as a surrogate marker for its diagnosis."</w:t>
      </w:r>
    </w:p>
    <w:p w:rsidR="00AA48BC" w:rsidRPr="00A40D6A" w:rsidRDefault="00AA48BC" w:rsidP="00AA48BC">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Q3: In patients where synovial fluid analysis is not possible, how should gout be diagnosed clinically?</w:t>
      </w:r>
      <w:r w:rsidRPr="00A40D6A">
        <w:rPr>
          <w:rFonts w:ascii="Times New Roman" w:eastAsia="Times New Roman" w:hAnsi="Times New Roman" w:cs="Times New Roman"/>
          <w:sz w:val="24"/>
          <w:szCs w:val="24"/>
          <w:lang w:eastAsia="tr-TR"/>
        </w:rPr>
        <w:br/>
      </w: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In the absence of synovial fluid analysis, a clinical diagnosis of gout should be based on the presence of</w:t>
      </w:r>
      <w:r w:rsidRPr="00A40D6A">
        <w:rPr>
          <w:rFonts w:ascii="Times New Roman" w:eastAsia="Times New Roman" w:hAnsi="Times New Roman" w:cs="Times New Roman"/>
          <w:b/>
          <w:sz w:val="24"/>
          <w:szCs w:val="24"/>
          <w:lang w:eastAsia="tr-TR"/>
        </w:rPr>
        <w:t xml:space="preserve"> </w:t>
      </w:r>
      <w:r w:rsidRPr="00A40D6A">
        <w:rPr>
          <w:rFonts w:ascii="Times New Roman" w:eastAsia="Times New Roman" w:hAnsi="Times New Roman" w:cs="Times New Roman"/>
          <w:bCs/>
          <w:sz w:val="24"/>
          <w:szCs w:val="24"/>
          <w:lang w:eastAsia="tr-TR"/>
        </w:rPr>
        <w:t>suggestive features</w:t>
      </w:r>
      <w:r w:rsidRPr="00A40D6A">
        <w:rPr>
          <w:rFonts w:ascii="Times New Roman" w:eastAsia="Times New Roman" w:hAnsi="Times New Roman" w:cs="Times New Roman"/>
          <w:sz w:val="24"/>
          <w:szCs w:val="24"/>
          <w:lang w:eastAsia="tr-TR"/>
        </w:rPr>
        <w:t>.</w:t>
      </w:r>
      <w:r w:rsidRPr="00A40D6A">
        <w:rPr>
          <w:rFonts w:ascii="Times New Roman" w:eastAsia="Times New Roman" w:hAnsi="Times New Roman" w:cs="Times New Roman"/>
          <w:b/>
          <w:sz w:val="24"/>
          <w:szCs w:val="24"/>
          <w:lang w:eastAsia="tr-TR"/>
        </w:rPr>
        <w:t xml:space="preserve"> </w:t>
      </w:r>
      <w:r w:rsidRPr="00A40D6A">
        <w:rPr>
          <w:rFonts w:ascii="Times New Roman" w:eastAsia="Times New Roman" w:hAnsi="Times New Roman" w:cs="Times New Roman"/>
          <w:sz w:val="24"/>
          <w:szCs w:val="24"/>
          <w:lang w:eastAsia="tr-TR"/>
        </w:rPr>
        <w:t>These include monoarticular involvement of a foot or ankle joint (especially the first metatarsophalangeal joint), previous similar episodes of acute arthritis, rapid onset of severe pain and swelling (peaking within 24 hours), erythema, male gender, cardiovascular comorbidities, and hyperuricaemia. While these features support the diagnosis, they are not specific for gout.</w:t>
      </w:r>
    </w:p>
    <w:p w:rsidR="00A40D6A" w:rsidRPr="00A40D6A" w:rsidRDefault="0026504B" w:rsidP="00AA48BC">
      <w:pPr>
        <w:spacing w:before="100" w:beforeAutospacing="1" w:after="100" w:afterAutospacing="1" w:line="240" w:lineRule="auto"/>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AA48BC" w:rsidRPr="00A40D6A" w:rsidRDefault="00AA48BC" w:rsidP="00AA48BC">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br/>
      </w:r>
      <w:proofErr w:type="gramStart"/>
      <w:r w:rsidRPr="00A40D6A">
        <w:rPr>
          <w:rFonts w:ascii="Times New Roman" w:eastAsia="Times New Roman" w:hAnsi="Times New Roman" w:cs="Times New Roman"/>
          <w:i/>
          <w:iCs/>
          <w:sz w:val="24"/>
          <w:szCs w:val="24"/>
          <w:lang w:eastAsia="tr-TR"/>
        </w:rPr>
        <w:t>"</w:t>
      </w:r>
      <w:r w:rsidRPr="00A40D6A">
        <w:rPr>
          <w:rFonts w:ascii="Times New Roman" w:eastAsia="Times New Roman" w:hAnsi="Times New Roman" w:cs="Times New Roman"/>
          <w:i/>
          <w:iCs/>
          <w:sz w:val="24"/>
          <w:szCs w:val="24"/>
          <w:highlight w:val="yellow"/>
          <w:u w:val="single"/>
          <w:lang w:eastAsia="tr-TR"/>
        </w:rPr>
        <w:t xml:space="preserve">When synovial fluid analysis is not feasible, a clinical diagnosis of gout is supported by the following suggestive features: monoarticular involvement of a foot (especially the first MTP) or ankle joint; previous similar acute arthritis episodes; rapid onset of severe pain and swelling (at its worst in &lt;24 hours); erythema; male gender and associated cardiovascular diseases and hyperuricaemia. </w:t>
      </w:r>
      <w:proofErr w:type="gramEnd"/>
      <w:r w:rsidRPr="00A40D6A">
        <w:rPr>
          <w:rFonts w:ascii="Times New Roman" w:eastAsia="Times New Roman" w:hAnsi="Times New Roman" w:cs="Times New Roman"/>
          <w:i/>
          <w:iCs/>
          <w:sz w:val="24"/>
          <w:szCs w:val="24"/>
          <w:highlight w:val="yellow"/>
          <w:u w:val="single"/>
          <w:lang w:eastAsia="tr-TR"/>
        </w:rPr>
        <w:t>These features are highly suggestive but not specific for gout."</w:t>
      </w:r>
    </w:p>
    <w:p w:rsidR="00235B9C" w:rsidRPr="00A40D6A" w:rsidRDefault="00235B9C" w:rsidP="00235B9C">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lastRenderedPageBreak/>
        <w:t>Q4: Should synovial fluid aspiration be performed in all patients with undiagnosed inflammatory arthritis to confirm gout?</w:t>
      </w:r>
    </w:p>
    <w:p w:rsidR="00235B9C" w:rsidRPr="00A40D6A" w:rsidRDefault="00235B9C" w:rsidP="00235B9C">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Yes. Synovial fluid aspiration and crystal analysis should be performed in all patients with undiagnosed inflammatory arthritis to confirm or exclude gout.</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235B9C" w:rsidRPr="00A40D6A" w:rsidRDefault="00235B9C" w:rsidP="00235B9C">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br/>
      </w:r>
      <w:r w:rsidRPr="00A40D6A">
        <w:rPr>
          <w:rFonts w:ascii="Times New Roman" w:eastAsia="Times New Roman" w:hAnsi="Times New Roman" w:cs="Times New Roman"/>
          <w:i/>
          <w:iCs/>
          <w:sz w:val="24"/>
          <w:szCs w:val="24"/>
          <w:lang w:eastAsia="tr-TR"/>
        </w:rPr>
        <w:t>"</w:t>
      </w:r>
      <w:r w:rsidRPr="00A40D6A">
        <w:rPr>
          <w:rFonts w:ascii="Times New Roman" w:eastAsia="Times New Roman" w:hAnsi="Times New Roman" w:cs="Times New Roman"/>
          <w:i/>
          <w:iCs/>
          <w:sz w:val="24"/>
          <w:szCs w:val="24"/>
          <w:highlight w:val="yellow"/>
          <w:u w:val="single"/>
          <w:lang w:eastAsia="tr-TR"/>
        </w:rPr>
        <w:t>It is strongly recommended that synovial fluid aspiration and examination for crystals is undertaken in any patient with undiagnosed inflammatory arthritis."</w:t>
      </w:r>
    </w:p>
    <w:p w:rsidR="00DB6D63" w:rsidRPr="00A40D6A" w:rsidRDefault="00DB6D63" w:rsidP="00DB6D63">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Q5: Which imaging modalities are recommended for the diagnosis of gout when crystal identification is not feasible?</w:t>
      </w:r>
    </w:p>
    <w:p w:rsidR="00DB6D63" w:rsidRPr="00A40D6A" w:rsidRDefault="00DB6D63" w:rsidP="00DB6D63">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 xml:space="preserve">In patients with atypical clinical features where crystal identification is not feasible, imaging techniques are recommended to support the diagnosis of gout. Among available modalities, </w:t>
      </w:r>
      <w:r w:rsidRPr="00A40D6A">
        <w:rPr>
          <w:rFonts w:ascii="Times New Roman" w:eastAsia="Times New Roman" w:hAnsi="Times New Roman" w:cs="Times New Roman"/>
          <w:bCs/>
          <w:sz w:val="24"/>
          <w:szCs w:val="24"/>
          <w:lang w:eastAsia="tr-TR"/>
        </w:rPr>
        <w:t>ultrasound (US)</w:t>
      </w:r>
      <w:r w:rsidRPr="00A40D6A">
        <w:rPr>
          <w:rFonts w:ascii="Times New Roman" w:eastAsia="Times New Roman" w:hAnsi="Times New Roman" w:cs="Times New Roman"/>
          <w:sz w:val="24"/>
          <w:szCs w:val="24"/>
          <w:lang w:eastAsia="tr-TR"/>
        </w:rPr>
        <w:t xml:space="preserve"> is considered the most promising due to its overall diagnostic potential. </w:t>
      </w:r>
      <w:r w:rsidRPr="00A40D6A">
        <w:rPr>
          <w:rFonts w:ascii="Times New Roman" w:eastAsia="Times New Roman" w:hAnsi="Times New Roman" w:cs="Times New Roman"/>
          <w:bCs/>
          <w:sz w:val="24"/>
          <w:szCs w:val="24"/>
          <w:lang w:eastAsia="tr-TR"/>
        </w:rPr>
        <w:t>Dual-energy computed tomography (DECT)</w:t>
      </w:r>
      <w:r w:rsidRPr="00A40D6A">
        <w:rPr>
          <w:rFonts w:ascii="Times New Roman" w:eastAsia="Times New Roman" w:hAnsi="Times New Roman" w:cs="Times New Roman"/>
          <w:sz w:val="24"/>
          <w:szCs w:val="24"/>
          <w:lang w:eastAsia="tr-TR"/>
        </w:rPr>
        <w:t xml:space="preserve"> is also useful, offering the ability to distinguish monosodium urate deposits from other tissues and quantify urate burden, including in deep-seated areas. Although CT and MRI can detect urate deposits and joint damage, their diagnostic role is more limited. DECT sensitivity may be lower in early-stage disease or in the absence of tophi.</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AA48BC" w:rsidRPr="00A40D6A" w:rsidRDefault="00DB6D63">
      <w:pPr>
        <w:rPr>
          <w:rStyle w:val="Vurgu"/>
          <w:rFonts w:ascii="Times New Roman" w:hAnsi="Times New Roman" w:cs="Times New Roman"/>
          <w:sz w:val="24"/>
          <w:szCs w:val="24"/>
          <w:u w:val="single"/>
        </w:rPr>
      </w:pPr>
      <w:r w:rsidRPr="00A40D6A">
        <w:rPr>
          <w:rStyle w:val="Vurgu"/>
          <w:rFonts w:ascii="Times New Roman" w:hAnsi="Times New Roman" w:cs="Times New Roman"/>
          <w:sz w:val="24"/>
          <w:szCs w:val="24"/>
          <w:highlight w:val="yellow"/>
          <w:u w:val="single"/>
        </w:rPr>
        <w:t>“For patients with atypical clinical features and in whom crystal identification is not feasible, the task force recommends the use of conventional and/or advanced imaging techniques to help the physician diagnose gout. Since the last EULAR recommendations, major advances in imaging of gout have been made, particularly with regard to US, DECT, conventional CT and MRI. All can detect urate deposition, tophi and bone erosion, but there are still uncertainties about the best imaging modality for diagnosing gout. The task force agreed that although all have their strengths and weaknesses, overall US offers the best potential for diagnosing gout (see the sixth recommendation). DECT is promising and has the advantage of differentiating MSU crystal deposition from connective tissues and from calcium containing mineral deposits by their specific X-ray attenuation properties. DECT can also quantify the MSU crystal deposition burden in and around joints, and explore ‘deep-seated’ anatomical structures/regions (e.g</w:t>
      </w:r>
      <w:proofErr w:type="gramStart"/>
      <w:r w:rsidRPr="00A40D6A">
        <w:rPr>
          <w:rStyle w:val="Vurgu"/>
          <w:rFonts w:ascii="Times New Roman" w:hAnsi="Times New Roman" w:cs="Times New Roman"/>
          <w:sz w:val="24"/>
          <w:szCs w:val="24"/>
          <w:highlight w:val="yellow"/>
          <w:u w:val="single"/>
        </w:rPr>
        <w:t>.,</w:t>
      </w:r>
      <w:proofErr w:type="gramEnd"/>
      <w:r w:rsidRPr="00A40D6A">
        <w:rPr>
          <w:rStyle w:val="Vurgu"/>
          <w:rFonts w:ascii="Times New Roman" w:hAnsi="Times New Roman" w:cs="Times New Roman"/>
          <w:sz w:val="24"/>
          <w:szCs w:val="24"/>
          <w:highlight w:val="yellow"/>
          <w:u w:val="single"/>
        </w:rPr>
        <w:t xml:space="preserve"> spine). </w:t>
      </w:r>
      <w:proofErr w:type="gramStart"/>
      <w:r w:rsidRPr="00A40D6A">
        <w:rPr>
          <w:rStyle w:val="Vurgu"/>
          <w:rFonts w:ascii="Times New Roman" w:hAnsi="Times New Roman" w:cs="Times New Roman"/>
          <w:sz w:val="24"/>
          <w:szCs w:val="24"/>
          <w:highlight w:val="yellow"/>
          <w:u w:val="single"/>
        </w:rPr>
        <w:t xml:space="preserve">The metrological properties of DECT for the diagnosis of gout have been assessed in several studies summarised in table 3. It should be noted that many of these studies have included patients at an advanced stage of the disease, that is, patients often with tophaceous and/or erosive gout with chronic gouty arthritis. </w:t>
      </w:r>
      <w:proofErr w:type="gramEnd"/>
      <w:r w:rsidRPr="00A40D6A">
        <w:rPr>
          <w:rStyle w:val="Vurgu"/>
          <w:rFonts w:ascii="Times New Roman" w:hAnsi="Times New Roman" w:cs="Times New Roman"/>
          <w:sz w:val="24"/>
          <w:szCs w:val="24"/>
          <w:highlight w:val="yellow"/>
          <w:u w:val="single"/>
        </w:rPr>
        <w:t>Sensitivity of DECT in patients with early disease or without tophi tends to be lower.”</w:t>
      </w:r>
    </w:p>
    <w:p w:rsidR="00D74B18" w:rsidRPr="00A40D6A" w:rsidRDefault="00D74B18">
      <w:pPr>
        <w:rPr>
          <w:rStyle w:val="Vurgu"/>
          <w:rFonts w:ascii="Times New Roman" w:hAnsi="Times New Roman" w:cs="Times New Roman"/>
          <w:sz w:val="24"/>
          <w:szCs w:val="24"/>
          <w:u w:val="single"/>
        </w:rPr>
      </w:pPr>
    </w:p>
    <w:p w:rsidR="00D74B18" w:rsidRPr="00A40D6A" w:rsidRDefault="00D74B18" w:rsidP="00D74B18">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Q6: What is the recommended timing for initiating treatment during an acute gout flare?</w:t>
      </w:r>
    </w:p>
    <w:p w:rsidR="00D74B18" w:rsidRPr="00A40D6A" w:rsidRDefault="00D74B18" w:rsidP="00D74B18">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lastRenderedPageBreak/>
        <w:t>Expected Answer:</w:t>
      </w:r>
      <w:r w:rsidRPr="00A40D6A">
        <w:rPr>
          <w:rFonts w:ascii="Times New Roman" w:eastAsia="Times New Roman" w:hAnsi="Times New Roman" w:cs="Times New Roman"/>
          <w:sz w:val="24"/>
          <w:szCs w:val="24"/>
          <w:lang w:eastAsia="tr-TR"/>
        </w:rPr>
        <w:br/>
        <w:t>Treatment should be initiated as early as possible. Patients should be educated to self-medicate at the first warning symptoms.</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D74B18" w:rsidRPr="00A40D6A" w:rsidRDefault="0026504B" w:rsidP="0026504B">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i/>
          <w:iCs/>
          <w:sz w:val="24"/>
          <w:szCs w:val="24"/>
          <w:highlight w:val="yellow"/>
          <w:u w:val="single"/>
          <w:lang w:eastAsia="tr-TR"/>
        </w:rPr>
        <w:t xml:space="preserve"> </w:t>
      </w:r>
      <w:r w:rsidR="00D74B18" w:rsidRPr="00A40D6A">
        <w:rPr>
          <w:rFonts w:ascii="Times New Roman" w:eastAsia="Times New Roman" w:hAnsi="Times New Roman" w:cs="Times New Roman"/>
          <w:i/>
          <w:iCs/>
          <w:sz w:val="24"/>
          <w:szCs w:val="24"/>
          <w:highlight w:val="yellow"/>
          <w:u w:val="single"/>
          <w:lang w:eastAsia="tr-TR"/>
        </w:rPr>
        <w:t>“Acute flares of gout should be treated as early as possible. Fully informed patients should be educated to self-medicate at the first warning symptoms.”</w:t>
      </w:r>
    </w:p>
    <w:p w:rsidR="00D74B18" w:rsidRPr="00A40D6A" w:rsidRDefault="00D74B18" w:rsidP="00D74B18">
      <w:pPr>
        <w:pStyle w:val="Balk3"/>
        <w:rPr>
          <w:sz w:val="24"/>
          <w:szCs w:val="24"/>
        </w:rPr>
      </w:pPr>
      <w:r w:rsidRPr="00A40D6A">
        <w:rPr>
          <w:rStyle w:val="Gl"/>
          <w:b/>
          <w:bCs/>
          <w:sz w:val="24"/>
          <w:szCs w:val="24"/>
        </w:rPr>
        <w:t>Q7: What are the first-line treatment options for managing an acute gout flare?</w:t>
      </w:r>
    </w:p>
    <w:p w:rsidR="00D74B18" w:rsidRPr="00A40D6A" w:rsidRDefault="00D74B18" w:rsidP="00D74B18">
      <w:pPr>
        <w:pStyle w:val="NormalWeb"/>
      </w:pPr>
      <w:r w:rsidRPr="00A40D6A">
        <w:rPr>
          <w:rStyle w:val="Gl"/>
        </w:rPr>
        <w:t>Expected Answer:</w:t>
      </w:r>
      <w:r w:rsidRPr="00A40D6A">
        <w:br/>
        <w:t>Recommended first-line treatment options for acute gout flares are:</w:t>
      </w:r>
    </w:p>
    <w:p w:rsidR="00D74B18" w:rsidRPr="00A40D6A" w:rsidRDefault="00D74B18" w:rsidP="00D74B18">
      <w:pPr>
        <w:pStyle w:val="NormalWeb"/>
        <w:numPr>
          <w:ilvl w:val="0"/>
          <w:numId w:val="3"/>
        </w:numPr>
      </w:pPr>
      <w:r w:rsidRPr="00A40D6A">
        <w:rPr>
          <w:rStyle w:val="Gl"/>
          <w:b w:val="0"/>
        </w:rPr>
        <w:t>Colchicine</w:t>
      </w:r>
      <w:r w:rsidRPr="00A40D6A">
        <w:rPr>
          <w:b/>
        </w:rPr>
        <w:t>,</w:t>
      </w:r>
      <w:r w:rsidRPr="00A40D6A">
        <w:t xml:space="preserve"> administered within 12 hours of flare onset at a loading dose of </w:t>
      </w:r>
      <w:r w:rsidRPr="00A40D6A">
        <w:rPr>
          <w:rStyle w:val="Gl"/>
          <w:b w:val="0"/>
        </w:rPr>
        <w:t>1 mg followed 1 hour later by 0.5 mg on day 1</w:t>
      </w:r>
    </w:p>
    <w:p w:rsidR="00D74B18" w:rsidRPr="00A40D6A" w:rsidRDefault="00D74B18" w:rsidP="00D74B18">
      <w:pPr>
        <w:pStyle w:val="NormalWeb"/>
        <w:numPr>
          <w:ilvl w:val="0"/>
          <w:numId w:val="3"/>
        </w:numPr>
      </w:pPr>
      <w:r w:rsidRPr="00A40D6A">
        <w:rPr>
          <w:rStyle w:val="Gl"/>
          <w:b w:val="0"/>
        </w:rPr>
        <w:t>Non-steroidal anti-inflammatory drugs (NSAIDs</w:t>
      </w:r>
      <w:r w:rsidRPr="00A40D6A">
        <w:rPr>
          <w:rStyle w:val="Gl"/>
        </w:rPr>
        <w:t>)</w:t>
      </w:r>
      <w:r w:rsidRPr="00A40D6A">
        <w:t xml:space="preserve"> (plus a proton pump inhibitor if appropriate)</w:t>
      </w:r>
    </w:p>
    <w:p w:rsidR="00D74B18" w:rsidRPr="00A40D6A" w:rsidRDefault="00D74B18" w:rsidP="00D74B18">
      <w:pPr>
        <w:pStyle w:val="NormalWeb"/>
        <w:numPr>
          <w:ilvl w:val="0"/>
          <w:numId w:val="3"/>
        </w:numPr>
        <w:rPr>
          <w:b/>
        </w:rPr>
      </w:pPr>
      <w:r w:rsidRPr="00A40D6A">
        <w:rPr>
          <w:rStyle w:val="Gl"/>
          <w:b w:val="0"/>
        </w:rPr>
        <w:t>Oral corticosteroids</w:t>
      </w:r>
      <w:r w:rsidRPr="00A40D6A">
        <w:rPr>
          <w:b/>
        </w:rPr>
        <w:t xml:space="preserve">, </w:t>
      </w:r>
      <w:r w:rsidRPr="00A40D6A">
        <w:t>such as</w:t>
      </w:r>
      <w:r w:rsidRPr="00A40D6A">
        <w:rPr>
          <w:b/>
        </w:rPr>
        <w:t xml:space="preserve"> </w:t>
      </w:r>
      <w:r w:rsidRPr="00A40D6A">
        <w:rPr>
          <w:rStyle w:val="Gl"/>
          <w:b w:val="0"/>
        </w:rPr>
        <w:t>30–35 mg/day of prednisolone for 3–5 days</w:t>
      </w:r>
    </w:p>
    <w:p w:rsidR="00D74B18" w:rsidRPr="00A40D6A" w:rsidRDefault="00D74B18" w:rsidP="00C450EE">
      <w:pPr>
        <w:numPr>
          <w:ilvl w:val="0"/>
          <w:numId w:val="3"/>
        </w:numPr>
        <w:spacing w:beforeAutospacing="1" w:after="0" w:afterAutospacing="1" w:line="240" w:lineRule="auto"/>
        <w:rPr>
          <w:rFonts w:ascii="Times New Roman" w:hAnsi="Times New Roman" w:cs="Times New Roman"/>
          <w:sz w:val="24"/>
          <w:szCs w:val="24"/>
        </w:rPr>
      </w:pPr>
      <w:r w:rsidRPr="00A40D6A">
        <w:rPr>
          <w:rFonts w:ascii="Times New Roman" w:hAnsi="Times New Roman" w:cs="Times New Roman"/>
          <w:sz w:val="24"/>
          <w:szCs w:val="24"/>
        </w:rPr>
        <w:t>Articular aspiration and injection of corticosteroids</w:t>
      </w:r>
    </w:p>
    <w:p w:rsidR="0026504B" w:rsidRPr="00A40D6A" w:rsidRDefault="0026504B" w:rsidP="00A40D6A">
      <w:pPr>
        <w:spacing w:before="100" w:beforeAutospacing="1" w:after="100" w:afterAutospacing="1" w:line="240" w:lineRule="auto"/>
        <w:ind w:left="360"/>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D74B18" w:rsidRPr="00A40D6A" w:rsidRDefault="0026504B" w:rsidP="0026504B">
      <w:pPr>
        <w:pStyle w:val="ListeParagraf"/>
        <w:numPr>
          <w:ilvl w:val="0"/>
          <w:numId w:val="3"/>
        </w:num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i/>
          <w:iCs/>
          <w:sz w:val="24"/>
          <w:szCs w:val="24"/>
          <w:highlight w:val="yellow"/>
          <w:u w:val="single"/>
          <w:lang w:eastAsia="tr-TR"/>
        </w:rPr>
        <w:t xml:space="preserve"> </w:t>
      </w:r>
      <w:proofErr w:type="gramStart"/>
      <w:r w:rsidR="00D74B18" w:rsidRPr="00A40D6A">
        <w:rPr>
          <w:rFonts w:ascii="Times New Roman" w:eastAsia="Times New Roman" w:hAnsi="Times New Roman" w:cs="Times New Roman"/>
          <w:i/>
          <w:iCs/>
          <w:sz w:val="24"/>
          <w:szCs w:val="24"/>
          <w:highlight w:val="yellow"/>
          <w:u w:val="single"/>
          <w:lang w:eastAsia="tr-TR"/>
        </w:rPr>
        <w:t>“Recommended first-line options for acute flares are colchicine (within 12 hours of flare onset) at a loading dose of 1 mg followed 1 hour later by 0.5 mg on day 1 and/or an NSAID (plus proton pump inhibitors if appropriate), oral corticosteroid (30–35 mg/day of equivalent prednisolone for 3–5 days) or articular aspiration and injection of corticosteroids.”</w:t>
      </w:r>
      <w:proofErr w:type="gramEnd"/>
    </w:p>
    <w:p w:rsidR="00690AF7" w:rsidRPr="00A40D6A" w:rsidRDefault="00690AF7" w:rsidP="00690AF7">
      <w:pPr>
        <w:pStyle w:val="Balk3"/>
        <w:rPr>
          <w:sz w:val="24"/>
          <w:szCs w:val="24"/>
        </w:rPr>
      </w:pPr>
      <w:r w:rsidRPr="00A40D6A">
        <w:rPr>
          <w:rStyle w:val="Gl"/>
          <w:b/>
          <w:bCs/>
          <w:sz w:val="24"/>
          <w:szCs w:val="24"/>
        </w:rPr>
        <w:t>Q8: How should colchicine be dosed for the treatment of an acute gout flare?</w:t>
      </w:r>
    </w:p>
    <w:p w:rsidR="00A40D6A" w:rsidRDefault="00690AF7" w:rsidP="0026504B">
      <w:pPr>
        <w:spacing w:before="100" w:beforeAutospacing="1" w:after="100" w:afterAutospacing="1" w:line="240" w:lineRule="auto"/>
        <w:rPr>
          <w:rStyle w:val="Gl"/>
          <w:rFonts w:ascii="Times New Roman" w:hAnsi="Times New Roman" w:cs="Times New Roman"/>
          <w:b w:val="0"/>
          <w:sz w:val="24"/>
          <w:szCs w:val="24"/>
        </w:rPr>
      </w:pPr>
      <w:r w:rsidRPr="00A40D6A">
        <w:rPr>
          <w:rStyle w:val="Gl"/>
          <w:rFonts w:ascii="Times New Roman" w:hAnsi="Times New Roman" w:cs="Times New Roman"/>
          <w:sz w:val="24"/>
          <w:szCs w:val="24"/>
        </w:rPr>
        <w:t>Expected Answer:</w:t>
      </w:r>
      <w:r w:rsidRPr="00A40D6A">
        <w:rPr>
          <w:rFonts w:ascii="Times New Roman" w:hAnsi="Times New Roman" w:cs="Times New Roman"/>
          <w:sz w:val="24"/>
          <w:szCs w:val="24"/>
        </w:rPr>
        <w:br/>
        <w:t>Colchicine should be administered as early as possible within 12 hours of symptom onset. The recommended dosing regimen is:</w:t>
      </w:r>
      <w:r w:rsidR="00B1122C" w:rsidRPr="00A40D6A">
        <w:rPr>
          <w:rFonts w:ascii="Times New Roman" w:hAnsi="Times New Roman" w:cs="Times New Roman"/>
          <w:sz w:val="24"/>
          <w:szCs w:val="24"/>
        </w:rPr>
        <w:t xml:space="preserve"> </w:t>
      </w:r>
      <w:r w:rsidRPr="00A40D6A">
        <w:rPr>
          <w:rStyle w:val="Gl"/>
          <w:rFonts w:ascii="Times New Roman" w:hAnsi="Times New Roman" w:cs="Times New Roman"/>
          <w:b w:val="0"/>
          <w:sz w:val="24"/>
          <w:szCs w:val="24"/>
        </w:rPr>
        <w:t>1 mg loading dose</w:t>
      </w:r>
      <w:r w:rsidRPr="00A40D6A">
        <w:rPr>
          <w:rFonts w:ascii="Times New Roman" w:hAnsi="Times New Roman" w:cs="Times New Roman"/>
          <w:b/>
          <w:sz w:val="24"/>
          <w:szCs w:val="24"/>
        </w:rPr>
        <w:t xml:space="preserve">, </w:t>
      </w:r>
      <w:r w:rsidRPr="00A40D6A">
        <w:rPr>
          <w:rFonts w:ascii="Times New Roman" w:hAnsi="Times New Roman" w:cs="Times New Roman"/>
          <w:sz w:val="24"/>
          <w:szCs w:val="24"/>
        </w:rPr>
        <w:t>followed</w:t>
      </w:r>
      <w:r w:rsidRPr="00A40D6A">
        <w:rPr>
          <w:rFonts w:ascii="Times New Roman" w:hAnsi="Times New Roman" w:cs="Times New Roman"/>
          <w:b/>
          <w:sz w:val="24"/>
          <w:szCs w:val="24"/>
        </w:rPr>
        <w:t xml:space="preserve"> </w:t>
      </w:r>
      <w:r w:rsidRPr="00A40D6A">
        <w:rPr>
          <w:rStyle w:val="Gl"/>
          <w:rFonts w:ascii="Times New Roman" w:hAnsi="Times New Roman" w:cs="Times New Roman"/>
          <w:b w:val="0"/>
          <w:sz w:val="24"/>
          <w:szCs w:val="24"/>
        </w:rPr>
        <w:t>1 hour later by 0.5 mg</w:t>
      </w:r>
      <w:r w:rsidRPr="00A40D6A">
        <w:rPr>
          <w:rFonts w:ascii="Times New Roman" w:hAnsi="Times New Roman" w:cs="Times New Roman"/>
          <w:b/>
          <w:sz w:val="24"/>
          <w:szCs w:val="24"/>
        </w:rPr>
        <w:t xml:space="preserve"> o</w:t>
      </w:r>
      <w:r w:rsidRPr="00A40D6A">
        <w:rPr>
          <w:rFonts w:ascii="Times New Roman" w:hAnsi="Times New Roman" w:cs="Times New Roman"/>
          <w:sz w:val="24"/>
          <w:szCs w:val="24"/>
        </w:rPr>
        <w:t>n</w:t>
      </w:r>
      <w:r w:rsidRPr="00A40D6A">
        <w:rPr>
          <w:rFonts w:ascii="Times New Roman" w:hAnsi="Times New Roman" w:cs="Times New Roman"/>
          <w:b/>
          <w:sz w:val="24"/>
          <w:szCs w:val="24"/>
        </w:rPr>
        <w:t xml:space="preserve"> </w:t>
      </w:r>
      <w:r w:rsidR="00A40D6A">
        <w:rPr>
          <w:rStyle w:val="Gl"/>
          <w:rFonts w:ascii="Times New Roman" w:hAnsi="Times New Roman" w:cs="Times New Roman"/>
          <w:b w:val="0"/>
          <w:sz w:val="24"/>
          <w:szCs w:val="24"/>
        </w:rPr>
        <w:t xml:space="preserve">day </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690AF7" w:rsidRPr="00A40D6A" w:rsidRDefault="0026504B" w:rsidP="0026504B">
      <w:pPr>
        <w:pStyle w:val="NormalWeb"/>
        <w:rPr>
          <w:u w:val="single"/>
        </w:rPr>
      </w:pPr>
      <w:r w:rsidRPr="00A40D6A">
        <w:rPr>
          <w:rStyle w:val="Vurgu"/>
          <w:highlight w:val="yellow"/>
          <w:u w:val="single"/>
        </w:rPr>
        <w:t xml:space="preserve"> </w:t>
      </w:r>
      <w:r w:rsidR="00690AF7" w:rsidRPr="00A40D6A">
        <w:rPr>
          <w:rStyle w:val="Vurgu"/>
          <w:highlight w:val="yellow"/>
          <w:u w:val="single"/>
        </w:rPr>
        <w:t>“Colchicine is effective when given within 12 hours of symptoms onset... the task force recommends the use of 1 mg colchicine followed 1 hour later by 0.5 mg for treating flare.”</w:t>
      </w:r>
    </w:p>
    <w:p w:rsidR="00B1122C" w:rsidRPr="00A40D6A" w:rsidRDefault="00B1122C" w:rsidP="00B1122C">
      <w:pPr>
        <w:pStyle w:val="Balk3"/>
        <w:rPr>
          <w:sz w:val="24"/>
          <w:szCs w:val="24"/>
        </w:rPr>
      </w:pPr>
      <w:r w:rsidRPr="00A40D6A">
        <w:rPr>
          <w:rStyle w:val="Gl"/>
          <w:b/>
          <w:bCs/>
          <w:sz w:val="24"/>
          <w:szCs w:val="24"/>
        </w:rPr>
        <w:t>Q9: In which patients should NSAIDs and colchicine be avoided during acute gout management?</w:t>
      </w:r>
    </w:p>
    <w:p w:rsidR="00B1122C" w:rsidRPr="00A40D6A" w:rsidRDefault="00B1122C" w:rsidP="00B1122C">
      <w:pPr>
        <w:pStyle w:val="NormalWeb"/>
      </w:pPr>
      <w:r w:rsidRPr="00A40D6A">
        <w:rPr>
          <w:rStyle w:val="Gl"/>
        </w:rPr>
        <w:t>Expected Answer:</w:t>
      </w:r>
      <w:r w:rsidRPr="00A40D6A">
        <w:br/>
        <w:t xml:space="preserve">NSAIDs and colchicine should be avoided in patients with </w:t>
      </w:r>
      <w:r w:rsidRPr="00A40D6A">
        <w:rPr>
          <w:rStyle w:val="Gl"/>
          <w:b w:val="0"/>
        </w:rPr>
        <w:t>severe renal impairment</w:t>
      </w:r>
      <w:r w:rsidRPr="00A40D6A">
        <w:rPr>
          <w:b/>
        </w:rPr>
        <w:t>.</w:t>
      </w:r>
      <w:r w:rsidRPr="00A40D6A">
        <w:t xml:space="preserve"> Colchicine should also not be used in patients receiving </w:t>
      </w:r>
      <w:r w:rsidRPr="00A40D6A">
        <w:rPr>
          <w:rStyle w:val="Gl"/>
          <w:b w:val="0"/>
        </w:rPr>
        <w:t>strong P-glycoprotein and/or CYP3A4 inhibitors</w:t>
      </w:r>
      <w:r w:rsidRPr="00A40D6A">
        <w:rPr>
          <w:b/>
        </w:rPr>
        <w:t xml:space="preserve"> s</w:t>
      </w:r>
      <w:r w:rsidRPr="00A40D6A">
        <w:t>uch as cyclosporin or clarithromycin.</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B1122C" w:rsidRPr="00A40D6A" w:rsidRDefault="0026504B" w:rsidP="0026504B">
      <w:pPr>
        <w:pStyle w:val="NormalWeb"/>
        <w:rPr>
          <w:u w:val="single"/>
        </w:rPr>
      </w:pPr>
      <w:r w:rsidRPr="00A40D6A">
        <w:rPr>
          <w:rStyle w:val="Vurgu"/>
        </w:rPr>
        <w:lastRenderedPageBreak/>
        <w:t xml:space="preserve"> </w:t>
      </w:r>
      <w:r w:rsidR="00B1122C" w:rsidRPr="00A40D6A">
        <w:rPr>
          <w:rStyle w:val="Vurgu"/>
        </w:rPr>
        <w:t>“</w:t>
      </w:r>
      <w:r w:rsidR="00B1122C" w:rsidRPr="00A40D6A">
        <w:rPr>
          <w:rStyle w:val="Vurgu"/>
          <w:highlight w:val="yellow"/>
          <w:u w:val="single"/>
        </w:rPr>
        <w:t>Colchicine and NSAIDs should be avoided in patients with severe renal impairment. Colchicine should not be given to patients receiving strong P-glycoprotein and/or CYP3A4 inhibitors such as cyclosporin or clarithromycin.”</w:t>
      </w:r>
    </w:p>
    <w:p w:rsidR="00950B46" w:rsidRPr="00A40D6A" w:rsidRDefault="00950B46" w:rsidP="00950B46">
      <w:pPr>
        <w:pStyle w:val="Balk3"/>
        <w:rPr>
          <w:sz w:val="24"/>
          <w:szCs w:val="24"/>
        </w:rPr>
      </w:pPr>
      <w:r w:rsidRPr="00A40D6A">
        <w:rPr>
          <w:rStyle w:val="Gl"/>
          <w:b/>
          <w:bCs/>
          <w:sz w:val="24"/>
          <w:szCs w:val="24"/>
        </w:rPr>
        <w:t>Q10: When should IL-1 inhibitors be considered in the treatment of an acute gout flare?</w:t>
      </w:r>
    </w:p>
    <w:p w:rsidR="00950B46" w:rsidRPr="00A40D6A" w:rsidRDefault="00950B46" w:rsidP="00950B46">
      <w:pPr>
        <w:pStyle w:val="NormalWeb"/>
      </w:pPr>
      <w:r w:rsidRPr="00A40D6A">
        <w:rPr>
          <w:rStyle w:val="Gl"/>
        </w:rPr>
        <w:t>Expected Answer:</w:t>
      </w:r>
      <w:r w:rsidRPr="00A40D6A">
        <w:br/>
        <w:t xml:space="preserve">IL-1 inhibitors should be considered in patients experiencing frequent flares who have </w:t>
      </w:r>
      <w:r w:rsidRPr="009C5C63">
        <w:rPr>
          <w:rStyle w:val="Gl"/>
          <w:b w:val="0"/>
        </w:rPr>
        <w:t>contraindications, intolerance, or insufficient response</w:t>
      </w:r>
      <w:r w:rsidRPr="00A40D6A">
        <w:t xml:space="preserve"> to colchicine, NSAIDs, and corticosteroids (both oral and injectable). IL-1 inhibitors are not recommended in patients with active infections.</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950B46" w:rsidRPr="00A40D6A" w:rsidRDefault="0026504B" w:rsidP="000E4E38">
      <w:pPr>
        <w:pStyle w:val="NormalWeb"/>
      </w:pPr>
      <w:r w:rsidRPr="00A40D6A">
        <w:rPr>
          <w:rStyle w:val="Vurgu"/>
          <w:i w:val="0"/>
          <w:u w:val="single"/>
        </w:rPr>
        <w:t xml:space="preserve"> </w:t>
      </w:r>
      <w:r w:rsidR="00950B46" w:rsidRPr="00A40D6A">
        <w:rPr>
          <w:rStyle w:val="Vurgu"/>
          <w:i w:val="0"/>
          <w:u w:val="single"/>
        </w:rPr>
        <w:t>“</w:t>
      </w:r>
      <w:r w:rsidR="00950B46" w:rsidRPr="00A40D6A">
        <w:rPr>
          <w:rStyle w:val="Vurgu"/>
          <w:highlight w:val="yellow"/>
          <w:u w:val="single"/>
        </w:rPr>
        <w:t>In patients with frequent flares and contraindications to colchicine, NSAIDs and corticosteroid (oral and injectable), IL-1 blockers should be considered for treating flares. Current infection is a contraindication to the use of IL-1 blockers.”</w:t>
      </w:r>
    </w:p>
    <w:p w:rsidR="00950B46" w:rsidRPr="00A40D6A" w:rsidRDefault="00950B46" w:rsidP="00950B46">
      <w:pPr>
        <w:pStyle w:val="Balk3"/>
        <w:rPr>
          <w:sz w:val="24"/>
          <w:szCs w:val="24"/>
        </w:rPr>
      </w:pPr>
      <w:r w:rsidRPr="00A40D6A">
        <w:rPr>
          <w:rStyle w:val="Gl"/>
          <w:b/>
          <w:bCs/>
          <w:sz w:val="24"/>
          <w:szCs w:val="24"/>
        </w:rPr>
        <w:t>Q11: When should urate-lowering therapy (ULT) be initiated in patients with gout?</w:t>
      </w:r>
    </w:p>
    <w:p w:rsidR="00950B46" w:rsidRPr="00A40D6A" w:rsidRDefault="00950B46" w:rsidP="00950B46">
      <w:pPr>
        <w:pStyle w:val="NormalWeb"/>
      </w:pPr>
      <w:r w:rsidRPr="00A40D6A">
        <w:rPr>
          <w:rStyle w:val="Gl"/>
        </w:rPr>
        <w:t>Expected Answer:</w:t>
      </w:r>
      <w:r w:rsidRPr="00A40D6A">
        <w:br/>
        <w:t xml:space="preserve">ULT should be considered and discussed with every patient from the </w:t>
      </w:r>
      <w:r w:rsidRPr="009C5C63">
        <w:rPr>
          <w:rStyle w:val="Gl"/>
          <w:b w:val="0"/>
        </w:rPr>
        <w:t>first presentation</w:t>
      </w:r>
      <w:r w:rsidRPr="00A40D6A">
        <w:t xml:space="preserve"> of a definite gout diagnosis. Initiation is </w:t>
      </w:r>
      <w:r w:rsidRPr="009C5C63">
        <w:rPr>
          <w:rStyle w:val="Gl"/>
          <w:b w:val="0"/>
        </w:rPr>
        <w:t>recommended</w:t>
      </w:r>
      <w:r w:rsidRPr="009C5C63">
        <w:rPr>
          <w:b/>
        </w:rPr>
        <w:t xml:space="preserve"> </w:t>
      </w:r>
      <w:r w:rsidRPr="00A40D6A">
        <w:t xml:space="preserve">in patients with recurrent flares (≥2/year), tophi, urate arthropathy, renal stones, </w:t>
      </w:r>
      <w:r w:rsidRPr="009C5C63">
        <w:rPr>
          <w:rStyle w:val="Gl"/>
          <w:b w:val="0"/>
        </w:rPr>
        <w:t>very high serum uric acid levels</w:t>
      </w:r>
      <w:r w:rsidRPr="00A40D6A">
        <w:t xml:space="preserve"> (&gt;8 mg/dL or 480 µmol/L), </w:t>
      </w:r>
      <w:r w:rsidRPr="009C5C63">
        <w:rPr>
          <w:rStyle w:val="Gl"/>
          <w:b w:val="0"/>
        </w:rPr>
        <w:t>young age of onset</w:t>
      </w:r>
      <w:r w:rsidRPr="00A40D6A">
        <w:t xml:space="preserve"> (&lt;40 years), or associated</w:t>
      </w:r>
      <w:r w:rsidRPr="009C5C63">
        <w:t xml:space="preserve"> </w:t>
      </w:r>
      <w:r w:rsidRPr="009C5C63">
        <w:rPr>
          <w:rStyle w:val="Gl"/>
          <w:b w:val="0"/>
        </w:rPr>
        <w:t>comorbidities</w:t>
      </w:r>
      <w:r w:rsidRPr="009C5C63">
        <w:rPr>
          <w:b/>
        </w:rPr>
        <w:t xml:space="preserve"> </w:t>
      </w:r>
      <w:r w:rsidRPr="00A40D6A">
        <w:t>such as renal impairment, hypertension, ischaemic heart disease, or heart failure.</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950B46" w:rsidRPr="00A40D6A" w:rsidRDefault="0026504B" w:rsidP="0026504B">
      <w:pPr>
        <w:pStyle w:val="NormalWeb"/>
      </w:pPr>
      <w:r w:rsidRPr="00A40D6A">
        <w:rPr>
          <w:rStyle w:val="Vurgu"/>
        </w:rPr>
        <w:t xml:space="preserve"> </w:t>
      </w:r>
      <w:r w:rsidR="00950B46" w:rsidRPr="00A40D6A">
        <w:rPr>
          <w:rStyle w:val="Vurgu"/>
        </w:rPr>
        <w:t>“</w:t>
      </w:r>
      <w:r w:rsidR="00950B46" w:rsidRPr="00A40D6A">
        <w:rPr>
          <w:rStyle w:val="Vurgu"/>
          <w:highlight w:val="yellow"/>
          <w:u w:val="single"/>
        </w:rPr>
        <w:t>ULT should be considered and discussed with every patient with a definite diagnosis of gout from the first presentation. ULT is indicated in all patients with recurrent flares, tophi, urate arthropathy and/or renal stones. Initiation of ULT is recommended close to the time of first diagnosis in patients presenting at a young age (&lt;40 years) or with a very high SUA level (&gt;8.0 mg/dL; 480 mmol/L) and/or comorbidities (renal impairment, hypertension, ischaemic heart disease, heart failure).”</w:t>
      </w:r>
    </w:p>
    <w:p w:rsidR="00D02223" w:rsidRPr="00A40D6A" w:rsidRDefault="00D02223" w:rsidP="00D02223">
      <w:pPr>
        <w:pStyle w:val="Balk3"/>
        <w:rPr>
          <w:sz w:val="24"/>
          <w:szCs w:val="24"/>
        </w:rPr>
      </w:pPr>
      <w:r w:rsidRPr="00A40D6A">
        <w:rPr>
          <w:rStyle w:val="Gl"/>
          <w:b/>
          <w:bCs/>
          <w:sz w:val="24"/>
          <w:szCs w:val="24"/>
        </w:rPr>
        <w:t xml:space="preserve">Q12: Which patients with gout should receive </w:t>
      </w:r>
      <w:r w:rsidRPr="00A40D6A">
        <w:rPr>
          <w:rStyle w:val="Vurgu"/>
          <w:sz w:val="24"/>
          <w:szCs w:val="24"/>
        </w:rPr>
        <w:t>early</w:t>
      </w:r>
      <w:r w:rsidRPr="00A40D6A">
        <w:rPr>
          <w:rStyle w:val="Gl"/>
          <w:b/>
          <w:bCs/>
          <w:sz w:val="24"/>
          <w:szCs w:val="24"/>
        </w:rPr>
        <w:t xml:space="preserve"> initiation of urate-lowering therapy (ULT)?</w:t>
      </w:r>
    </w:p>
    <w:p w:rsidR="00D02223" w:rsidRPr="00A40D6A" w:rsidRDefault="00D02223" w:rsidP="00D02223">
      <w:pPr>
        <w:pStyle w:val="NormalWeb"/>
      </w:pPr>
      <w:r w:rsidRPr="00A40D6A">
        <w:rPr>
          <w:rStyle w:val="Gl"/>
        </w:rPr>
        <w:t>Expected Answer:</w:t>
      </w:r>
      <w:r w:rsidRPr="00A40D6A">
        <w:br/>
        <w:t>Early initiation of ULT is recommended in patients who present with any of the following:</w:t>
      </w:r>
    </w:p>
    <w:p w:rsidR="00D02223" w:rsidRPr="00A40D6A" w:rsidRDefault="00D02223" w:rsidP="00D02223">
      <w:pPr>
        <w:pStyle w:val="NormalWeb"/>
        <w:numPr>
          <w:ilvl w:val="0"/>
          <w:numId w:val="5"/>
        </w:numPr>
      </w:pPr>
      <w:r w:rsidRPr="00A40D6A">
        <w:t>Young age at onset (&lt;40 years)</w:t>
      </w:r>
    </w:p>
    <w:p w:rsidR="00D02223" w:rsidRPr="00A40D6A" w:rsidRDefault="00D02223" w:rsidP="00D02223">
      <w:pPr>
        <w:pStyle w:val="NormalWeb"/>
        <w:numPr>
          <w:ilvl w:val="0"/>
          <w:numId w:val="5"/>
        </w:numPr>
      </w:pPr>
      <w:r w:rsidRPr="00A40D6A">
        <w:t>Very high serum uric acid levels (&gt;8 mg/dL or 480 µmol/L)</w:t>
      </w:r>
    </w:p>
    <w:p w:rsidR="00D02223" w:rsidRPr="00A40D6A" w:rsidRDefault="00D02223" w:rsidP="00D02223">
      <w:pPr>
        <w:pStyle w:val="NormalWeb"/>
        <w:numPr>
          <w:ilvl w:val="0"/>
          <w:numId w:val="5"/>
        </w:numPr>
      </w:pPr>
      <w:r w:rsidRPr="00A40D6A">
        <w:t>Comorbidities such as renal impairment, hypertension, ischaemic heart disease, or heart failure</w:t>
      </w:r>
    </w:p>
    <w:p w:rsidR="0026504B" w:rsidRPr="00A40D6A" w:rsidRDefault="0026504B" w:rsidP="00A40D6A">
      <w:pPr>
        <w:spacing w:before="100" w:beforeAutospacing="1" w:after="100" w:afterAutospacing="1" w:line="240" w:lineRule="auto"/>
        <w:ind w:left="360"/>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D02223" w:rsidRPr="00A40D6A" w:rsidRDefault="00D02223" w:rsidP="00D02223">
      <w:pPr>
        <w:pStyle w:val="NormalWeb"/>
      </w:pPr>
      <w:r w:rsidRPr="00A40D6A">
        <w:lastRenderedPageBreak/>
        <w:t>"</w:t>
      </w:r>
      <w:r w:rsidRPr="00A40D6A">
        <w:rPr>
          <w:highlight w:val="yellow"/>
          <w:u w:val="single"/>
        </w:rPr>
        <w:t>Initiation of ULT is recommended close to the time of first diagnosis in patients presenting at a young age (&lt;40 years) or with a very high SUA level (&gt;8.0 mg/dL; 480 mmol/L) and/or comorbidities (renal impairment, hypertension, ischaemic heart disease, heart failure)."</w:t>
      </w:r>
    </w:p>
    <w:p w:rsidR="00D02223" w:rsidRPr="00A40D6A" w:rsidRDefault="00D02223" w:rsidP="00D02223">
      <w:pPr>
        <w:pStyle w:val="Balk3"/>
        <w:rPr>
          <w:sz w:val="24"/>
          <w:szCs w:val="24"/>
        </w:rPr>
      </w:pPr>
      <w:r w:rsidRPr="00A40D6A">
        <w:rPr>
          <w:rStyle w:val="Gl"/>
          <w:b/>
          <w:bCs/>
          <w:sz w:val="24"/>
          <w:szCs w:val="24"/>
        </w:rPr>
        <w:t>Q13: What is the recommended target serum uric acid level in the long-term management of gout?</w:t>
      </w:r>
    </w:p>
    <w:p w:rsidR="00D02223" w:rsidRPr="00A40D6A" w:rsidRDefault="00D02223" w:rsidP="00D02223">
      <w:pPr>
        <w:pStyle w:val="NormalWeb"/>
      </w:pPr>
      <w:r w:rsidRPr="00A40D6A">
        <w:rPr>
          <w:rStyle w:val="Gl"/>
        </w:rPr>
        <w:t>Expected Answer:</w:t>
      </w:r>
      <w:r w:rsidRPr="00A40D6A">
        <w:br/>
        <w:t xml:space="preserve">The target serum uric acid (SUA) level in the long-term management of gout should be </w:t>
      </w:r>
      <w:r w:rsidRPr="009C5C63">
        <w:t xml:space="preserve">maintained at </w:t>
      </w:r>
      <w:r w:rsidRPr="009C5C63">
        <w:rPr>
          <w:rStyle w:val="Gl"/>
          <w:b w:val="0"/>
        </w:rPr>
        <w:t>&lt;6 mg/dL (360 µmol/L)</w:t>
      </w:r>
      <w:r w:rsidRPr="009C5C63">
        <w:t xml:space="preserve"> in all patients.</w:t>
      </w:r>
      <w:r w:rsidRPr="009C5C63">
        <w:br/>
        <w:t xml:space="preserve">For those with </w:t>
      </w:r>
      <w:r w:rsidRPr="009C5C63">
        <w:rPr>
          <w:rStyle w:val="Gl"/>
          <w:b w:val="0"/>
        </w:rPr>
        <w:t>severe gout</w:t>
      </w:r>
      <w:r w:rsidRPr="009C5C63">
        <w:t xml:space="preserve"> (such as tophi, chronic arthropathy, or frequent attacks), a lower target of </w:t>
      </w:r>
      <w:r w:rsidRPr="009C5C63">
        <w:rPr>
          <w:rStyle w:val="Gl"/>
          <w:b w:val="0"/>
        </w:rPr>
        <w:t>&lt;5 mg/dL (300 µmol/L)</w:t>
      </w:r>
      <w:r w:rsidRPr="009C5C63">
        <w:t xml:space="preserve"> is recommended until total crystal dissolution is achieved. Sustained SUA levels </w:t>
      </w:r>
      <w:r w:rsidRPr="009C5C63">
        <w:rPr>
          <w:rStyle w:val="Gl"/>
          <w:b w:val="0"/>
        </w:rPr>
        <w:t>&lt;3 mg/dL</w:t>
      </w:r>
      <w:r w:rsidRPr="009C5C63">
        <w:t xml:space="preserve"> are not advised long-term.</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D02223" w:rsidRPr="00A40D6A" w:rsidRDefault="0026504B" w:rsidP="0026504B">
      <w:pPr>
        <w:pStyle w:val="NormalWeb"/>
        <w:rPr>
          <w:u w:val="single"/>
        </w:rPr>
      </w:pPr>
      <w:r w:rsidRPr="00A40D6A">
        <w:t xml:space="preserve"> </w:t>
      </w:r>
      <w:r w:rsidR="00D02223" w:rsidRPr="00A40D6A">
        <w:t>“</w:t>
      </w:r>
      <w:r w:rsidR="00D02223" w:rsidRPr="00A40D6A">
        <w:rPr>
          <w:highlight w:val="yellow"/>
          <w:u w:val="single"/>
        </w:rPr>
        <w:t>For patients on ULT, SUA level should be monitored and maintained to &lt;6 mg/dL (360 mmol/L). A lower SUA target (&lt;5 mg/dL; 300 mmol/L) to facilitate faster dissolution of crystals is recommended for patients with severe gout (tophi, chronic arthropathy, frequent attacks) until total crystal dissolution and resolution of gout. SUA level &lt;3 mg/dL is not recommended in the long term.”</w:t>
      </w:r>
    </w:p>
    <w:p w:rsidR="00D02223" w:rsidRPr="00A40D6A" w:rsidRDefault="00D02223" w:rsidP="00D02223">
      <w:pPr>
        <w:pStyle w:val="Balk3"/>
        <w:rPr>
          <w:sz w:val="24"/>
          <w:szCs w:val="24"/>
        </w:rPr>
      </w:pPr>
      <w:r w:rsidRPr="00A40D6A">
        <w:rPr>
          <w:rStyle w:val="Gl"/>
          <w:b/>
          <w:bCs/>
          <w:sz w:val="24"/>
          <w:szCs w:val="24"/>
        </w:rPr>
        <w:t>Q14: Which urate-lowering drugs are recommended as first-line options for patients with gout?</w:t>
      </w:r>
    </w:p>
    <w:p w:rsidR="00D02223" w:rsidRPr="00A40D6A" w:rsidRDefault="00D02223" w:rsidP="00D02223">
      <w:pPr>
        <w:pStyle w:val="NormalWeb"/>
      </w:pPr>
      <w:r w:rsidRPr="00A40D6A">
        <w:rPr>
          <w:rStyle w:val="Gl"/>
        </w:rPr>
        <w:t>Expected Answer:</w:t>
      </w:r>
      <w:r w:rsidRPr="00A40D6A">
        <w:br/>
      </w:r>
      <w:r w:rsidRPr="00A40D6A">
        <w:rPr>
          <w:rStyle w:val="Gl"/>
        </w:rPr>
        <w:t>Allopurinol</w:t>
      </w:r>
      <w:r w:rsidRPr="00A40D6A">
        <w:t xml:space="preserve"> is recommended as the first-line urate-lowering therapy (ULT) in patients with gout, especially those with normal renal function. Treatment should begin at a low dose (typically 100 mg/day) and be titrated upward every 2–4 weeks as needed to reach the serum uric acid (SUA) target.</w:t>
      </w:r>
    </w:p>
    <w:p w:rsidR="00D02223" w:rsidRPr="00A40D6A" w:rsidRDefault="00D02223" w:rsidP="00D02223">
      <w:pPr>
        <w:pStyle w:val="NormalWeb"/>
      </w:pPr>
      <w:r w:rsidRPr="00A40D6A">
        <w:t xml:space="preserve">If the target SUA level cannot be achieved with allopurinol or if it is not tolerated, alternatives such as </w:t>
      </w:r>
      <w:r w:rsidRPr="00A40D6A">
        <w:rPr>
          <w:rStyle w:val="Gl"/>
          <w:b w:val="0"/>
        </w:rPr>
        <w:t>febuxostat</w:t>
      </w:r>
      <w:r w:rsidRPr="00A40D6A">
        <w:t xml:space="preserve"> or a </w:t>
      </w:r>
      <w:r w:rsidRPr="00A40D6A">
        <w:rPr>
          <w:rStyle w:val="Gl"/>
          <w:b w:val="0"/>
        </w:rPr>
        <w:t>uricosuric agent</w:t>
      </w:r>
      <w:r w:rsidRPr="00A40D6A">
        <w:t xml:space="preserve"> (alone or in combination with a xanthine oxidase inhibitor) may be considered.</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D02223" w:rsidRPr="00A40D6A" w:rsidRDefault="0026504B" w:rsidP="0026504B">
      <w:pPr>
        <w:pStyle w:val="NormalWeb"/>
        <w:rPr>
          <w:u w:val="single"/>
        </w:rPr>
      </w:pPr>
      <w:r w:rsidRPr="00A40D6A">
        <w:rPr>
          <w:highlight w:val="yellow"/>
          <w:u w:val="single"/>
        </w:rPr>
        <w:t xml:space="preserve"> </w:t>
      </w:r>
      <w:r w:rsidR="00D02223" w:rsidRPr="00A40D6A">
        <w:rPr>
          <w:highlight w:val="yellow"/>
          <w:u w:val="single"/>
        </w:rPr>
        <w:t>“In patients with normal kidney function, allopurinol is recommended for first-line ULT, starting at a low dose (100 mg/day) and increasing by 100 mg increments every 2–4 weeks if required, to reach the uricaemic target. If the SUA target cannot be achieved with an appropriate dose of allopurinol, or if it is not tolerated, alternatives such as febuxostat or a uricosuric agent may be considered. When necessary, a uricosuric can also be used in combination with allopurinol to improve treatment response.</w:t>
      </w:r>
      <w:r w:rsidR="00983EA3" w:rsidRPr="00A40D6A">
        <w:rPr>
          <w:highlight w:val="yellow"/>
          <w:u w:val="single"/>
        </w:rPr>
        <w:t xml:space="preserve"> “</w:t>
      </w:r>
    </w:p>
    <w:p w:rsidR="00B252FF" w:rsidRPr="00A40D6A" w:rsidRDefault="00996405"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Style w:val="Gl"/>
          <w:rFonts w:ascii="Times New Roman" w:hAnsi="Times New Roman" w:cs="Times New Roman"/>
          <w:b w:val="0"/>
          <w:bCs w:val="0"/>
          <w:sz w:val="24"/>
          <w:szCs w:val="24"/>
        </w:rPr>
        <w:t>Q</w:t>
      </w:r>
      <w:r w:rsidR="00B252FF" w:rsidRPr="00A40D6A">
        <w:rPr>
          <w:rFonts w:ascii="Times New Roman" w:eastAsia="Times New Roman" w:hAnsi="Times New Roman" w:cs="Times New Roman"/>
          <w:b/>
          <w:bCs/>
          <w:sz w:val="24"/>
          <w:szCs w:val="24"/>
          <w:lang w:eastAsia="tr-TR"/>
        </w:rPr>
        <w:t>15. Should urate-lowering therapy (ULT) be started during an acute gout flare or delayed?</w:t>
      </w:r>
    </w:p>
    <w:p w:rsidR="00B252FF" w:rsidRPr="00A40D6A" w:rsidRDefault="00B252FF" w:rsidP="00B252FF">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r>
      <w:r w:rsidR="00C075C2" w:rsidRPr="00A40D6A">
        <w:rPr>
          <w:rFonts w:ascii="Times New Roman" w:hAnsi="Times New Roman" w:cs="Times New Roman"/>
          <w:sz w:val="24"/>
          <w:szCs w:val="24"/>
        </w:rPr>
        <w:t xml:space="preserve">Urate-lowering therapy (ULT) is generally not recommended to be initiated during an acute </w:t>
      </w:r>
      <w:r w:rsidR="00C075C2" w:rsidRPr="00A40D6A">
        <w:rPr>
          <w:rFonts w:ascii="Times New Roman" w:hAnsi="Times New Roman" w:cs="Times New Roman"/>
          <w:sz w:val="24"/>
          <w:szCs w:val="24"/>
        </w:rPr>
        <w:lastRenderedPageBreak/>
        <w:t>gout flare. Treatment should typically begin after the acute episode has resolved and appropriate anti-inflammatory therapy has been completed.</w:t>
      </w:r>
    </w:p>
    <w:p w:rsidR="00A40D6A" w:rsidRPr="00A40D6A" w:rsidRDefault="00A40D6A" w:rsidP="00A40D6A">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690AF7" w:rsidRPr="00A40D6A" w:rsidRDefault="00A40D6A" w:rsidP="00A40D6A">
      <w:pPr>
        <w:rPr>
          <w:rFonts w:ascii="Times New Roman" w:hAnsi="Times New Roman" w:cs="Times New Roman"/>
          <w:sz w:val="24"/>
          <w:szCs w:val="24"/>
          <w:u w:val="single"/>
        </w:rPr>
      </w:pPr>
      <w:r w:rsidRPr="00A40D6A">
        <w:rPr>
          <w:rFonts w:ascii="Times New Roman" w:hAnsi="Times New Roman" w:cs="Times New Roman"/>
          <w:sz w:val="24"/>
          <w:szCs w:val="24"/>
        </w:rPr>
        <w:t xml:space="preserve"> </w:t>
      </w:r>
      <w:r w:rsidR="00C075C2" w:rsidRPr="00A40D6A">
        <w:rPr>
          <w:rFonts w:ascii="Times New Roman" w:hAnsi="Times New Roman" w:cs="Times New Roman"/>
          <w:sz w:val="24"/>
          <w:szCs w:val="24"/>
        </w:rPr>
        <w:t>“</w:t>
      </w:r>
      <w:r w:rsidR="00C075C2" w:rsidRPr="00A40D6A">
        <w:rPr>
          <w:rFonts w:ascii="Times New Roman" w:hAnsi="Times New Roman" w:cs="Times New Roman"/>
          <w:sz w:val="24"/>
          <w:szCs w:val="24"/>
          <w:highlight w:val="yellow"/>
          <w:u w:val="single"/>
        </w:rPr>
        <w:t xml:space="preserve">Finally, the task force did not give specific guidance on whether urate-lowering drugs should be initiated during a flare or whether a traditional 2 weeks delay from flare termination should be observed. Two small trials have suggested that allopurinol initiation during an acute gout attack did not prolong the duration of flares nor worsen its severity as compared with delayed initiation. However, the task force considered that the low number of patients (n=51 and n=31, respectively) in these trials precluded any firm conclusions and that </w:t>
      </w:r>
      <w:proofErr w:type="gramStart"/>
      <w:r w:rsidR="00C075C2" w:rsidRPr="00A40D6A">
        <w:rPr>
          <w:rFonts w:ascii="Times New Roman" w:hAnsi="Times New Roman" w:cs="Times New Roman"/>
          <w:sz w:val="24"/>
          <w:szCs w:val="24"/>
          <w:highlight w:val="yellow"/>
          <w:u w:val="single"/>
        </w:rPr>
        <w:t>data</w:t>
      </w:r>
      <w:proofErr w:type="gramEnd"/>
      <w:r w:rsidR="00C075C2" w:rsidRPr="00A40D6A">
        <w:rPr>
          <w:rFonts w:ascii="Times New Roman" w:hAnsi="Times New Roman" w:cs="Times New Roman"/>
          <w:sz w:val="24"/>
          <w:szCs w:val="24"/>
          <w:highlight w:val="yellow"/>
          <w:u w:val="single"/>
        </w:rPr>
        <w:t xml:space="preserve"> obtained with allopurinol 200–300 mg could not be generalised to more potent urate-lowering drugs, such as febuxostat or a combination of XOI and an uricosuric.”</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Q16: How should serum uric acid levels be monitored in patients with gout on urate-lowering therapy?</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Serum uric acid (SUA) levels should be monitored regularly in patients with gout receiving urate-lowering therapy (ULT). The target SUA level is generally &lt;6 mg/dL (360 µmol/L). In patients with severe gout—such as those with tophi, chronic gouty arthropathy, or frequent flares—a lower target of &lt;5 mg/dL (300 µmol/L) may be used to accelerate crystal dissolution. Long-term maintenance of SUA levels &lt;3 mg/dL is not recommended.</w:t>
      </w:r>
    </w:p>
    <w:p w:rsidR="00A40D6A" w:rsidRDefault="0026504B" w:rsidP="00C075C2">
      <w:pPr>
        <w:spacing w:before="100" w:beforeAutospacing="1" w:after="100" w:afterAutospacing="1" w:line="240" w:lineRule="auto"/>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br/>
      </w:r>
      <w:r w:rsidRPr="00A40D6A">
        <w:rPr>
          <w:rFonts w:ascii="Times New Roman" w:eastAsia="Times New Roman" w:hAnsi="Times New Roman" w:cs="Times New Roman"/>
          <w:sz w:val="24"/>
          <w:szCs w:val="24"/>
          <w:highlight w:val="yellow"/>
          <w:lang w:eastAsia="tr-TR"/>
        </w:rPr>
        <w:t>“For patients on ULT, SUA level should be monitored and maintained to &lt;6 mg/dL (360 mmol/L). A lower SUA target (&lt;5 mg/dL; 300 mmol/L) to facilitate faster dissolution of crystals is recommended for patients with severe gout (tophi, chronic arthropathy, frequent attacks) until total crystal dissolution and resolution of gout. SUA level &lt;3 mg/dL is not recommended in the long term.”</w:t>
      </w:r>
    </w:p>
    <w:p w:rsidR="00C075C2" w:rsidRPr="00A40D6A" w:rsidRDefault="00C075C2" w:rsidP="00C075C2">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Q17. What is the recommended approach to dose titration of urate-lowering therapy in gout?</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 xml:space="preserve">Urate-lowering therapy (ULT) should be initiated at a low dose and gradually titrated upwards until the serum uric acid (SUA) target level is achieved. For instance, allopurinol should typically </w:t>
      </w:r>
      <w:proofErr w:type="gramStart"/>
      <w:r w:rsidRPr="00A40D6A">
        <w:rPr>
          <w:rFonts w:ascii="Times New Roman" w:eastAsia="Times New Roman" w:hAnsi="Times New Roman" w:cs="Times New Roman"/>
          <w:sz w:val="24"/>
          <w:szCs w:val="24"/>
          <w:lang w:eastAsia="tr-TR"/>
        </w:rPr>
        <w:t>start</w:t>
      </w:r>
      <w:proofErr w:type="gramEnd"/>
      <w:r w:rsidRPr="00A40D6A">
        <w:rPr>
          <w:rFonts w:ascii="Times New Roman" w:eastAsia="Times New Roman" w:hAnsi="Times New Roman" w:cs="Times New Roman"/>
          <w:sz w:val="24"/>
          <w:szCs w:val="24"/>
          <w:lang w:eastAsia="tr-TR"/>
        </w:rPr>
        <w:t xml:space="preserve"> at 100 mg/day (or 50 mg/day in patients with renal impairment) and be increased by 100 mg increments every 2–4 weeks if necessary. The recommended SUA target is &lt;6 mg/dL (360 µmol/L), and in patients with severe gout (e.g</w:t>
      </w:r>
      <w:proofErr w:type="gramStart"/>
      <w:r w:rsidRPr="00A40D6A">
        <w:rPr>
          <w:rFonts w:ascii="Times New Roman" w:eastAsia="Times New Roman" w:hAnsi="Times New Roman" w:cs="Times New Roman"/>
          <w:sz w:val="24"/>
          <w:szCs w:val="24"/>
          <w:lang w:eastAsia="tr-TR"/>
        </w:rPr>
        <w:t>.,</w:t>
      </w:r>
      <w:proofErr w:type="gramEnd"/>
      <w:r w:rsidRPr="00A40D6A">
        <w:rPr>
          <w:rFonts w:ascii="Times New Roman" w:eastAsia="Times New Roman" w:hAnsi="Times New Roman" w:cs="Times New Roman"/>
          <w:sz w:val="24"/>
          <w:szCs w:val="24"/>
          <w:lang w:eastAsia="tr-TR"/>
        </w:rPr>
        <w:t xml:space="preserve"> tophi, chronic arthropathy, or frequent attacks), a lower target (&lt;5 mg/dL) may be considered. Once the target is reached, the dose should be maintained to sustain long-term control.</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C075C2" w:rsidRPr="00A40D6A" w:rsidRDefault="00C075C2" w:rsidP="00C075C2">
      <w:pPr>
        <w:spacing w:beforeAutospacing="1" w:after="100" w:afterAutospacing="1" w:line="240" w:lineRule="auto"/>
        <w:rPr>
          <w:rFonts w:ascii="Times New Roman" w:eastAsia="Times New Roman" w:hAnsi="Times New Roman" w:cs="Times New Roman"/>
          <w:sz w:val="24"/>
          <w:szCs w:val="24"/>
          <w:highlight w:val="yellow"/>
          <w:u w:val="single"/>
          <w:lang w:eastAsia="tr-TR"/>
        </w:rPr>
      </w:pPr>
      <w:r w:rsidRPr="00A40D6A">
        <w:rPr>
          <w:rFonts w:ascii="Times New Roman" w:eastAsia="Times New Roman" w:hAnsi="Times New Roman" w:cs="Times New Roman"/>
          <w:sz w:val="24"/>
          <w:szCs w:val="24"/>
          <w:lang w:eastAsia="tr-TR"/>
        </w:rPr>
        <w:t xml:space="preserve"> “</w:t>
      </w:r>
      <w:r w:rsidRPr="00A40D6A">
        <w:rPr>
          <w:rFonts w:ascii="Times New Roman" w:eastAsia="Times New Roman" w:hAnsi="Times New Roman" w:cs="Times New Roman"/>
          <w:sz w:val="24"/>
          <w:szCs w:val="24"/>
          <w:highlight w:val="yellow"/>
          <w:u w:val="single"/>
          <w:lang w:eastAsia="tr-TR"/>
        </w:rPr>
        <w:t>All ULTs should be started at a low dose and then titrated upwards until the SUA target is reached. SUA &lt;6 mg/dL (360 mmol/L) should be maintained lifelong.”</w:t>
      </w:r>
    </w:p>
    <w:p w:rsidR="00C075C2" w:rsidRPr="00A40D6A" w:rsidRDefault="00C075C2" w:rsidP="00C075C2">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sz w:val="24"/>
          <w:szCs w:val="24"/>
          <w:highlight w:val="yellow"/>
          <w:u w:val="single"/>
          <w:lang w:eastAsia="tr-TR"/>
        </w:rPr>
        <w:lastRenderedPageBreak/>
        <w:t xml:space="preserve"> “In patients with normal kidney function, allopurinol is recommended for first-line ULT, starting at a low dose (100 mg/day) and increasing by 100 mg increments every 2–4 weeks if required, to reach the uricaemic target. If the SUA target cannot be reached by an appropriate dose of allopurinol, allopurinol should be switched to febuxostat or a uricosuric or combined with a uricosuric.”</w:t>
      </w:r>
    </w:p>
    <w:p w:rsidR="00C075C2" w:rsidRPr="00A40D6A" w:rsidRDefault="00C075C2" w:rsidP="00C075C2">
      <w:pPr>
        <w:spacing w:after="0" w:line="240" w:lineRule="auto"/>
        <w:rPr>
          <w:rFonts w:ascii="Times New Roman" w:eastAsia="Times New Roman" w:hAnsi="Times New Roman" w:cs="Times New Roman"/>
          <w:sz w:val="24"/>
          <w:szCs w:val="24"/>
          <w:lang w:eastAsia="tr-TR"/>
        </w:rPr>
      </w:pPr>
    </w:p>
    <w:p w:rsidR="00C075C2" w:rsidRPr="00A40D6A" w:rsidRDefault="00C075C2" w:rsidP="00C075C2">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Q18. What is the rationale for maintaining lifelong urate-lowering therapy in patients with gout?</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The rationale for maintaining lifelong urate-lowering therapy is to achieve and sustain serum uric acid levels below the saturation point for monosodium urate crystal formation. This facilitates the dissolution of existing crystals, prevents new crystal formation, reduces the risk of recurrent gout flares, and promotes the resolution of tophi and chronic joint damage. Once target SUA levels are achieved, lifelong therapy is required to maintain disease control and prevent relapse.</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C075C2" w:rsidRPr="00A40D6A" w:rsidRDefault="00C075C2" w:rsidP="00C075C2">
      <w:pPr>
        <w:spacing w:beforeAutospacing="1" w:after="100" w:afterAutospacing="1" w:line="240" w:lineRule="auto"/>
        <w:rPr>
          <w:rFonts w:ascii="Times New Roman" w:eastAsia="Times New Roman" w:hAnsi="Times New Roman" w:cs="Times New Roman"/>
          <w:sz w:val="24"/>
          <w:szCs w:val="24"/>
          <w:highlight w:val="yellow"/>
          <w:u w:val="single"/>
          <w:lang w:eastAsia="tr-TR"/>
        </w:rPr>
      </w:pPr>
      <w:r w:rsidRPr="00A40D6A">
        <w:rPr>
          <w:rFonts w:ascii="Times New Roman" w:eastAsia="Times New Roman" w:hAnsi="Times New Roman" w:cs="Times New Roman"/>
          <w:sz w:val="24"/>
          <w:szCs w:val="24"/>
          <w:u w:val="single"/>
          <w:lang w:eastAsia="tr-TR"/>
        </w:rPr>
        <w:t xml:space="preserve"> </w:t>
      </w:r>
      <w:r w:rsidRPr="00A40D6A">
        <w:rPr>
          <w:rFonts w:ascii="Times New Roman" w:eastAsia="Times New Roman" w:hAnsi="Times New Roman" w:cs="Times New Roman"/>
          <w:sz w:val="24"/>
          <w:szCs w:val="24"/>
          <w:highlight w:val="yellow"/>
          <w:u w:val="single"/>
          <w:lang w:eastAsia="tr-TR"/>
        </w:rPr>
        <w:t>“SUA &lt;6 mg/dL (360 mmol/L) should be maintained lifelong.”</w:t>
      </w:r>
    </w:p>
    <w:p w:rsidR="00C075C2" w:rsidRPr="00A40D6A" w:rsidRDefault="00C075C2" w:rsidP="00C075C2">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sz w:val="24"/>
          <w:szCs w:val="24"/>
          <w:highlight w:val="yellow"/>
          <w:u w:val="single"/>
          <w:lang w:eastAsia="tr-TR"/>
        </w:rPr>
        <w:t xml:space="preserve"> “Every person with gout should be fully informed about the pathophysiology of the disease, the existence of effective treatments, associated comorbidities and the principles of managing acute attacks and eliminating urate crystals through lifelong lowering of SUA level below a target level.”</w:t>
      </w:r>
    </w:p>
    <w:p w:rsidR="00C075C2" w:rsidRPr="00A40D6A" w:rsidRDefault="00C075C2" w:rsidP="0026504B">
      <w:pPr>
        <w:spacing w:before="100" w:beforeAutospacing="1" w:after="100" w:afterAutospacing="1" w:line="240" w:lineRule="auto"/>
        <w:outlineLvl w:val="2"/>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Q19. Which comorbidities should be screened in all patients diagnosed with gout?</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All patients with gout should be systematically screened for comorbidities and cardiovascular risk factors commonly associated with hyperuricemia and gout. These include:</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Renal impairment</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Coronary heart disease</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Heart failure</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Stroke</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Peripheral arterial disease</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Obesity</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Hyperlipidemia</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Hypertension</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Diabetes mellitus</w:t>
      </w:r>
    </w:p>
    <w:p w:rsidR="00C075C2" w:rsidRPr="009C5C63" w:rsidRDefault="00C075C2" w:rsidP="00C075C2">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9C5C63">
        <w:rPr>
          <w:rFonts w:ascii="Times New Roman" w:eastAsia="Times New Roman" w:hAnsi="Times New Roman" w:cs="Times New Roman"/>
          <w:bCs/>
          <w:sz w:val="24"/>
          <w:szCs w:val="24"/>
          <w:lang w:eastAsia="tr-TR"/>
        </w:rPr>
        <w:t>Smoking</w:t>
      </w:r>
    </w:p>
    <w:p w:rsidR="00C075C2" w:rsidRPr="00A40D6A" w:rsidRDefault="00C075C2" w:rsidP="00A40D6A">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t>Identifying and managing these comorbidities is essential, as they contribute to overall morbidity and influence the approach to gout treatment, especially the selection and safety of urate-lowering and anti-inflammatory therapies.</w:t>
      </w:r>
    </w:p>
    <w:p w:rsidR="00C075C2" w:rsidRPr="00A40D6A" w:rsidRDefault="00C075C2" w:rsidP="00C075C2">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w:t>
      </w:r>
    </w:p>
    <w:p w:rsidR="00C075C2" w:rsidRPr="00A40D6A" w:rsidRDefault="0026504B" w:rsidP="0026504B">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sz w:val="24"/>
          <w:szCs w:val="24"/>
          <w:u w:val="single"/>
          <w:lang w:eastAsia="tr-TR"/>
        </w:rPr>
        <w:lastRenderedPageBreak/>
        <w:t xml:space="preserve"> </w:t>
      </w:r>
      <w:r w:rsidR="00C075C2" w:rsidRPr="00A40D6A">
        <w:rPr>
          <w:rFonts w:ascii="Times New Roman" w:eastAsia="Times New Roman" w:hAnsi="Times New Roman" w:cs="Times New Roman"/>
          <w:sz w:val="24"/>
          <w:szCs w:val="24"/>
          <w:highlight w:val="yellow"/>
          <w:u w:val="single"/>
          <w:lang w:eastAsia="tr-TR"/>
        </w:rPr>
        <w:t>“Every person with gout should be systematically screened for associated comorbidities and cardiovascular risk factors, including renal impairment, coronary heart disease, heart failure, stroke, peripheral arterial disease, obesity, hyperlipidaemia, hypertension, diabetes and smoking, which should be addressed as an integral part of the management of gout.”</w:t>
      </w:r>
    </w:p>
    <w:p w:rsidR="0026504B" w:rsidRPr="00A40D6A" w:rsidRDefault="0026504B" w:rsidP="006937EF">
      <w:pPr>
        <w:pStyle w:val="Balk3"/>
        <w:rPr>
          <w:sz w:val="24"/>
          <w:szCs w:val="24"/>
        </w:rPr>
      </w:pPr>
      <w:r w:rsidRPr="00A40D6A">
        <w:rPr>
          <w:rStyle w:val="Gl"/>
          <w:b/>
          <w:bCs/>
          <w:sz w:val="24"/>
          <w:szCs w:val="24"/>
        </w:rPr>
        <w:t>Q20. How should gout be managed in patients with chronic kidney disease or cardiovascular risk factors?</w:t>
      </w:r>
    </w:p>
    <w:p w:rsidR="009C5C63" w:rsidRDefault="0026504B" w:rsidP="0026504B">
      <w:pPr>
        <w:pStyle w:val="NormalWeb"/>
        <w:rPr>
          <w:rStyle w:val="Gl"/>
        </w:rPr>
      </w:pPr>
      <w:r w:rsidRPr="00A40D6A">
        <w:rPr>
          <w:rStyle w:val="Gl"/>
        </w:rPr>
        <w:t>Expected Answer:</w:t>
      </w:r>
    </w:p>
    <w:p w:rsidR="0026504B" w:rsidRPr="009C5C63" w:rsidRDefault="0026504B" w:rsidP="0026504B">
      <w:pPr>
        <w:pStyle w:val="NormalWeb"/>
      </w:pPr>
      <w:r w:rsidRPr="00A40D6A">
        <w:br/>
      </w:r>
      <w:r w:rsidRPr="009C5C63">
        <w:t xml:space="preserve">In patients with gout and </w:t>
      </w:r>
      <w:r w:rsidRPr="009C5C63">
        <w:rPr>
          <w:rStyle w:val="Gl"/>
          <w:b w:val="0"/>
        </w:rPr>
        <w:t>chronic kidney disease (CKD)</w:t>
      </w:r>
      <w:r w:rsidRPr="009C5C63">
        <w:t xml:space="preserve"> or </w:t>
      </w:r>
      <w:r w:rsidRPr="009C5C63">
        <w:rPr>
          <w:rStyle w:val="Gl"/>
          <w:b w:val="0"/>
        </w:rPr>
        <w:t>cardiovascular (CV) risk factors</w:t>
      </w:r>
      <w:r w:rsidRPr="009C5C63">
        <w:t>, management must be individualized, with careful consideration of drug safety, dosing, and comorbidity profiles. Key points include:</w:t>
      </w:r>
    </w:p>
    <w:p w:rsidR="0026504B" w:rsidRPr="009C5C63" w:rsidRDefault="0026504B" w:rsidP="0026504B">
      <w:pPr>
        <w:pStyle w:val="NormalWeb"/>
        <w:numPr>
          <w:ilvl w:val="0"/>
          <w:numId w:val="10"/>
        </w:numPr>
      </w:pPr>
      <w:r w:rsidRPr="009C5C63">
        <w:rPr>
          <w:rStyle w:val="Gl"/>
          <w:b w:val="0"/>
        </w:rPr>
        <w:t>Allopurinol</w:t>
      </w:r>
      <w:r w:rsidRPr="009C5C63">
        <w:t xml:space="preserve"> remains the </w:t>
      </w:r>
      <w:r w:rsidRPr="009C5C63">
        <w:rPr>
          <w:rStyle w:val="Gl"/>
          <w:b w:val="0"/>
        </w:rPr>
        <w:t>first-line urate-lowering therapy (ULT)</w:t>
      </w:r>
      <w:r w:rsidRPr="009C5C63">
        <w:t xml:space="preserve"> even in CKD. The starting dose should be lower (e.g</w:t>
      </w:r>
      <w:proofErr w:type="gramStart"/>
      <w:r w:rsidRPr="009C5C63">
        <w:t>.,</w:t>
      </w:r>
      <w:proofErr w:type="gramEnd"/>
      <w:r w:rsidRPr="009C5C63">
        <w:t xml:space="preserve"> 50 mg/day), and dose adjustments must be made based on renal function.</w:t>
      </w:r>
    </w:p>
    <w:p w:rsidR="0026504B" w:rsidRPr="009C5C63" w:rsidRDefault="0026504B" w:rsidP="0026504B">
      <w:pPr>
        <w:pStyle w:val="NormalWeb"/>
        <w:numPr>
          <w:ilvl w:val="0"/>
          <w:numId w:val="10"/>
        </w:numPr>
      </w:pPr>
      <w:r w:rsidRPr="009C5C63">
        <w:t xml:space="preserve">If </w:t>
      </w:r>
      <w:r w:rsidRPr="009C5C63">
        <w:rPr>
          <w:rStyle w:val="Gl"/>
          <w:b w:val="0"/>
        </w:rPr>
        <w:t>allopurinol is insufficient or not tolerated</w:t>
      </w:r>
      <w:r w:rsidRPr="009C5C63">
        <w:t xml:space="preserve">, </w:t>
      </w:r>
      <w:r w:rsidRPr="009C5C63">
        <w:rPr>
          <w:rStyle w:val="Gl"/>
          <w:b w:val="0"/>
        </w:rPr>
        <w:t>febuxostat</w:t>
      </w:r>
      <w:r w:rsidRPr="009C5C63">
        <w:t xml:space="preserve"> or </w:t>
      </w:r>
      <w:r w:rsidRPr="009C5C63">
        <w:rPr>
          <w:rStyle w:val="Gl"/>
          <w:b w:val="0"/>
        </w:rPr>
        <w:t>benzbromarone</w:t>
      </w:r>
      <w:r w:rsidRPr="009C5C63">
        <w:t xml:space="preserve"> may be considered, </w:t>
      </w:r>
      <w:r w:rsidRPr="009C5C63">
        <w:rPr>
          <w:rStyle w:val="Gl"/>
          <w:b w:val="0"/>
        </w:rPr>
        <w:t>except in patients with eGFR &lt;30 mL/min</w:t>
      </w:r>
      <w:r w:rsidRPr="009C5C63">
        <w:t xml:space="preserve"> due to safety concerns.</w:t>
      </w:r>
    </w:p>
    <w:p w:rsidR="0026504B" w:rsidRPr="009C5C63" w:rsidRDefault="0026504B" w:rsidP="0026504B">
      <w:pPr>
        <w:pStyle w:val="NormalWeb"/>
        <w:numPr>
          <w:ilvl w:val="0"/>
          <w:numId w:val="10"/>
        </w:numPr>
      </w:pPr>
      <w:r w:rsidRPr="009C5C63">
        <w:t xml:space="preserve">Avoid </w:t>
      </w:r>
      <w:r w:rsidRPr="009C5C63">
        <w:rPr>
          <w:rStyle w:val="Gl"/>
          <w:b w:val="0"/>
        </w:rPr>
        <w:t>NSAIDs</w:t>
      </w:r>
      <w:r w:rsidRPr="009C5C63">
        <w:t xml:space="preserve"> in patients with significant renal impairment or cardiovascular disease due to increased risk of nephrotoxicity and CV events.</w:t>
      </w:r>
    </w:p>
    <w:p w:rsidR="0026504B" w:rsidRPr="009C5C63" w:rsidRDefault="0026504B" w:rsidP="0026504B">
      <w:pPr>
        <w:pStyle w:val="NormalWeb"/>
        <w:numPr>
          <w:ilvl w:val="0"/>
          <w:numId w:val="10"/>
        </w:numPr>
      </w:pPr>
      <w:r w:rsidRPr="009C5C63">
        <w:t xml:space="preserve">Use </w:t>
      </w:r>
      <w:r w:rsidRPr="009C5C63">
        <w:rPr>
          <w:rStyle w:val="Gl"/>
          <w:b w:val="0"/>
        </w:rPr>
        <w:t>colchicine cautiously</w:t>
      </w:r>
      <w:r w:rsidRPr="009C5C63">
        <w:t xml:space="preserve"> in renal impairment (with dose adjustment), and avoid co-administration with strong CYP3A4 or P-glycoprotein inhibitors.</w:t>
      </w:r>
    </w:p>
    <w:p w:rsidR="0026504B" w:rsidRPr="009C5C63" w:rsidRDefault="0026504B" w:rsidP="0026504B">
      <w:pPr>
        <w:pStyle w:val="NormalWeb"/>
        <w:numPr>
          <w:ilvl w:val="0"/>
          <w:numId w:val="10"/>
        </w:numPr>
      </w:pPr>
      <w:r w:rsidRPr="009C5C63">
        <w:t xml:space="preserve">Monitor </w:t>
      </w:r>
      <w:r w:rsidRPr="009C5C63">
        <w:rPr>
          <w:rStyle w:val="Gl"/>
          <w:b w:val="0"/>
        </w:rPr>
        <w:t>serum uric acid (SUA)</w:t>
      </w:r>
      <w:r w:rsidRPr="009C5C63">
        <w:t xml:space="preserve"> and </w:t>
      </w:r>
      <w:r w:rsidRPr="009C5C63">
        <w:rPr>
          <w:rStyle w:val="Gl"/>
          <w:b w:val="0"/>
        </w:rPr>
        <w:t>renal function regularly</w:t>
      </w:r>
      <w:r w:rsidRPr="009C5C63">
        <w:t>.</w:t>
      </w:r>
    </w:p>
    <w:p w:rsidR="0026504B" w:rsidRPr="00A40D6A" w:rsidRDefault="0026504B" w:rsidP="0026504B">
      <w:pPr>
        <w:pStyle w:val="Balk3"/>
        <w:rPr>
          <w:sz w:val="24"/>
          <w:szCs w:val="24"/>
        </w:rPr>
      </w:pPr>
      <w:r w:rsidRPr="00A40D6A">
        <w:rPr>
          <w:rStyle w:val="Gl"/>
          <w:b/>
          <w:bCs/>
          <w:sz w:val="24"/>
          <w:szCs w:val="24"/>
        </w:rPr>
        <w:t>Supporting EULAR Statements:</w:t>
      </w:r>
    </w:p>
    <w:p w:rsidR="0026504B" w:rsidRPr="00A40D6A" w:rsidRDefault="0026504B" w:rsidP="0026504B">
      <w:pPr>
        <w:pStyle w:val="NormalWeb"/>
        <w:rPr>
          <w:highlight w:val="yellow"/>
          <w:u w:val="single"/>
        </w:rPr>
      </w:pPr>
      <w:r w:rsidRPr="00A40D6A">
        <w:rPr>
          <w:rStyle w:val="Vurgu"/>
        </w:rPr>
        <w:t xml:space="preserve"> “</w:t>
      </w:r>
      <w:r w:rsidRPr="00A40D6A">
        <w:rPr>
          <w:rStyle w:val="Vurgu"/>
          <w:highlight w:val="yellow"/>
          <w:u w:val="single"/>
        </w:rPr>
        <w:t>In patients with normal kidney function, allopurinol is recommended for first-line urate-lowering therapy (ULT), starting at a low dose (100 mg/day) and increasing by 100 mg increments every 2–4 weeks if required, to reach the uricaemic target. If the SUA target cannot be reached by an appropriate dose of allopurinol, allopurinol should be switched to febuxostat or a uricosuric or combined with a uricosuric. Febuxostat or a uricosuric are also indicated if allopurinol cannot be tolerated.”</w:t>
      </w:r>
    </w:p>
    <w:p w:rsidR="0026504B" w:rsidRPr="00A40D6A" w:rsidRDefault="0026504B" w:rsidP="0026504B">
      <w:pPr>
        <w:pStyle w:val="NormalWeb"/>
        <w:rPr>
          <w:highlight w:val="yellow"/>
          <w:u w:val="single"/>
        </w:rPr>
      </w:pPr>
      <w:r w:rsidRPr="00A40D6A">
        <w:rPr>
          <w:rStyle w:val="Vurgu"/>
          <w:highlight w:val="yellow"/>
          <w:u w:val="single"/>
        </w:rPr>
        <w:t xml:space="preserve"> “In patients with renal impairment, the allopurinol maximum dosage should be adjusted to creatinine clearance. If the SUA target cannot be achieved at this dose, the patient should be switched to febuxostat or given benzbromarone with or without allopurinol, except in patients with estimated glomerular filtration rate &lt;30 mL/min.”</w:t>
      </w:r>
    </w:p>
    <w:p w:rsidR="0026504B" w:rsidRPr="00A40D6A" w:rsidRDefault="0026504B" w:rsidP="0026504B">
      <w:pPr>
        <w:pStyle w:val="NormalWeb"/>
        <w:rPr>
          <w:u w:val="single"/>
        </w:rPr>
      </w:pPr>
      <w:r w:rsidRPr="00A40D6A">
        <w:rPr>
          <w:rStyle w:val="Vurgu"/>
          <w:highlight w:val="yellow"/>
          <w:u w:val="single"/>
        </w:rPr>
        <w:t xml:space="preserve"> “Every person with gout should be systematically screened for associated comorbidities and cardiovascular risk factors, including renal impairment, coronary heart disease, heart failure, stroke, peripheral arterial disease, obesity, hyperlipidaemia, hypertension, diabetes and smoking, which should be addressed as an integral part of the management of gout.”</w:t>
      </w:r>
    </w:p>
    <w:p w:rsidR="0026504B" w:rsidRPr="00A40D6A" w:rsidRDefault="0026504B" w:rsidP="0026504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Q21. Which drugs used for other conditions may worsen gout or interfere with its treatment?</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 xml:space="preserve">In patients with gout who are receiving </w:t>
      </w:r>
      <w:r w:rsidRPr="009C5C63">
        <w:rPr>
          <w:rFonts w:ascii="Times New Roman" w:eastAsia="Times New Roman" w:hAnsi="Times New Roman" w:cs="Times New Roman"/>
          <w:bCs/>
          <w:sz w:val="24"/>
          <w:szCs w:val="24"/>
          <w:lang w:eastAsia="tr-TR"/>
        </w:rPr>
        <w:t>loop or thiazide diuretics</w:t>
      </w:r>
      <w:r w:rsidRPr="00A40D6A">
        <w:rPr>
          <w:rFonts w:ascii="Times New Roman" w:eastAsia="Times New Roman" w:hAnsi="Times New Roman" w:cs="Times New Roman"/>
          <w:sz w:val="24"/>
          <w:szCs w:val="24"/>
          <w:lang w:eastAsia="tr-TR"/>
        </w:rPr>
        <w:t xml:space="preserve">, substitution should be </w:t>
      </w:r>
      <w:r w:rsidRPr="00A40D6A">
        <w:rPr>
          <w:rFonts w:ascii="Times New Roman" w:eastAsia="Times New Roman" w:hAnsi="Times New Roman" w:cs="Times New Roman"/>
          <w:sz w:val="24"/>
          <w:szCs w:val="24"/>
          <w:lang w:eastAsia="tr-TR"/>
        </w:rPr>
        <w:lastRenderedPageBreak/>
        <w:t>considered if possible, as these medications may elevate serum uric acid levels and worsen gout control.</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Alternative medications</w:t>
      </w:r>
      <w:r w:rsidRPr="00A40D6A">
        <w:rPr>
          <w:rFonts w:ascii="Times New Roman" w:eastAsia="Times New Roman" w:hAnsi="Times New Roman" w:cs="Times New Roman"/>
          <w:sz w:val="24"/>
          <w:szCs w:val="24"/>
          <w:lang w:eastAsia="tr-TR"/>
        </w:rPr>
        <w:t xml:space="preserve"> may be considered depending on the comorbidity:</w:t>
      </w:r>
    </w:p>
    <w:p w:rsidR="0026504B" w:rsidRPr="00A40D6A" w:rsidRDefault="0026504B" w:rsidP="0026504B">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t xml:space="preserve">For </w:t>
      </w:r>
      <w:r w:rsidRPr="00A40D6A">
        <w:rPr>
          <w:rFonts w:ascii="Times New Roman" w:eastAsia="Times New Roman" w:hAnsi="Times New Roman" w:cs="Times New Roman"/>
          <w:bCs/>
          <w:sz w:val="24"/>
          <w:szCs w:val="24"/>
          <w:lang w:eastAsia="tr-TR"/>
        </w:rPr>
        <w:t>hypertension</w:t>
      </w:r>
      <w:r w:rsidRPr="00A40D6A">
        <w:rPr>
          <w:rFonts w:ascii="Times New Roman" w:eastAsia="Times New Roman" w:hAnsi="Times New Roman" w:cs="Times New Roman"/>
          <w:sz w:val="24"/>
          <w:szCs w:val="24"/>
          <w:lang w:eastAsia="tr-TR"/>
        </w:rPr>
        <w:t xml:space="preserve">: </w:t>
      </w:r>
      <w:r w:rsidRPr="00A40D6A">
        <w:rPr>
          <w:rFonts w:ascii="Times New Roman" w:eastAsia="Times New Roman" w:hAnsi="Times New Roman" w:cs="Times New Roman"/>
          <w:bCs/>
          <w:sz w:val="24"/>
          <w:szCs w:val="24"/>
          <w:lang w:eastAsia="tr-TR"/>
        </w:rPr>
        <w:t>Losartan</w:t>
      </w:r>
      <w:r w:rsidRPr="00A40D6A">
        <w:rPr>
          <w:rFonts w:ascii="Times New Roman" w:eastAsia="Times New Roman" w:hAnsi="Times New Roman" w:cs="Times New Roman"/>
          <w:sz w:val="24"/>
          <w:szCs w:val="24"/>
          <w:lang w:eastAsia="tr-TR"/>
        </w:rPr>
        <w:t xml:space="preserve"> or </w:t>
      </w:r>
      <w:r w:rsidRPr="00A40D6A">
        <w:rPr>
          <w:rFonts w:ascii="Times New Roman" w:eastAsia="Times New Roman" w:hAnsi="Times New Roman" w:cs="Times New Roman"/>
          <w:bCs/>
          <w:sz w:val="24"/>
          <w:szCs w:val="24"/>
          <w:lang w:eastAsia="tr-TR"/>
        </w:rPr>
        <w:t>calcium channel blockers</w:t>
      </w:r>
    </w:p>
    <w:p w:rsidR="0026504B" w:rsidRPr="00A40D6A" w:rsidRDefault="0026504B" w:rsidP="00EE0DEB">
      <w:pPr>
        <w:numPr>
          <w:ilvl w:val="0"/>
          <w:numId w:val="11"/>
        </w:numPr>
        <w:spacing w:before="100" w:beforeAutospacing="1" w:after="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sz w:val="24"/>
          <w:szCs w:val="24"/>
          <w:lang w:eastAsia="tr-TR"/>
        </w:rPr>
        <w:t xml:space="preserve">For </w:t>
      </w:r>
      <w:r w:rsidRPr="00A40D6A">
        <w:rPr>
          <w:rFonts w:ascii="Times New Roman" w:eastAsia="Times New Roman" w:hAnsi="Times New Roman" w:cs="Times New Roman"/>
          <w:bCs/>
          <w:sz w:val="24"/>
          <w:szCs w:val="24"/>
          <w:lang w:eastAsia="tr-TR"/>
        </w:rPr>
        <w:t>hyperlipidemia</w:t>
      </w:r>
      <w:r w:rsidRPr="00A40D6A">
        <w:rPr>
          <w:rFonts w:ascii="Times New Roman" w:eastAsia="Times New Roman" w:hAnsi="Times New Roman" w:cs="Times New Roman"/>
          <w:sz w:val="24"/>
          <w:szCs w:val="24"/>
          <w:lang w:eastAsia="tr-TR"/>
        </w:rPr>
        <w:t xml:space="preserve">: </w:t>
      </w:r>
      <w:r w:rsidRPr="00A40D6A">
        <w:rPr>
          <w:rFonts w:ascii="Times New Roman" w:eastAsia="Times New Roman" w:hAnsi="Times New Roman" w:cs="Times New Roman"/>
          <w:bCs/>
          <w:sz w:val="24"/>
          <w:szCs w:val="24"/>
          <w:lang w:eastAsia="tr-TR"/>
        </w:rPr>
        <w:t>Statins</w:t>
      </w:r>
      <w:r w:rsidRPr="00A40D6A">
        <w:rPr>
          <w:rFonts w:ascii="Times New Roman" w:eastAsia="Times New Roman" w:hAnsi="Times New Roman" w:cs="Times New Roman"/>
          <w:sz w:val="24"/>
          <w:szCs w:val="24"/>
          <w:lang w:eastAsia="tr-TR"/>
        </w:rPr>
        <w:t xml:space="preserve"> or </w:t>
      </w:r>
      <w:r w:rsidRPr="00A40D6A">
        <w:rPr>
          <w:rFonts w:ascii="Times New Roman" w:eastAsia="Times New Roman" w:hAnsi="Times New Roman" w:cs="Times New Roman"/>
          <w:bCs/>
          <w:sz w:val="24"/>
          <w:szCs w:val="24"/>
          <w:lang w:eastAsia="tr-TR"/>
        </w:rPr>
        <w:t>fenofibrate</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w:t>
      </w:r>
    </w:p>
    <w:p w:rsidR="0026504B" w:rsidRPr="00A40D6A" w:rsidRDefault="00F068AA" w:rsidP="0026504B">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i/>
          <w:iCs/>
          <w:sz w:val="24"/>
          <w:szCs w:val="24"/>
          <w:highlight w:val="yellow"/>
          <w:u w:val="single"/>
          <w:lang w:eastAsia="tr-TR"/>
        </w:rPr>
        <w:t xml:space="preserve"> </w:t>
      </w:r>
      <w:r w:rsidR="0026504B" w:rsidRPr="00A40D6A">
        <w:rPr>
          <w:rFonts w:ascii="Times New Roman" w:eastAsia="Times New Roman" w:hAnsi="Times New Roman" w:cs="Times New Roman"/>
          <w:i/>
          <w:iCs/>
          <w:sz w:val="24"/>
          <w:szCs w:val="24"/>
          <w:highlight w:val="yellow"/>
          <w:u w:val="single"/>
          <w:lang w:eastAsia="tr-TR"/>
        </w:rPr>
        <w:t>“When gout occurs in a patient receiving loop or thiazide diuretics, substitute the diuretic if possible; for hypertension consider losartan or calcium channel blockers; for hyperlipidaemia, consider a statin or fenofibrate.”</w:t>
      </w:r>
    </w:p>
    <w:p w:rsidR="0026504B" w:rsidRPr="00A40D6A" w:rsidRDefault="0026504B" w:rsidP="0026504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Q22. What dietary and lifestyle modifications are recommended for patients with gout?</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All patients with gout should receive advice on lifestyle and dietary modifications to support urate-lowering strategies and reduce flare frequency. The key recommendations include:</w:t>
      </w:r>
    </w:p>
    <w:p w:rsidR="0026504B" w:rsidRPr="00A40D6A" w:rsidRDefault="0026504B" w:rsidP="0026504B">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Weight loss</w:t>
      </w:r>
      <w:r w:rsidRPr="00A40D6A">
        <w:rPr>
          <w:rFonts w:ascii="Times New Roman" w:eastAsia="Times New Roman" w:hAnsi="Times New Roman" w:cs="Times New Roman"/>
          <w:sz w:val="24"/>
          <w:szCs w:val="24"/>
          <w:lang w:eastAsia="tr-TR"/>
        </w:rPr>
        <w:t xml:space="preserve"> if appropriate</w:t>
      </w:r>
    </w:p>
    <w:p w:rsidR="0026504B" w:rsidRPr="00A40D6A" w:rsidRDefault="0026504B" w:rsidP="0026504B">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Avoidance</w:t>
      </w:r>
      <w:r w:rsidRPr="00A40D6A">
        <w:rPr>
          <w:rFonts w:ascii="Times New Roman" w:eastAsia="Times New Roman" w:hAnsi="Times New Roman" w:cs="Times New Roman"/>
          <w:sz w:val="24"/>
          <w:szCs w:val="24"/>
          <w:lang w:eastAsia="tr-TR"/>
        </w:rPr>
        <w:t xml:space="preserve"> of:</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Alcohol</w:t>
      </w:r>
      <w:r w:rsidRPr="00A40D6A">
        <w:rPr>
          <w:rFonts w:ascii="Times New Roman" w:eastAsia="Times New Roman" w:hAnsi="Times New Roman" w:cs="Times New Roman"/>
          <w:sz w:val="24"/>
          <w:szCs w:val="24"/>
          <w:lang w:eastAsia="tr-TR"/>
        </w:rPr>
        <w:t xml:space="preserve">, especially </w:t>
      </w:r>
      <w:r w:rsidRPr="00A40D6A">
        <w:rPr>
          <w:rFonts w:ascii="Times New Roman" w:eastAsia="Times New Roman" w:hAnsi="Times New Roman" w:cs="Times New Roman"/>
          <w:bCs/>
          <w:sz w:val="24"/>
          <w:szCs w:val="24"/>
          <w:lang w:eastAsia="tr-TR"/>
        </w:rPr>
        <w:t>beer and spirits</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Sugar-sweetened beverages</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Heavy meals</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Excessive intake</w:t>
      </w:r>
      <w:r w:rsidRPr="00A40D6A">
        <w:rPr>
          <w:rFonts w:ascii="Times New Roman" w:eastAsia="Times New Roman" w:hAnsi="Times New Roman" w:cs="Times New Roman"/>
          <w:sz w:val="24"/>
          <w:szCs w:val="24"/>
          <w:lang w:eastAsia="tr-TR"/>
        </w:rPr>
        <w:t xml:space="preserve"> of </w:t>
      </w:r>
      <w:r w:rsidRPr="00A40D6A">
        <w:rPr>
          <w:rFonts w:ascii="Times New Roman" w:eastAsia="Times New Roman" w:hAnsi="Times New Roman" w:cs="Times New Roman"/>
          <w:bCs/>
          <w:sz w:val="24"/>
          <w:szCs w:val="24"/>
          <w:lang w:eastAsia="tr-TR"/>
        </w:rPr>
        <w:t>meat</w:t>
      </w:r>
      <w:r w:rsidRPr="00A40D6A">
        <w:rPr>
          <w:rFonts w:ascii="Times New Roman" w:eastAsia="Times New Roman" w:hAnsi="Times New Roman" w:cs="Times New Roman"/>
          <w:sz w:val="24"/>
          <w:szCs w:val="24"/>
          <w:lang w:eastAsia="tr-TR"/>
        </w:rPr>
        <w:t xml:space="preserve"> and </w:t>
      </w:r>
      <w:r w:rsidRPr="00A40D6A">
        <w:rPr>
          <w:rFonts w:ascii="Times New Roman" w:eastAsia="Times New Roman" w:hAnsi="Times New Roman" w:cs="Times New Roman"/>
          <w:bCs/>
          <w:sz w:val="24"/>
          <w:szCs w:val="24"/>
          <w:lang w:eastAsia="tr-TR"/>
        </w:rPr>
        <w:t>seafood</w:t>
      </w:r>
    </w:p>
    <w:p w:rsidR="0026504B" w:rsidRPr="00A40D6A" w:rsidRDefault="0026504B" w:rsidP="0026504B">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Encouragement</w:t>
      </w:r>
      <w:r w:rsidRPr="00A40D6A">
        <w:rPr>
          <w:rFonts w:ascii="Times New Roman" w:eastAsia="Times New Roman" w:hAnsi="Times New Roman" w:cs="Times New Roman"/>
          <w:sz w:val="24"/>
          <w:szCs w:val="24"/>
          <w:lang w:eastAsia="tr-TR"/>
        </w:rPr>
        <w:t xml:space="preserve"> of:</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Low-fat dairy products</w:t>
      </w:r>
    </w:p>
    <w:p w:rsidR="0026504B" w:rsidRPr="00A40D6A" w:rsidRDefault="0026504B" w:rsidP="0026504B">
      <w:pPr>
        <w:numPr>
          <w:ilvl w:val="1"/>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Regular exercise</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w:t>
      </w:r>
    </w:p>
    <w:p w:rsidR="0026504B" w:rsidRPr="00A40D6A" w:rsidRDefault="0026504B" w:rsidP="0026504B">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i/>
          <w:iCs/>
          <w:sz w:val="24"/>
          <w:szCs w:val="24"/>
          <w:highlight w:val="yellow"/>
          <w:u w:val="single"/>
          <w:lang w:eastAsia="tr-TR"/>
        </w:rPr>
        <w:t>"Every person with gout should receive advice regarding lifestyle: weight loss if appropriate and avoidance of alcohol (especially beer and spirits) and sugar-sweetened drinks, heavy meals and excessive intake of meat and seafood. Low-fat dairy products should be encouraged. Regular exercise should be advised."</w:t>
      </w:r>
    </w:p>
    <w:p w:rsidR="0026504B" w:rsidRPr="00A40D6A" w:rsidRDefault="0026504B" w:rsidP="0026504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Q23. Which foods and beverages should be avoided to reduce gout flares?</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To reduce the risk of gout flares, patients should avoid:</w:t>
      </w:r>
    </w:p>
    <w:p w:rsidR="0026504B" w:rsidRPr="00A40D6A" w:rsidRDefault="0026504B" w:rsidP="0026504B">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Alcohol</w:t>
      </w:r>
      <w:r w:rsidRPr="00A40D6A">
        <w:rPr>
          <w:rFonts w:ascii="Times New Roman" w:eastAsia="Times New Roman" w:hAnsi="Times New Roman" w:cs="Times New Roman"/>
          <w:sz w:val="24"/>
          <w:szCs w:val="24"/>
          <w:lang w:eastAsia="tr-TR"/>
        </w:rPr>
        <w:t>, particularly:</w:t>
      </w:r>
    </w:p>
    <w:p w:rsidR="0026504B" w:rsidRPr="00A40D6A" w:rsidRDefault="0026504B" w:rsidP="0026504B">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Beer</w:t>
      </w:r>
    </w:p>
    <w:p w:rsidR="0026504B" w:rsidRPr="00A40D6A" w:rsidRDefault="0026504B" w:rsidP="0026504B">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Spirits (distilled liquors)</w:t>
      </w:r>
    </w:p>
    <w:p w:rsidR="0026504B" w:rsidRPr="00A40D6A" w:rsidRDefault="0026504B" w:rsidP="0026504B">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Sugar-sweetened beverages</w:t>
      </w:r>
      <w:r w:rsidRPr="00A40D6A">
        <w:rPr>
          <w:rFonts w:ascii="Times New Roman" w:eastAsia="Times New Roman" w:hAnsi="Times New Roman" w:cs="Times New Roman"/>
          <w:sz w:val="24"/>
          <w:szCs w:val="24"/>
          <w:lang w:eastAsia="tr-TR"/>
        </w:rPr>
        <w:t xml:space="preserve"> (e.g</w:t>
      </w:r>
      <w:proofErr w:type="gramStart"/>
      <w:r w:rsidRPr="00A40D6A">
        <w:rPr>
          <w:rFonts w:ascii="Times New Roman" w:eastAsia="Times New Roman" w:hAnsi="Times New Roman" w:cs="Times New Roman"/>
          <w:sz w:val="24"/>
          <w:szCs w:val="24"/>
          <w:lang w:eastAsia="tr-TR"/>
        </w:rPr>
        <w:t>.,</w:t>
      </w:r>
      <w:proofErr w:type="gramEnd"/>
      <w:r w:rsidRPr="00A40D6A">
        <w:rPr>
          <w:rFonts w:ascii="Times New Roman" w:eastAsia="Times New Roman" w:hAnsi="Times New Roman" w:cs="Times New Roman"/>
          <w:sz w:val="24"/>
          <w:szCs w:val="24"/>
          <w:lang w:eastAsia="tr-TR"/>
        </w:rPr>
        <w:t xml:space="preserve"> soft drinks with high-fructose corn syrup)</w:t>
      </w:r>
    </w:p>
    <w:p w:rsidR="0026504B" w:rsidRPr="00A40D6A" w:rsidRDefault="0026504B" w:rsidP="0026504B">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Heavy meals</w:t>
      </w:r>
    </w:p>
    <w:p w:rsidR="0026504B" w:rsidRPr="00A40D6A" w:rsidRDefault="0026504B" w:rsidP="0026504B">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Excessive intake</w:t>
      </w:r>
      <w:r w:rsidRPr="00A40D6A">
        <w:rPr>
          <w:rFonts w:ascii="Times New Roman" w:eastAsia="Times New Roman" w:hAnsi="Times New Roman" w:cs="Times New Roman"/>
          <w:sz w:val="24"/>
          <w:szCs w:val="24"/>
          <w:lang w:eastAsia="tr-TR"/>
        </w:rPr>
        <w:t xml:space="preserve"> of:</w:t>
      </w:r>
    </w:p>
    <w:p w:rsidR="0026504B" w:rsidRPr="00A40D6A" w:rsidRDefault="0026504B" w:rsidP="0026504B">
      <w:pPr>
        <w:numPr>
          <w:ilvl w:val="1"/>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Meat</w:t>
      </w:r>
    </w:p>
    <w:p w:rsidR="0026504B" w:rsidRPr="00A40D6A" w:rsidRDefault="0026504B" w:rsidP="009611FC">
      <w:pPr>
        <w:numPr>
          <w:ilvl w:val="1"/>
          <w:numId w:val="15"/>
        </w:numPr>
        <w:spacing w:before="100" w:beforeAutospacing="1" w:after="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Cs/>
          <w:sz w:val="24"/>
          <w:szCs w:val="24"/>
          <w:lang w:eastAsia="tr-TR"/>
        </w:rPr>
        <w:t>Seafood</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lastRenderedPageBreak/>
        <w:t>Supporting EULAR Statement:</w:t>
      </w:r>
    </w:p>
    <w:p w:rsidR="0026504B" w:rsidRPr="00A40D6A" w:rsidRDefault="0026504B" w:rsidP="0026504B">
      <w:pPr>
        <w:spacing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i/>
          <w:iCs/>
          <w:sz w:val="24"/>
          <w:szCs w:val="24"/>
          <w:highlight w:val="yellow"/>
          <w:u w:val="single"/>
          <w:lang w:eastAsia="tr-TR"/>
        </w:rPr>
        <w:t>"Every person with gout should receive advice regarding lifestyle: weight loss if appropriate and avoidance of alcohol (especially beer and spirits) and sugar-sweetened drinks, heavy meals and excessive intake of meat and seafood."</w:t>
      </w:r>
    </w:p>
    <w:p w:rsidR="0026504B" w:rsidRPr="00A40D6A" w:rsidRDefault="0026504B" w:rsidP="0026504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A40D6A">
        <w:rPr>
          <w:rFonts w:ascii="Times New Roman" w:eastAsia="Times New Roman" w:hAnsi="Times New Roman" w:cs="Times New Roman"/>
          <w:b/>
          <w:bCs/>
          <w:sz w:val="24"/>
          <w:szCs w:val="24"/>
          <w:lang w:eastAsia="tr-TR"/>
        </w:rPr>
        <w:t>Q24. How does obesity impact gout, and what are the weight loss recommendations?</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Expected Answer:</w:t>
      </w:r>
      <w:r w:rsidRPr="00A40D6A">
        <w:rPr>
          <w:rFonts w:ascii="Times New Roman" w:eastAsia="Times New Roman" w:hAnsi="Times New Roman" w:cs="Times New Roman"/>
          <w:sz w:val="24"/>
          <w:szCs w:val="24"/>
          <w:lang w:eastAsia="tr-TR"/>
        </w:rPr>
        <w:br/>
        <w:t>Obesity contributes to elevated serum uric acid (SUA) levels and increases the risk of gout flares. Gradual weight loss in obese individuals has been shown to lower SUA and reduce flare frequency. Therefore, weight reduction is recommended as part of the lifestyle management of gout.</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lang w:eastAsia="tr-TR"/>
        </w:rPr>
      </w:pPr>
      <w:r w:rsidRPr="00A40D6A">
        <w:rPr>
          <w:rFonts w:ascii="Times New Roman" w:eastAsia="Times New Roman" w:hAnsi="Times New Roman" w:cs="Times New Roman"/>
          <w:b/>
          <w:bCs/>
          <w:sz w:val="24"/>
          <w:szCs w:val="24"/>
          <w:lang w:eastAsia="tr-TR"/>
        </w:rPr>
        <w:t>Supporting EULAR Statements:</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highlight w:val="yellow"/>
          <w:u w:val="single"/>
          <w:lang w:eastAsia="tr-TR"/>
        </w:rPr>
      </w:pPr>
      <w:r w:rsidRPr="00A40D6A">
        <w:rPr>
          <w:rFonts w:ascii="Times New Roman" w:eastAsia="Times New Roman" w:hAnsi="Times New Roman" w:cs="Times New Roman"/>
          <w:i/>
          <w:iCs/>
          <w:sz w:val="24"/>
          <w:szCs w:val="24"/>
          <w:lang w:eastAsia="tr-TR"/>
        </w:rPr>
        <w:t>“</w:t>
      </w:r>
      <w:r w:rsidRPr="00A40D6A">
        <w:rPr>
          <w:rFonts w:ascii="Times New Roman" w:eastAsia="Times New Roman" w:hAnsi="Times New Roman" w:cs="Times New Roman"/>
          <w:i/>
          <w:iCs/>
          <w:sz w:val="24"/>
          <w:szCs w:val="24"/>
          <w:highlight w:val="yellow"/>
          <w:u w:val="single"/>
          <w:lang w:eastAsia="tr-TR"/>
        </w:rPr>
        <w:t>Every person with gout should receive advice regarding lifestyle: weight loss if appropriate and avoidance of alcohol (especially beer and spirits) and sugar-sweetened drinks, heavy meals and excessive intake of meat and seafood. Low-fat dairy products should be encouraged. Regular exercise should be advised.”</w:t>
      </w:r>
    </w:p>
    <w:p w:rsidR="0026504B" w:rsidRPr="00A40D6A" w:rsidRDefault="0026504B" w:rsidP="0026504B">
      <w:pPr>
        <w:spacing w:before="100" w:beforeAutospacing="1" w:after="100" w:afterAutospacing="1" w:line="240" w:lineRule="auto"/>
        <w:rPr>
          <w:rFonts w:ascii="Times New Roman" w:eastAsia="Times New Roman" w:hAnsi="Times New Roman" w:cs="Times New Roman"/>
          <w:sz w:val="24"/>
          <w:szCs w:val="24"/>
          <w:u w:val="single"/>
          <w:lang w:eastAsia="tr-TR"/>
        </w:rPr>
      </w:pPr>
      <w:r w:rsidRPr="00A40D6A">
        <w:rPr>
          <w:rFonts w:ascii="Times New Roman" w:eastAsia="Times New Roman" w:hAnsi="Times New Roman" w:cs="Times New Roman"/>
          <w:sz w:val="24"/>
          <w:szCs w:val="24"/>
          <w:highlight w:val="yellow"/>
          <w:u w:val="single"/>
          <w:lang w:eastAsia="tr-TR"/>
        </w:rPr>
        <w:br/>
      </w:r>
      <w:r w:rsidRPr="00A40D6A">
        <w:rPr>
          <w:rFonts w:ascii="Times New Roman" w:eastAsia="Times New Roman" w:hAnsi="Times New Roman" w:cs="Times New Roman"/>
          <w:i/>
          <w:iCs/>
          <w:sz w:val="24"/>
          <w:szCs w:val="24"/>
          <w:highlight w:val="yellow"/>
          <w:u w:val="single"/>
          <w:lang w:eastAsia="tr-TR"/>
        </w:rPr>
        <w:t>“For instance, there is evidence that gradual weight loss in obese patients lowers SUA levels and reduces the likelihood of gout flare.”</w:t>
      </w:r>
    </w:p>
    <w:p w:rsidR="0044334F" w:rsidRPr="00A40D6A" w:rsidRDefault="0044334F" w:rsidP="0044334F">
      <w:pPr>
        <w:pStyle w:val="NormalWeb"/>
      </w:pPr>
      <w:r w:rsidRPr="00A40D6A">
        <w:rPr>
          <w:rStyle w:val="Gl"/>
        </w:rPr>
        <w:t>Q25. Why is patient education considered essential in the long-term management of gout?</w:t>
      </w:r>
    </w:p>
    <w:p w:rsidR="0044334F" w:rsidRPr="00A40D6A" w:rsidRDefault="0044334F" w:rsidP="0044334F">
      <w:pPr>
        <w:pStyle w:val="NormalWeb"/>
      </w:pPr>
      <w:r w:rsidRPr="00A40D6A">
        <w:rPr>
          <w:rStyle w:val="Gl"/>
        </w:rPr>
        <w:t>Expected Answer:</w:t>
      </w:r>
      <w:r w:rsidRPr="00A40D6A">
        <w:br/>
        <w:t xml:space="preserve">Patient education is fundamental to the effective long-term management of gout. Educating patients improves their understanding of the disease, its pathophysiology, treatment goals (especially achieving and maintaining target serum uric acid levels), the importance of adherence to urate-lowering therapy (ULT), and self-management of acute flares. </w:t>
      </w:r>
    </w:p>
    <w:p w:rsidR="00F068AA" w:rsidRDefault="0044334F" w:rsidP="0044334F">
      <w:pPr>
        <w:pStyle w:val="NormalWeb"/>
        <w:rPr>
          <w:rStyle w:val="Gl"/>
        </w:rPr>
      </w:pPr>
      <w:r w:rsidRPr="00A40D6A">
        <w:rPr>
          <w:rStyle w:val="Gl"/>
        </w:rPr>
        <w:t>Supporting EULAR Statements:</w:t>
      </w:r>
    </w:p>
    <w:p w:rsidR="0044334F" w:rsidRPr="00A40D6A" w:rsidRDefault="0044334F" w:rsidP="0044334F">
      <w:pPr>
        <w:pStyle w:val="NormalWeb"/>
        <w:rPr>
          <w:highlight w:val="yellow"/>
          <w:u w:val="single"/>
        </w:rPr>
      </w:pPr>
      <w:r w:rsidRPr="00A40D6A">
        <w:br/>
        <w:t>“</w:t>
      </w:r>
      <w:r w:rsidRPr="00A40D6A">
        <w:rPr>
          <w:highlight w:val="yellow"/>
          <w:u w:val="single"/>
        </w:rPr>
        <w:t>Every person with gout should be fully informed about the pathophysiology of the disease, the existence of effective treatments, associated comorbidities and the principles of managing acute attacks and eliminating urate crystals through lifelong lowering of SUA level below a target level.”</w:t>
      </w:r>
    </w:p>
    <w:p w:rsidR="0044334F" w:rsidRPr="00A40D6A" w:rsidRDefault="0044334F" w:rsidP="0044334F">
      <w:pPr>
        <w:pStyle w:val="NormalWeb"/>
        <w:rPr>
          <w:u w:val="single"/>
        </w:rPr>
      </w:pPr>
      <w:r w:rsidRPr="00A40D6A">
        <w:rPr>
          <w:highlight w:val="yellow"/>
          <w:u w:val="single"/>
        </w:rPr>
        <w:t>“Finally, the need to educate patients and to promote a ‘pill-in-the-pocket’ approach is highlighted to provide rapid treatment of flares, because the task force is convinced that patients must play a key role and be fully involved in the management of their disease.”</w:t>
      </w:r>
    </w:p>
    <w:p w:rsidR="00C075C2" w:rsidRPr="00A40D6A" w:rsidRDefault="00C075C2" w:rsidP="00950B46">
      <w:pPr>
        <w:rPr>
          <w:rFonts w:ascii="Times New Roman" w:hAnsi="Times New Roman" w:cs="Times New Roman"/>
          <w:sz w:val="24"/>
          <w:szCs w:val="24"/>
          <w:lang w:eastAsia="tr-TR"/>
        </w:rPr>
      </w:pPr>
    </w:p>
    <w:sectPr w:rsidR="00C075C2" w:rsidRPr="00A40D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335"/>
    <w:multiLevelType w:val="multilevel"/>
    <w:tmpl w:val="75DE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7482B"/>
    <w:multiLevelType w:val="multilevel"/>
    <w:tmpl w:val="C4D4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60671"/>
    <w:multiLevelType w:val="multilevel"/>
    <w:tmpl w:val="82266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3499F"/>
    <w:multiLevelType w:val="multilevel"/>
    <w:tmpl w:val="3E5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2F4D77"/>
    <w:multiLevelType w:val="hybridMultilevel"/>
    <w:tmpl w:val="0BBA36C2"/>
    <w:lvl w:ilvl="0" w:tplc="041F000F">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7475914"/>
    <w:multiLevelType w:val="multilevel"/>
    <w:tmpl w:val="40BA8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40178"/>
    <w:multiLevelType w:val="multilevel"/>
    <w:tmpl w:val="FCF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B583E"/>
    <w:multiLevelType w:val="multilevel"/>
    <w:tmpl w:val="2E54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D931CA"/>
    <w:multiLevelType w:val="multilevel"/>
    <w:tmpl w:val="A12C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E20140"/>
    <w:multiLevelType w:val="multilevel"/>
    <w:tmpl w:val="5E9A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380CDF"/>
    <w:multiLevelType w:val="multilevel"/>
    <w:tmpl w:val="0E9E0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953DF5"/>
    <w:multiLevelType w:val="multilevel"/>
    <w:tmpl w:val="5C26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37773E"/>
    <w:multiLevelType w:val="multilevel"/>
    <w:tmpl w:val="985C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7D5B68"/>
    <w:multiLevelType w:val="multilevel"/>
    <w:tmpl w:val="F908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7F678F"/>
    <w:multiLevelType w:val="multilevel"/>
    <w:tmpl w:val="6D78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04458"/>
    <w:multiLevelType w:val="multilevel"/>
    <w:tmpl w:val="5EDE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7531A9"/>
    <w:multiLevelType w:val="multilevel"/>
    <w:tmpl w:val="9B60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875E70"/>
    <w:multiLevelType w:val="multilevel"/>
    <w:tmpl w:val="7D6E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1"/>
  </w:num>
  <w:num w:numId="5">
    <w:abstractNumId w:val="12"/>
  </w:num>
  <w:num w:numId="6">
    <w:abstractNumId w:val="7"/>
  </w:num>
  <w:num w:numId="7">
    <w:abstractNumId w:val="9"/>
  </w:num>
  <w:num w:numId="8">
    <w:abstractNumId w:val="14"/>
  </w:num>
  <w:num w:numId="9">
    <w:abstractNumId w:val="1"/>
  </w:num>
  <w:num w:numId="10">
    <w:abstractNumId w:val="8"/>
  </w:num>
  <w:num w:numId="11">
    <w:abstractNumId w:val="17"/>
  </w:num>
  <w:num w:numId="12">
    <w:abstractNumId w:val="6"/>
  </w:num>
  <w:num w:numId="13">
    <w:abstractNumId w:val="10"/>
  </w:num>
  <w:num w:numId="14">
    <w:abstractNumId w:val="16"/>
  </w:num>
  <w:num w:numId="15">
    <w:abstractNumId w:val="5"/>
  </w:num>
  <w:num w:numId="16">
    <w:abstractNumId w:val="13"/>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C34"/>
    <w:rsid w:val="000E4E38"/>
    <w:rsid w:val="00235B9C"/>
    <w:rsid w:val="0026504B"/>
    <w:rsid w:val="0044334F"/>
    <w:rsid w:val="004D2980"/>
    <w:rsid w:val="005B485F"/>
    <w:rsid w:val="00690AF7"/>
    <w:rsid w:val="006937EF"/>
    <w:rsid w:val="006C1F7C"/>
    <w:rsid w:val="00871E09"/>
    <w:rsid w:val="00950B46"/>
    <w:rsid w:val="00983EA3"/>
    <w:rsid w:val="00996405"/>
    <w:rsid w:val="009B6A62"/>
    <w:rsid w:val="009C5C63"/>
    <w:rsid w:val="00A40D6A"/>
    <w:rsid w:val="00AA48BC"/>
    <w:rsid w:val="00B1122C"/>
    <w:rsid w:val="00B252FF"/>
    <w:rsid w:val="00C075C2"/>
    <w:rsid w:val="00C34C34"/>
    <w:rsid w:val="00D02223"/>
    <w:rsid w:val="00D74B18"/>
    <w:rsid w:val="00DB6D63"/>
    <w:rsid w:val="00F068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DAE1"/>
  <w15:chartTrackingRefBased/>
  <w15:docId w15:val="{E3A71597-3D3D-4D93-8F8A-9CE731D87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D74B1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6">
    <w:name w:val="heading 6"/>
    <w:basedOn w:val="Normal"/>
    <w:next w:val="Normal"/>
    <w:link w:val="Balk6Char"/>
    <w:uiPriority w:val="9"/>
    <w:semiHidden/>
    <w:unhideWhenUsed/>
    <w:qFormat/>
    <w:rsid w:val="0026504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34C34"/>
    <w:rPr>
      <w:b/>
      <w:bCs/>
    </w:rPr>
  </w:style>
  <w:style w:type="paragraph" w:styleId="NormalWeb">
    <w:name w:val="Normal (Web)"/>
    <w:basedOn w:val="Normal"/>
    <w:uiPriority w:val="99"/>
    <w:unhideWhenUsed/>
    <w:qFormat/>
    <w:rsid w:val="00C34C3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C34C34"/>
    <w:rPr>
      <w:i/>
      <w:iCs/>
    </w:rPr>
  </w:style>
  <w:style w:type="character" w:styleId="Kpr">
    <w:name w:val="Hyperlink"/>
    <w:basedOn w:val="VarsaylanParagrafYazTipi"/>
    <w:rsid w:val="00C34C34"/>
    <w:rPr>
      <w:color w:val="0000FF"/>
      <w:u w:val="single"/>
    </w:rPr>
  </w:style>
  <w:style w:type="character" w:customStyle="1" w:styleId="Balk3Char">
    <w:name w:val="Başlık 3 Char"/>
    <w:basedOn w:val="VarsaylanParagrafYazTipi"/>
    <w:link w:val="Balk3"/>
    <w:uiPriority w:val="9"/>
    <w:rsid w:val="00D74B18"/>
    <w:rPr>
      <w:rFonts w:ascii="Times New Roman" w:eastAsia="Times New Roman" w:hAnsi="Times New Roman" w:cs="Times New Roman"/>
      <w:b/>
      <w:bCs/>
      <w:sz w:val="27"/>
      <w:szCs w:val="27"/>
      <w:lang w:eastAsia="tr-TR"/>
    </w:rPr>
  </w:style>
  <w:style w:type="character" w:customStyle="1" w:styleId="Balk6Char">
    <w:name w:val="Başlık 6 Char"/>
    <w:basedOn w:val="VarsaylanParagrafYazTipi"/>
    <w:link w:val="Balk6"/>
    <w:uiPriority w:val="9"/>
    <w:semiHidden/>
    <w:rsid w:val="0026504B"/>
    <w:rPr>
      <w:rFonts w:asciiTheme="majorHAnsi" w:eastAsiaTheme="majorEastAsia" w:hAnsiTheme="majorHAnsi" w:cstheme="majorBidi"/>
      <w:color w:val="1F4D78" w:themeColor="accent1" w:themeShade="7F"/>
    </w:rPr>
  </w:style>
  <w:style w:type="paragraph" w:styleId="ListeParagraf">
    <w:name w:val="List Paragraph"/>
    <w:basedOn w:val="Normal"/>
    <w:uiPriority w:val="34"/>
    <w:qFormat/>
    <w:rsid w:val="002650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25372">
      <w:bodyDiv w:val="1"/>
      <w:marLeft w:val="0"/>
      <w:marRight w:val="0"/>
      <w:marTop w:val="0"/>
      <w:marBottom w:val="0"/>
      <w:divBdr>
        <w:top w:val="none" w:sz="0" w:space="0" w:color="auto"/>
        <w:left w:val="none" w:sz="0" w:space="0" w:color="auto"/>
        <w:bottom w:val="none" w:sz="0" w:space="0" w:color="auto"/>
        <w:right w:val="none" w:sz="0" w:space="0" w:color="auto"/>
      </w:divBdr>
      <w:divsChild>
        <w:div w:id="1895504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0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391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621075">
      <w:bodyDiv w:val="1"/>
      <w:marLeft w:val="0"/>
      <w:marRight w:val="0"/>
      <w:marTop w:val="0"/>
      <w:marBottom w:val="0"/>
      <w:divBdr>
        <w:top w:val="none" w:sz="0" w:space="0" w:color="auto"/>
        <w:left w:val="none" w:sz="0" w:space="0" w:color="auto"/>
        <w:bottom w:val="none" w:sz="0" w:space="0" w:color="auto"/>
        <w:right w:val="none" w:sz="0" w:space="0" w:color="auto"/>
      </w:divBdr>
      <w:divsChild>
        <w:div w:id="187648462">
          <w:marLeft w:val="0"/>
          <w:marRight w:val="0"/>
          <w:marTop w:val="0"/>
          <w:marBottom w:val="0"/>
          <w:divBdr>
            <w:top w:val="none" w:sz="0" w:space="0" w:color="auto"/>
            <w:left w:val="none" w:sz="0" w:space="0" w:color="auto"/>
            <w:bottom w:val="none" w:sz="0" w:space="0" w:color="auto"/>
            <w:right w:val="none" w:sz="0" w:space="0" w:color="auto"/>
          </w:divBdr>
          <w:divsChild>
            <w:div w:id="1533306070">
              <w:marLeft w:val="0"/>
              <w:marRight w:val="0"/>
              <w:marTop w:val="0"/>
              <w:marBottom w:val="0"/>
              <w:divBdr>
                <w:top w:val="none" w:sz="0" w:space="0" w:color="auto"/>
                <w:left w:val="none" w:sz="0" w:space="0" w:color="auto"/>
                <w:bottom w:val="none" w:sz="0" w:space="0" w:color="auto"/>
                <w:right w:val="none" w:sz="0" w:space="0" w:color="auto"/>
              </w:divBdr>
              <w:divsChild>
                <w:div w:id="1199011434">
                  <w:marLeft w:val="0"/>
                  <w:marRight w:val="0"/>
                  <w:marTop w:val="0"/>
                  <w:marBottom w:val="0"/>
                  <w:divBdr>
                    <w:top w:val="none" w:sz="0" w:space="0" w:color="auto"/>
                    <w:left w:val="none" w:sz="0" w:space="0" w:color="auto"/>
                    <w:bottom w:val="none" w:sz="0" w:space="0" w:color="auto"/>
                    <w:right w:val="none" w:sz="0" w:space="0" w:color="auto"/>
                  </w:divBdr>
                  <w:divsChild>
                    <w:div w:id="336928779">
                      <w:marLeft w:val="0"/>
                      <w:marRight w:val="0"/>
                      <w:marTop w:val="0"/>
                      <w:marBottom w:val="0"/>
                      <w:divBdr>
                        <w:top w:val="none" w:sz="0" w:space="0" w:color="auto"/>
                        <w:left w:val="none" w:sz="0" w:space="0" w:color="auto"/>
                        <w:bottom w:val="none" w:sz="0" w:space="0" w:color="auto"/>
                        <w:right w:val="none" w:sz="0" w:space="0" w:color="auto"/>
                      </w:divBdr>
                      <w:divsChild>
                        <w:div w:id="2019114336">
                          <w:marLeft w:val="0"/>
                          <w:marRight w:val="0"/>
                          <w:marTop w:val="0"/>
                          <w:marBottom w:val="0"/>
                          <w:divBdr>
                            <w:top w:val="none" w:sz="0" w:space="0" w:color="auto"/>
                            <w:left w:val="none" w:sz="0" w:space="0" w:color="auto"/>
                            <w:bottom w:val="none" w:sz="0" w:space="0" w:color="auto"/>
                            <w:right w:val="none" w:sz="0" w:space="0" w:color="auto"/>
                          </w:divBdr>
                          <w:divsChild>
                            <w:div w:id="14968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64435">
      <w:bodyDiv w:val="1"/>
      <w:marLeft w:val="0"/>
      <w:marRight w:val="0"/>
      <w:marTop w:val="0"/>
      <w:marBottom w:val="0"/>
      <w:divBdr>
        <w:top w:val="none" w:sz="0" w:space="0" w:color="auto"/>
        <w:left w:val="none" w:sz="0" w:space="0" w:color="auto"/>
        <w:bottom w:val="none" w:sz="0" w:space="0" w:color="auto"/>
        <w:right w:val="none" w:sz="0" w:space="0" w:color="auto"/>
      </w:divBdr>
      <w:divsChild>
        <w:div w:id="608899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776675">
      <w:bodyDiv w:val="1"/>
      <w:marLeft w:val="0"/>
      <w:marRight w:val="0"/>
      <w:marTop w:val="0"/>
      <w:marBottom w:val="0"/>
      <w:divBdr>
        <w:top w:val="none" w:sz="0" w:space="0" w:color="auto"/>
        <w:left w:val="none" w:sz="0" w:space="0" w:color="auto"/>
        <w:bottom w:val="none" w:sz="0" w:space="0" w:color="auto"/>
        <w:right w:val="none" w:sz="0" w:space="0" w:color="auto"/>
      </w:divBdr>
    </w:div>
    <w:div w:id="140778347">
      <w:bodyDiv w:val="1"/>
      <w:marLeft w:val="0"/>
      <w:marRight w:val="0"/>
      <w:marTop w:val="0"/>
      <w:marBottom w:val="0"/>
      <w:divBdr>
        <w:top w:val="none" w:sz="0" w:space="0" w:color="auto"/>
        <w:left w:val="none" w:sz="0" w:space="0" w:color="auto"/>
        <w:bottom w:val="none" w:sz="0" w:space="0" w:color="auto"/>
        <w:right w:val="none" w:sz="0" w:space="0" w:color="auto"/>
      </w:divBdr>
      <w:divsChild>
        <w:div w:id="73625081">
          <w:marLeft w:val="0"/>
          <w:marRight w:val="0"/>
          <w:marTop w:val="0"/>
          <w:marBottom w:val="0"/>
          <w:divBdr>
            <w:top w:val="none" w:sz="0" w:space="0" w:color="auto"/>
            <w:left w:val="none" w:sz="0" w:space="0" w:color="auto"/>
            <w:bottom w:val="none" w:sz="0" w:space="0" w:color="auto"/>
            <w:right w:val="none" w:sz="0" w:space="0" w:color="auto"/>
          </w:divBdr>
          <w:divsChild>
            <w:div w:id="489753701">
              <w:marLeft w:val="0"/>
              <w:marRight w:val="0"/>
              <w:marTop w:val="0"/>
              <w:marBottom w:val="0"/>
              <w:divBdr>
                <w:top w:val="none" w:sz="0" w:space="0" w:color="auto"/>
                <w:left w:val="none" w:sz="0" w:space="0" w:color="auto"/>
                <w:bottom w:val="none" w:sz="0" w:space="0" w:color="auto"/>
                <w:right w:val="none" w:sz="0" w:space="0" w:color="auto"/>
              </w:divBdr>
              <w:divsChild>
                <w:div w:id="1247423692">
                  <w:marLeft w:val="0"/>
                  <w:marRight w:val="0"/>
                  <w:marTop w:val="0"/>
                  <w:marBottom w:val="0"/>
                  <w:divBdr>
                    <w:top w:val="none" w:sz="0" w:space="0" w:color="auto"/>
                    <w:left w:val="none" w:sz="0" w:space="0" w:color="auto"/>
                    <w:bottom w:val="none" w:sz="0" w:space="0" w:color="auto"/>
                    <w:right w:val="none" w:sz="0" w:space="0" w:color="auto"/>
                  </w:divBdr>
                  <w:divsChild>
                    <w:div w:id="100345163">
                      <w:marLeft w:val="0"/>
                      <w:marRight w:val="0"/>
                      <w:marTop w:val="0"/>
                      <w:marBottom w:val="0"/>
                      <w:divBdr>
                        <w:top w:val="none" w:sz="0" w:space="0" w:color="auto"/>
                        <w:left w:val="none" w:sz="0" w:space="0" w:color="auto"/>
                        <w:bottom w:val="none" w:sz="0" w:space="0" w:color="auto"/>
                        <w:right w:val="none" w:sz="0" w:space="0" w:color="auto"/>
                      </w:divBdr>
                      <w:divsChild>
                        <w:div w:id="1296957880">
                          <w:marLeft w:val="0"/>
                          <w:marRight w:val="0"/>
                          <w:marTop w:val="0"/>
                          <w:marBottom w:val="0"/>
                          <w:divBdr>
                            <w:top w:val="none" w:sz="0" w:space="0" w:color="auto"/>
                            <w:left w:val="none" w:sz="0" w:space="0" w:color="auto"/>
                            <w:bottom w:val="none" w:sz="0" w:space="0" w:color="auto"/>
                            <w:right w:val="none" w:sz="0" w:space="0" w:color="auto"/>
                          </w:divBdr>
                          <w:divsChild>
                            <w:div w:id="63013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61706">
      <w:bodyDiv w:val="1"/>
      <w:marLeft w:val="0"/>
      <w:marRight w:val="0"/>
      <w:marTop w:val="0"/>
      <w:marBottom w:val="0"/>
      <w:divBdr>
        <w:top w:val="none" w:sz="0" w:space="0" w:color="auto"/>
        <w:left w:val="none" w:sz="0" w:space="0" w:color="auto"/>
        <w:bottom w:val="none" w:sz="0" w:space="0" w:color="auto"/>
        <w:right w:val="none" w:sz="0" w:space="0" w:color="auto"/>
      </w:divBdr>
      <w:divsChild>
        <w:div w:id="317463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2398545">
      <w:bodyDiv w:val="1"/>
      <w:marLeft w:val="0"/>
      <w:marRight w:val="0"/>
      <w:marTop w:val="0"/>
      <w:marBottom w:val="0"/>
      <w:divBdr>
        <w:top w:val="none" w:sz="0" w:space="0" w:color="auto"/>
        <w:left w:val="none" w:sz="0" w:space="0" w:color="auto"/>
        <w:bottom w:val="none" w:sz="0" w:space="0" w:color="auto"/>
        <w:right w:val="none" w:sz="0" w:space="0" w:color="auto"/>
      </w:divBdr>
      <w:divsChild>
        <w:div w:id="470442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549212">
      <w:bodyDiv w:val="1"/>
      <w:marLeft w:val="0"/>
      <w:marRight w:val="0"/>
      <w:marTop w:val="0"/>
      <w:marBottom w:val="0"/>
      <w:divBdr>
        <w:top w:val="none" w:sz="0" w:space="0" w:color="auto"/>
        <w:left w:val="none" w:sz="0" w:space="0" w:color="auto"/>
        <w:bottom w:val="none" w:sz="0" w:space="0" w:color="auto"/>
        <w:right w:val="none" w:sz="0" w:space="0" w:color="auto"/>
      </w:divBdr>
    </w:div>
    <w:div w:id="708799001">
      <w:bodyDiv w:val="1"/>
      <w:marLeft w:val="0"/>
      <w:marRight w:val="0"/>
      <w:marTop w:val="0"/>
      <w:marBottom w:val="0"/>
      <w:divBdr>
        <w:top w:val="none" w:sz="0" w:space="0" w:color="auto"/>
        <w:left w:val="none" w:sz="0" w:space="0" w:color="auto"/>
        <w:bottom w:val="none" w:sz="0" w:space="0" w:color="auto"/>
        <w:right w:val="none" w:sz="0" w:space="0" w:color="auto"/>
      </w:divBdr>
    </w:div>
    <w:div w:id="715087549">
      <w:bodyDiv w:val="1"/>
      <w:marLeft w:val="0"/>
      <w:marRight w:val="0"/>
      <w:marTop w:val="0"/>
      <w:marBottom w:val="0"/>
      <w:divBdr>
        <w:top w:val="none" w:sz="0" w:space="0" w:color="auto"/>
        <w:left w:val="none" w:sz="0" w:space="0" w:color="auto"/>
        <w:bottom w:val="none" w:sz="0" w:space="0" w:color="auto"/>
        <w:right w:val="none" w:sz="0" w:space="0" w:color="auto"/>
      </w:divBdr>
    </w:div>
    <w:div w:id="1030686847">
      <w:bodyDiv w:val="1"/>
      <w:marLeft w:val="0"/>
      <w:marRight w:val="0"/>
      <w:marTop w:val="0"/>
      <w:marBottom w:val="0"/>
      <w:divBdr>
        <w:top w:val="none" w:sz="0" w:space="0" w:color="auto"/>
        <w:left w:val="none" w:sz="0" w:space="0" w:color="auto"/>
        <w:bottom w:val="none" w:sz="0" w:space="0" w:color="auto"/>
        <w:right w:val="none" w:sz="0" w:space="0" w:color="auto"/>
      </w:divBdr>
      <w:divsChild>
        <w:div w:id="1522623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288308">
      <w:bodyDiv w:val="1"/>
      <w:marLeft w:val="0"/>
      <w:marRight w:val="0"/>
      <w:marTop w:val="0"/>
      <w:marBottom w:val="0"/>
      <w:divBdr>
        <w:top w:val="none" w:sz="0" w:space="0" w:color="auto"/>
        <w:left w:val="none" w:sz="0" w:space="0" w:color="auto"/>
        <w:bottom w:val="none" w:sz="0" w:space="0" w:color="auto"/>
        <w:right w:val="none" w:sz="0" w:space="0" w:color="auto"/>
      </w:divBdr>
      <w:divsChild>
        <w:div w:id="394469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836440">
      <w:bodyDiv w:val="1"/>
      <w:marLeft w:val="0"/>
      <w:marRight w:val="0"/>
      <w:marTop w:val="0"/>
      <w:marBottom w:val="0"/>
      <w:divBdr>
        <w:top w:val="none" w:sz="0" w:space="0" w:color="auto"/>
        <w:left w:val="none" w:sz="0" w:space="0" w:color="auto"/>
        <w:bottom w:val="none" w:sz="0" w:space="0" w:color="auto"/>
        <w:right w:val="none" w:sz="0" w:space="0" w:color="auto"/>
      </w:divBdr>
    </w:div>
    <w:div w:id="1061749343">
      <w:bodyDiv w:val="1"/>
      <w:marLeft w:val="0"/>
      <w:marRight w:val="0"/>
      <w:marTop w:val="0"/>
      <w:marBottom w:val="0"/>
      <w:divBdr>
        <w:top w:val="none" w:sz="0" w:space="0" w:color="auto"/>
        <w:left w:val="none" w:sz="0" w:space="0" w:color="auto"/>
        <w:bottom w:val="none" w:sz="0" w:space="0" w:color="auto"/>
        <w:right w:val="none" w:sz="0" w:space="0" w:color="auto"/>
      </w:divBdr>
      <w:divsChild>
        <w:div w:id="1361475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3527879">
      <w:bodyDiv w:val="1"/>
      <w:marLeft w:val="0"/>
      <w:marRight w:val="0"/>
      <w:marTop w:val="0"/>
      <w:marBottom w:val="0"/>
      <w:divBdr>
        <w:top w:val="none" w:sz="0" w:space="0" w:color="auto"/>
        <w:left w:val="none" w:sz="0" w:space="0" w:color="auto"/>
        <w:bottom w:val="none" w:sz="0" w:space="0" w:color="auto"/>
        <w:right w:val="none" w:sz="0" w:space="0" w:color="auto"/>
      </w:divBdr>
    </w:div>
    <w:div w:id="1293748966">
      <w:bodyDiv w:val="1"/>
      <w:marLeft w:val="0"/>
      <w:marRight w:val="0"/>
      <w:marTop w:val="0"/>
      <w:marBottom w:val="0"/>
      <w:divBdr>
        <w:top w:val="none" w:sz="0" w:space="0" w:color="auto"/>
        <w:left w:val="none" w:sz="0" w:space="0" w:color="auto"/>
        <w:bottom w:val="none" w:sz="0" w:space="0" w:color="auto"/>
        <w:right w:val="none" w:sz="0" w:space="0" w:color="auto"/>
      </w:divBdr>
      <w:divsChild>
        <w:div w:id="1200237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231865">
      <w:bodyDiv w:val="1"/>
      <w:marLeft w:val="0"/>
      <w:marRight w:val="0"/>
      <w:marTop w:val="0"/>
      <w:marBottom w:val="0"/>
      <w:divBdr>
        <w:top w:val="none" w:sz="0" w:space="0" w:color="auto"/>
        <w:left w:val="none" w:sz="0" w:space="0" w:color="auto"/>
        <w:bottom w:val="none" w:sz="0" w:space="0" w:color="auto"/>
        <w:right w:val="none" w:sz="0" w:space="0" w:color="auto"/>
      </w:divBdr>
    </w:div>
    <w:div w:id="1406151875">
      <w:bodyDiv w:val="1"/>
      <w:marLeft w:val="0"/>
      <w:marRight w:val="0"/>
      <w:marTop w:val="0"/>
      <w:marBottom w:val="0"/>
      <w:divBdr>
        <w:top w:val="none" w:sz="0" w:space="0" w:color="auto"/>
        <w:left w:val="none" w:sz="0" w:space="0" w:color="auto"/>
        <w:bottom w:val="none" w:sz="0" w:space="0" w:color="auto"/>
        <w:right w:val="none" w:sz="0" w:space="0" w:color="auto"/>
      </w:divBdr>
    </w:div>
    <w:div w:id="1528715269">
      <w:bodyDiv w:val="1"/>
      <w:marLeft w:val="0"/>
      <w:marRight w:val="0"/>
      <w:marTop w:val="0"/>
      <w:marBottom w:val="0"/>
      <w:divBdr>
        <w:top w:val="none" w:sz="0" w:space="0" w:color="auto"/>
        <w:left w:val="none" w:sz="0" w:space="0" w:color="auto"/>
        <w:bottom w:val="none" w:sz="0" w:space="0" w:color="auto"/>
        <w:right w:val="none" w:sz="0" w:space="0" w:color="auto"/>
      </w:divBdr>
      <w:divsChild>
        <w:div w:id="1416585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7570242">
      <w:bodyDiv w:val="1"/>
      <w:marLeft w:val="0"/>
      <w:marRight w:val="0"/>
      <w:marTop w:val="0"/>
      <w:marBottom w:val="0"/>
      <w:divBdr>
        <w:top w:val="none" w:sz="0" w:space="0" w:color="auto"/>
        <w:left w:val="none" w:sz="0" w:space="0" w:color="auto"/>
        <w:bottom w:val="none" w:sz="0" w:space="0" w:color="auto"/>
        <w:right w:val="none" w:sz="0" w:space="0" w:color="auto"/>
      </w:divBdr>
    </w:div>
    <w:div w:id="1634826964">
      <w:bodyDiv w:val="1"/>
      <w:marLeft w:val="0"/>
      <w:marRight w:val="0"/>
      <w:marTop w:val="0"/>
      <w:marBottom w:val="0"/>
      <w:divBdr>
        <w:top w:val="none" w:sz="0" w:space="0" w:color="auto"/>
        <w:left w:val="none" w:sz="0" w:space="0" w:color="auto"/>
        <w:bottom w:val="none" w:sz="0" w:space="0" w:color="auto"/>
        <w:right w:val="none" w:sz="0" w:space="0" w:color="auto"/>
      </w:divBdr>
      <w:divsChild>
        <w:div w:id="552812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8120515">
      <w:bodyDiv w:val="1"/>
      <w:marLeft w:val="0"/>
      <w:marRight w:val="0"/>
      <w:marTop w:val="0"/>
      <w:marBottom w:val="0"/>
      <w:divBdr>
        <w:top w:val="none" w:sz="0" w:space="0" w:color="auto"/>
        <w:left w:val="none" w:sz="0" w:space="0" w:color="auto"/>
        <w:bottom w:val="none" w:sz="0" w:space="0" w:color="auto"/>
        <w:right w:val="none" w:sz="0" w:space="0" w:color="auto"/>
      </w:divBdr>
      <w:divsChild>
        <w:div w:id="52508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250317">
      <w:bodyDiv w:val="1"/>
      <w:marLeft w:val="0"/>
      <w:marRight w:val="0"/>
      <w:marTop w:val="0"/>
      <w:marBottom w:val="0"/>
      <w:divBdr>
        <w:top w:val="none" w:sz="0" w:space="0" w:color="auto"/>
        <w:left w:val="none" w:sz="0" w:space="0" w:color="auto"/>
        <w:bottom w:val="none" w:sz="0" w:space="0" w:color="auto"/>
        <w:right w:val="none" w:sz="0" w:space="0" w:color="auto"/>
      </w:divBdr>
      <w:divsChild>
        <w:div w:id="671880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038248">
          <w:blockQuote w:val="1"/>
          <w:marLeft w:val="720"/>
          <w:marRight w:val="720"/>
          <w:marTop w:val="100"/>
          <w:marBottom w:val="100"/>
          <w:divBdr>
            <w:top w:val="none" w:sz="0" w:space="0" w:color="auto"/>
            <w:left w:val="none" w:sz="0" w:space="0" w:color="auto"/>
            <w:bottom w:val="none" w:sz="0" w:space="0" w:color="auto"/>
            <w:right w:val="none" w:sz="0" w:space="0" w:color="auto"/>
          </w:divBdr>
        </w:div>
        <w:div w:id="749737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59559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274154">
      <w:bodyDiv w:val="1"/>
      <w:marLeft w:val="0"/>
      <w:marRight w:val="0"/>
      <w:marTop w:val="0"/>
      <w:marBottom w:val="0"/>
      <w:divBdr>
        <w:top w:val="none" w:sz="0" w:space="0" w:color="auto"/>
        <w:left w:val="none" w:sz="0" w:space="0" w:color="auto"/>
        <w:bottom w:val="none" w:sz="0" w:space="0" w:color="auto"/>
        <w:right w:val="none" w:sz="0" w:space="0" w:color="auto"/>
      </w:divBdr>
      <w:divsChild>
        <w:div w:id="237061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266336">
      <w:bodyDiv w:val="1"/>
      <w:marLeft w:val="0"/>
      <w:marRight w:val="0"/>
      <w:marTop w:val="0"/>
      <w:marBottom w:val="0"/>
      <w:divBdr>
        <w:top w:val="none" w:sz="0" w:space="0" w:color="auto"/>
        <w:left w:val="none" w:sz="0" w:space="0" w:color="auto"/>
        <w:bottom w:val="none" w:sz="0" w:space="0" w:color="auto"/>
        <w:right w:val="none" w:sz="0" w:space="0" w:color="auto"/>
      </w:divBdr>
      <w:divsChild>
        <w:div w:id="943541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705235">
      <w:bodyDiv w:val="1"/>
      <w:marLeft w:val="0"/>
      <w:marRight w:val="0"/>
      <w:marTop w:val="0"/>
      <w:marBottom w:val="0"/>
      <w:divBdr>
        <w:top w:val="none" w:sz="0" w:space="0" w:color="auto"/>
        <w:left w:val="none" w:sz="0" w:space="0" w:color="auto"/>
        <w:bottom w:val="none" w:sz="0" w:space="0" w:color="auto"/>
        <w:right w:val="none" w:sz="0" w:space="0" w:color="auto"/>
      </w:divBdr>
      <w:divsChild>
        <w:div w:id="1294485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431667">
      <w:bodyDiv w:val="1"/>
      <w:marLeft w:val="0"/>
      <w:marRight w:val="0"/>
      <w:marTop w:val="0"/>
      <w:marBottom w:val="0"/>
      <w:divBdr>
        <w:top w:val="none" w:sz="0" w:space="0" w:color="auto"/>
        <w:left w:val="none" w:sz="0" w:space="0" w:color="auto"/>
        <w:bottom w:val="none" w:sz="0" w:space="0" w:color="auto"/>
        <w:right w:val="none" w:sz="0" w:space="0" w:color="auto"/>
      </w:divBdr>
      <w:divsChild>
        <w:div w:id="499807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932456">
      <w:bodyDiv w:val="1"/>
      <w:marLeft w:val="0"/>
      <w:marRight w:val="0"/>
      <w:marTop w:val="0"/>
      <w:marBottom w:val="0"/>
      <w:divBdr>
        <w:top w:val="none" w:sz="0" w:space="0" w:color="auto"/>
        <w:left w:val="none" w:sz="0" w:space="0" w:color="auto"/>
        <w:bottom w:val="none" w:sz="0" w:space="0" w:color="auto"/>
        <w:right w:val="none" w:sz="0" w:space="0" w:color="auto"/>
      </w:divBdr>
      <w:divsChild>
        <w:div w:id="1030567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10</Pages>
  <Words>3536</Words>
  <Characters>20158</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 Betigül Meral (Uzmn. Dr.)</dc:creator>
  <cp:keywords/>
  <dc:description/>
  <cp:lastModifiedBy>Hatice Betigül Meral (Uzmn. Dr.)</cp:lastModifiedBy>
  <cp:revision>15</cp:revision>
  <dcterms:created xsi:type="dcterms:W3CDTF">2025-11-17T14:35:00Z</dcterms:created>
  <dcterms:modified xsi:type="dcterms:W3CDTF">2025-11-20T13:07:00Z</dcterms:modified>
</cp:coreProperties>
</file>