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3E19E" w14:textId="020286C9" w:rsidR="006B6595" w:rsidRDefault="006B6595" w:rsidP="006B6595">
      <w:pPr>
        <w:pStyle w:val="Balk1"/>
        <w:spacing w:after="0"/>
        <w:rPr>
          <w:rFonts w:ascii="Times New Roman" w:eastAsiaTheme="minorHAnsi" w:hAnsi="Times New Roman" w:cs="Times New Roman"/>
          <w:sz w:val="24"/>
          <w:szCs w:val="24"/>
        </w:rPr>
      </w:pPr>
      <w:proofErr w:type="spellStart"/>
      <w:r w:rsidRPr="00A91927">
        <w:rPr>
          <w:rFonts w:ascii="Times New Roman" w:eastAsiaTheme="minorHAnsi" w:hAnsi="Times New Roman" w:cs="Times New Roman"/>
          <w:sz w:val="24"/>
          <w:szCs w:val="24"/>
        </w:rPr>
        <w:t>Appendix</w:t>
      </w:r>
      <w:proofErr w:type="spellEnd"/>
      <w:r w:rsidRPr="00A91927">
        <w:rPr>
          <w:rFonts w:ascii="Times New Roman" w:eastAsiaTheme="minorHAnsi" w:hAnsi="Times New Roman" w:cs="Times New Roman"/>
          <w:sz w:val="24"/>
          <w:szCs w:val="24"/>
        </w:rPr>
        <w:t xml:space="preserve"> </w:t>
      </w:r>
      <w:r>
        <w:rPr>
          <w:rFonts w:ascii="Times New Roman" w:hAnsi="Times New Roman" w:cs="Times New Roman"/>
          <w:sz w:val="24"/>
          <w:szCs w:val="24"/>
        </w:rPr>
        <w:t>C</w:t>
      </w:r>
      <w:r w:rsidRPr="00A91927">
        <w:rPr>
          <w:rFonts w:ascii="Times New Roman" w:eastAsiaTheme="minorHAnsi" w:hAnsi="Times New Roman" w:cs="Times New Roman"/>
          <w:sz w:val="24"/>
          <w:szCs w:val="24"/>
        </w:rPr>
        <w:t xml:space="preserve">. </w:t>
      </w:r>
      <w:r w:rsidRPr="006B6595">
        <w:rPr>
          <w:rFonts w:ascii="Times New Roman" w:hAnsi="Times New Roman" w:cs="Times New Roman"/>
          <w:sz w:val="24"/>
          <w:szCs w:val="24"/>
          <w:lang w:val="en-US"/>
        </w:rPr>
        <w:t>Evaluation metrics used in the study</w:t>
      </w:r>
    </w:p>
    <w:p w14:paraId="2DED8041" w14:textId="77777777" w:rsidR="006B6595" w:rsidRPr="006B6595" w:rsidRDefault="006B6595" w:rsidP="006B6595">
      <w:pPr>
        <w:rPr>
          <w:lang w:val="tr-TR" w:eastAsia="en-US"/>
        </w:rPr>
      </w:pPr>
    </w:p>
    <w:p w14:paraId="3AAB7460" w14:textId="76809725" w:rsidR="006B6595" w:rsidRDefault="006B6595" w:rsidP="006B6595">
      <w:pPr>
        <w:pStyle w:val="Gop-DzYaz"/>
        <w:spacing w:after="0"/>
        <w:ind w:firstLine="708"/>
      </w:pPr>
      <w:r>
        <w:t xml:space="preserve">This study investigates the capacity of AI-NPCs, deployed within the metaverse environment, to generate short, meaningful, and task-oriented responses to natural language queries from users. </w:t>
      </w:r>
      <w:r w:rsidRPr="00A54008">
        <w:t xml:space="preserve">For this purpose, the developed language models were benchmarked in terms of content quality and computational efficiency. The various quantitative metrics used in the evaluation process to measure model performance are summarized in Table </w:t>
      </w:r>
      <w:r>
        <w:t>5</w:t>
      </w:r>
      <w:r w:rsidRPr="00A54008">
        <w:t>.</w:t>
      </w:r>
    </w:p>
    <w:p w14:paraId="5E9C6189" w14:textId="77777777" w:rsidR="006B6595" w:rsidRDefault="006B6595" w:rsidP="006B6595">
      <w:pPr>
        <w:pStyle w:val="Gop-DzYaz"/>
        <w:spacing w:after="0" w:line="240" w:lineRule="auto"/>
      </w:pPr>
    </w:p>
    <w:p w14:paraId="3056BCBB" w14:textId="77777777" w:rsidR="006B6595" w:rsidRPr="00A54008" w:rsidRDefault="006B6595" w:rsidP="006B6595">
      <w:pPr>
        <w:tabs>
          <w:tab w:val="left" w:pos="2775"/>
        </w:tabs>
        <w:jc w:val="center"/>
        <w:rPr>
          <w:sz w:val="20"/>
          <w:szCs w:val="20"/>
        </w:rPr>
      </w:pPr>
      <w:r w:rsidRPr="00FF5CBA">
        <w:rPr>
          <w:b/>
          <w:bCs/>
          <w:sz w:val="20"/>
          <w:szCs w:val="20"/>
        </w:rPr>
        <w:t xml:space="preserve">Table </w:t>
      </w:r>
      <w:r>
        <w:rPr>
          <w:b/>
          <w:bCs/>
          <w:sz w:val="20"/>
          <w:szCs w:val="20"/>
        </w:rPr>
        <w:t>5</w:t>
      </w:r>
      <w:r w:rsidRPr="00FF5CBA">
        <w:rPr>
          <w:b/>
          <w:bCs/>
          <w:sz w:val="20"/>
          <w:szCs w:val="20"/>
        </w:rPr>
        <w:t>.</w:t>
      </w:r>
      <w:r w:rsidRPr="00FF5CBA">
        <w:rPr>
          <w:sz w:val="20"/>
          <w:szCs w:val="20"/>
        </w:rPr>
        <w:t xml:space="preserve"> </w:t>
      </w:r>
      <w:r w:rsidRPr="00A54008">
        <w:rPr>
          <w:sz w:val="20"/>
          <w:szCs w:val="20"/>
        </w:rPr>
        <w:t>Evaluation metrics used in the study</w:t>
      </w:r>
      <w:r>
        <w:rPr>
          <w:sz w:val="20"/>
          <w:szCs w:val="20"/>
        </w:rPr>
        <w:t>.</w:t>
      </w:r>
    </w:p>
    <w:tbl>
      <w:tblPr>
        <w:tblStyle w:val="TabloKlavuzu"/>
        <w:tblW w:w="0" w:type="auto"/>
        <w:tblLook w:val="04A0" w:firstRow="1" w:lastRow="0" w:firstColumn="1" w:lastColumn="0" w:noHBand="0" w:noVBand="1"/>
      </w:tblPr>
      <w:tblGrid>
        <w:gridCol w:w="1560"/>
        <w:gridCol w:w="1696"/>
        <w:gridCol w:w="2976"/>
        <w:gridCol w:w="2828"/>
      </w:tblGrid>
      <w:tr w:rsidR="006B6595" w14:paraId="54A46BD1" w14:textId="77777777" w:rsidTr="002757DB">
        <w:trPr>
          <w:trHeight w:val="169"/>
        </w:trPr>
        <w:tc>
          <w:tcPr>
            <w:tcW w:w="1560" w:type="dxa"/>
            <w:tcBorders>
              <w:left w:val="nil"/>
              <w:bottom w:val="single" w:sz="4" w:space="0" w:color="auto"/>
              <w:right w:val="nil"/>
            </w:tcBorders>
            <w:vAlign w:val="center"/>
          </w:tcPr>
          <w:p w14:paraId="0A93245C" w14:textId="77777777" w:rsidR="006B6595" w:rsidRPr="00A54008" w:rsidRDefault="006B6595" w:rsidP="002757DB">
            <w:pPr>
              <w:pStyle w:val="Gop-DzYaz"/>
              <w:spacing w:after="0"/>
              <w:ind w:firstLine="0"/>
              <w:jc w:val="left"/>
              <w:rPr>
                <w:sz w:val="20"/>
                <w:szCs w:val="20"/>
              </w:rPr>
            </w:pPr>
            <w:r w:rsidRPr="00A54008">
              <w:rPr>
                <w:b/>
                <w:bCs/>
                <w:sz w:val="20"/>
              </w:rPr>
              <w:t>Metric Name</w:t>
            </w:r>
          </w:p>
        </w:tc>
        <w:tc>
          <w:tcPr>
            <w:tcW w:w="1696" w:type="dxa"/>
            <w:tcBorders>
              <w:left w:val="nil"/>
              <w:bottom w:val="single" w:sz="4" w:space="0" w:color="auto"/>
              <w:right w:val="nil"/>
            </w:tcBorders>
            <w:vAlign w:val="center"/>
          </w:tcPr>
          <w:p w14:paraId="49E68968" w14:textId="77777777" w:rsidR="006B6595" w:rsidRPr="00A54008" w:rsidRDefault="006B6595" w:rsidP="002757DB">
            <w:pPr>
              <w:pStyle w:val="Gop-DzYaz"/>
              <w:spacing w:after="0"/>
              <w:ind w:firstLine="0"/>
              <w:jc w:val="left"/>
              <w:rPr>
                <w:sz w:val="20"/>
                <w:szCs w:val="20"/>
              </w:rPr>
            </w:pPr>
            <w:r w:rsidRPr="00A54008">
              <w:rPr>
                <w:b/>
                <w:bCs/>
                <w:sz w:val="20"/>
              </w:rPr>
              <w:t>Category</w:t>
            </w:r>
          </w:p>
        </w:tc>
        <w:tc>
          <w:tcPr>
            <w:tcW w:w="2976" w:type="dxa"/>
            <w:tcBorders>
              <w:left w:val="nil"/>
              <w:bottom w:val="single" w:sz="4" w:space="0" w:color="auto"/>
              <w:right w:val="nil"/>
            </w:tcBorders>
            <w:vAlign w:val="center"/>
          </w:tcPr>
          <w:p w14:paraId="2C322629" w14:textId="77777777" w:rsidR="006B6595" w:rsidRPr="00A54008" w:rsidRDefault="006B6595" w:rsidP="002757DB">
            <w:pPr>
              <w:pStyle w:val="Gop-DzYaz"/>
              <w:spacing w:after="0"/>
              <w:ind w:firstLine="0"/>
              <w:jc w:val="left"/>
              <w:rPr>
                <w:sz w:val="20"/>
                <w:szCs w:val="20"/>
              </w:rPr>
            </w:pPr>
            <w:r w:rsidRPr="00A54008">
              <w:rPr>
                <w:b/>
                <w:bCs/>
                <w:sz w:val="20"/>
              </w:rPr>
              <w:t>Primary Purpose</w:t>
            </w:r>
          </w:p>
        </w:tc>
        <w:tc>
          <w:tcPr>
            <w:tcW w:w="2828" w:type="dxa"/>
            <w:tcBorders>
              <w:left w:val="nil"/>
              <w:bottom w:val="single" w:sz="4" w:space="0" w:color="auto"/>
              <w:right w:val="nil"/>
            </w:tcBorders>
            <w:vAlign w:val="center"/>
          </w:tcPr>
          <w:p w14:paraId="1AEEC265" w14:textId="77777777" w:rsidR="006B6595" w:rsidRPr="00A54008" w:rsidRDefault="006B6595" w:rsidP="002757DB">
            <w:pPr>
              <w:pStyle w:val="Gop-DzYaz"/>
              <w:spacing w:after="0"/>
              <w:ind w:firstLine="0"/>
              <w:jc w:val="left"/>
              <w:rPr>
                <w:sz w:val="20"/>
                <w:szCs w:val="20"/>
              </w:rPr>
            </w:pPr>
            <w:r w:rsidRPr="00A54008">
              <w:rPr>
                <w:b/>
                <w:bCs/>
                <w:sz w:val="20"/>
              </w:rPr>
              <w:t xml:space="preserve">Description </w:t>
            </w:r>
          </w:p>
        </w:tc>
      </w:tr>
      <w:tr w:rsidR="006B6595" w14:paraId="27FA314B" w14:textId="77777777" w:rsidTr="002757DB">
        <w:tc>
          <w:tcPr>
            <w:tcW w:w="1560" w:type="dxa"/>
            <w:tcBorders>
              <w:left w:val="nil"/>
              <w:bottom w:val="nil"/>
              <w:right w:val="nil"/>
            </w:tcBorders>
            <w:vAlign w:val="center"/>
          </w:tcPr>
          <w:p w14:paraId="42C90392" w14:textId="77777777" w:rsidR="006B6595" w:rsidRPr="00A54008" w:rsidRDefault="006B6595" w:rsidP="002757DB">
            <w:pPr>
              <w:pStyle w:val="Gop-DzYaz"/>
              <w:spacing w:after="0" w:line="240" w:lineRule="auto"/>
              <w:ind w:firstLine="0"/>
              <w:jc w:val="left"/>
              <w:rPr>
                <w:b/>
                <w:bCs/>
                <w:sz w:val="20"/>
              </w:rPr>
            </w:pPr>
            <w:r w:rsidRPr="00A54008">
              <w:rPr>
                <w:sz w:val="20"/>
                <w:szCs w:val="20"/>
              </w:rPr>
              <w:t>Perplexity Score</w:t>
            </w:r>
          </w:p>
        </w:tc>
        <w:tc>
          <w:tcPr>
            <w:tcW w:w="1696" w:type="dxa"/>
            <w:tcBorders>
              <w:left w:val="nil"/>
              <w:bottom w:val="nil"/>
              <w:right w:val="nil"/>
            </w:tcBorders>
            <w:vAlign w:val="center"/>
          </w:tcPr>
          <w:p w14:paraId="349ADF4B" w14:textId="77777777" w:rsidR="006B6595" w:rsidRPr="00A54008" w:rsidRDefault="006B6595" w:rsidP="002757DB">
            <w:pPr>
              <w:pStyle w:val="Gop-DzYaz"/>
              <w:spacing w:after="0" w:line="240" w:lineRule="auto"/>
              <w:ind w:firstLine="0"/>
              <w:jc w:val="left"/>
              <w:rPr>
                <w:b/>
                <w:bCs/>
                <w:sz w:val="20"/>
              </w:rPr>
            </w:pPr>
            <w:r w:rsidRPr="00A54008">
              <w:rPr>
                <w:sz w:val="20"/>
                <w:szCs w:val="20"/>
              </w:rPr>
              <w:t>Content Quality</w:t>
            </w:r>
          </w:p>
        </w:tc>
        <w:tc>
          <w:tcPr>
            <w:tcW w:w="2976" w:type="dxa"/>
            <w:tcBorders>
              <w:left w:val="nil"/>
              <w:bottom w:val="nil"/>
              <w:right w:val="nil"/>
            </w:tcBorders>
            <w:vAlign w:val="center"/>
          </w:tcPr>
          <w:p w14:paraId="3474FF43" w14:textId="77777777" w:rsidR="006B6595" w:rsidRPr="00A54008" w:rsidRDefault="006B6595" w:rsidP="002757DB">
            <w:pPr>
              <w:pStyle w:val="Gop-DzYaz"/>
              <w:spacing w:after="0" w:line="240" w:lineRule="auto"/>
              <w:ind w:firstLine="0"/>
              <w:jc w:val="left"/>
              <w:rPr>
                <w:b/>
                <w:bCs/>
                <w:sz w:val="20"/>
              </w:rPr>
            </w:pPr>
            <w:r w:rsidRPr="00A54008">
              <w:rPr>
                <w:sz w:val="20"/>
                <w:szCs w:val="20"/>
              </w:rPr>
              <w:t>Measures how well a language model predicts the next word</w:t>
            </w:r>
          </w:p>
        </w:tc>
        <w:tc>
          <w:tcPr>
            <w:tcW w:w="2828" w:type="dxa"/>
            <w:tcBorders>
              <w:left w:val="nil"/>
              <w:bottom w:val="nil"/>
              <w:right w:val="nil"/>
            </w:tcBorders>
            <w:vAlign w:val="center"/>
          </w:tcPr>
          <w:p w14:paraId="07717DF7" w14:textId="77777777" w:rsidR="006B6595" w:rsidRPr="00A54008" w:rsidRDefault="006B6595" w:rsidP="002757DB">
            <w:pPr>
              <w:pStyle w:val="Gop-DzYaz"/>
              <w:spacing w:after="0" w:line="240" w:lineRule="auto"/>
              <w:ind w:firstLine="0"/>
              <w:jc w:val="left"/>
              <w:rPr>
                <w:b/>
                <w:bCs/>
                <w:sz w:val="20"/>
              </w:rPr>
            </w:pPr>
            <w:r w:rsidRPr="00A54008">
              <w:rPr>
                <w:sz w:val="20"/>
                <w:szCs w:val="20"/>
              </w:rPr>
              <w:t>Lower perplexity indicates more fluent and predictable text</w:t>
            </w:r>
          </w:p>
        </w:tc>
      </w:tr>
      <w:tr w:rsidR="006B6595" w14:paraId="63AC48D0" w14:textId="77777777" w:rsidTr="002757DB">
        <w:tc>
          <w:tcPr>
            <w:tcW w:w="1560" w:type="dxa"/>
            <w:tcBorders>
              <w:top w:val="nil"/>
              <w:left w:val="nil"/>
              <w:bottom w:val="nil"/>
              <w:right w:val="nil"/>
            </w:tcBorders>
            <w:vAlign w:val="center"/>
          </w:tcPr>
          <w:p w14:paraId="4441C571" w14:textId="77777777" w:rsidR="006B6595" w:rsidRPr="00A54008" w:rsidRDefault="006B6595" w:rsidP="002757DB">
            <w:pPr>
              <w:pStyle w:val="Gop-DzYaz"/>
              <w:spacing w:after="0" w:line="240" w:lineRule="auto"/>
              <w:ind w:firstLine="0"/>
              <w:jc w:val="left"/>
              <w:rPr>
                <w:b/>
                <w:bCs/>
                <w:sz w:val="20"/>
              </w:rPr>
            </w:pPr>
            <w:r w:rsidRPr="00A54008">
              <w:rPr>
                <w:sz w:val="20"/>
                <w:szCs w:val="20"/>
              </w:rPr>
              <w:t>Layer-Freezing Perf.</w:t>
            </w:r>
          </w:p>
        </w:tc>
        <w:tc>
          <w:tcPr>
            <w:tcW w:w="1696" w:type="dxa"/>
            <w:tcBorders>
              <w:top w:val="nil"/>
              <w:left w:val="nil"/>
              <w:bottom w:val="nil"/>
              <w:right w:val="nil"/>
            </w:tcBorders>
            <w:vAlign w:val="center"/>
          </w:tcPr>
          <w:p w14:paraId="2A40468F" w14:textId="77777777" w:rsidR="006B6595" w:rsidRPr="00A54008" w:rsidRDefault="006B6595" w:rsidP="002757DB">
            <w:pPr>
              <w:pStyle w:val="Gop-DzYaz"/>
              <w:spacing w:after="0" w:line="240" w:lineRule="auto"/>
              <w:ind w:firstLine="0"/>
              <w:jc w:val="left"/>
              <w:rPr>
                <w:b/>
                <w:bCs/>
                <w:sz w:val="20"/>
              </w:rPr>
            </w:pPr>
            <w:r w:rsidRPr="00A54008">
              <w:rPr>
                <w:sz w:val="20"/>
                <w:szCs w:val="20"/>
              </w:rPr>
              <w:t>Computational Efficiency</w:t>
            </w:r>
          </w:p>
        </w:tc>
        <w:tc>
          <w:tcPr>
            <w:tcW w:w="2976" w:type="dxa"/>
            <w:tcBorders>
              <w:top w:val="nil"/>
              <w:left w:val="nil"/>
              <w:bottom w:val="nil"/>
              <w:right w:val="nil"/>
            </w:tcBorders>
            <w:vAlign w:val="center"/>
          </w:tcPr>
          <w:p w14:paraId="7EDFB2DD" w14:textId="77777777" w:rsidR="006B6595" w:rsidRPr="00A54008" w:rsidRDefault="006B6595" w:rsidP="002757DB">
            <w:pPr>
              <w:pStyle w:val="Gop-DzYaz"/>
              <w:spacing w:after="0" w:line="240" w:lineRule="auto"/>
              <w:ind w:firstLine="0"/>
              <w:jc w:val="left"/>
              <w:rPr>
                <w:b/>
                <w:bCs/>
                <w:sz w:val="20"/>
              </w:rPr>
            </w:pPr>
            <w:r w:rsidRPr="00A54008">
              <w:rPr>
                <w:sz w:val="20"/>
                <w:szCs w:val="20"/>
              </w:rPr>
              <w:t>Evaluates which layers to train during transfer learning</w:t>
            </w:r>
          </w:p>
        </w:tc>
        <w:tc>
          <w:tcPr>
            <w:tcW w:w="2828" w:type="dxa"/>
            <w:tcBorders>
              <w:top w:val="nil"/>
              <w:left w:val="nil"/>
              <w:bottom w:val="nil"/>
              <w:right w:val="nil"/>
            </w:tcBorders>
            <w:vAlign w:val="center"/>
          </w:tcPr>
          <w:p w14:paraId="66DDBD19" w14:textId="77777777" w:rsidR="006B6595" w:rsidRPr="00A54008" w:rsidRDefault="006B6595" w:rsidP="002757DB">
            <w:pPr>
              <w:pStyle w:val="Gop-DzYaz"/>
              <w:spacing w:after="0" w:line="240" w:lineRule="auto"/>
              <w:ind w:firstLine="0"/>
              <w:jc w:val="left"/>
              <w:rPr>
                <w:b/>
                <w:bCs/>
                <w:sz w:val="20"/>
              </w:rPr>
            </w:pPr>
            <w:r w:rsidRPr="00A54008">
              <w:rPr>
                <w:sz w:val="20"/>
                <w:szCs w:val="20"/>
              </w:rPr>
              <w:t>Aims to reduce computational cost while maintaining similar performance</w:t>
            </w:r>
          </w:p>
        </w:tc>
      </w:tr>
      <w:tr w:rsidR="006B6595" w14:paraId="636657F4" w14:textId="77777777" w:rsidTr="002757DB">
        <w:tc>
          <w:tcPr>
            <w:tcW w:w="1560" w:type="dxa"/>
            <w:tcBorders>
              <w:top w:val="nil"/>
              <w:left w:val="nil"/>
              <w:bottom w:val="nil"/>
              <w:right w:val="nil"/>
            </w:tcBorders>
            <w:vAlign w:val="center"/>
          </w:tcPr>
          <w:p w14:paraId="63724082" w14:textId="77777777" w:rsidR="006B6595" w:rsidRPr="00A54008" w:rsidRDefault="006B6595" w:rsidP="002757DB">
            <w:pPr>
              <w:pStyle w:val="Gop-DzYaz"/>
              <w:spacing w:after="0" w:line="240" w:lineRule="auto"/>
              <w:ind w:firstLine="0"/>
              <w:jc w:val="left"/>
              <w:rPr>
                <w:b/>
                <w:bCs/>
                <w:sz w:val="20"/>
              </w:rPr>
            </w:pPr>
            <w:r w:rsidRPr="00A54008">
              <w:rPr>
                <w:sz w:val="20"/>
                <w:szCs w:val="20"/>
              </w:rPr>
              <w:t>BLEU</w:t>
            </w:r>
          </w:p>
        </w:tc>
        <w:tc>
          <w:tcPr>
            <w:tcW w:w="1696" w:type="dxa"/>
            <w:tcBorders>
              <w:top w:val="nil"/>
              <w:left w:val="nil"/>
              <w:bottom w:val="nil"/>
              <w:right w:val="nil"/>
            </w:tcBorders>
            <w:vAlign w:val="center"/>
          </w:tcPr>
          <w:p w14:paraId="3121991D" w14:textId="77777777" w:rsidR="006B6595" w:rsidRPr="00A54008" w:rsidRDefault="006B6595" w:rsidP="002757DB">
            <w:pPr>
              <w:pStyle w:val="Gop-DzYaz"/>
              <w:spacing w:after="0" w:line="240" w:lineRule="auto"/>
              <w:ind w:firstLine="0"/>
              <w:jc w:val="left"/>
              <w:rPr>
                <w:b/>
                <w:bCs/>
                <w:sz w:val="20"/>
              </w:rPr>
            </w:pPr>
            <w:r w:rsidRPr="00A54008">
              <w:rPr>
                <w:sz w:val="20"/>
                <w:szCs w:val="20"/>
              </w:rPr>
              <w:t>Content Quality</w:t>
            </w:r>
          </w:p>
        </w:tc>
        <w:tc>
          <w:tcPr>
            <w:tcW w:w="2976" w:type="dxa"/>
            <w:tcBorders>
              <w:top w:val="nil"/>
              <w:left w:val="nil"/>
              <w:bottom w:val="nil"/>
              <w:right w:val="nil"/>
            </w:tcBorders>
            <w:vAlign w:val="center"/>
          </w:tcPr>
          <w:p w14:paraId="70FBB7DD" w14:textId="77777777" w:rsidR="006B6595" w:rsidRPr="00A54008" w:rsidRDefault="006B6595" w:rsidP="002757DB">
            <w:pPr>
              <w:pStyle w:val="Gop-DzYaz"/>
              <w:spacing w:after="0" w:line="240" w:lineRule="auto"/>
              <w:ind w:firstLine="0"/>
              <w:jc w:val="left"/>
              <w:rPr>
                <w:b/>
                <w:bCs/>
                <w:sz w:val="20"/>
              </w:rPr>
            </w:pPr>
            <w:r w:rsidRPr="00A54008">
              <w:rPr>
                <w:sz w:val="20"/>
                <w:szCs w:val="20"/>
              </w:rPr>
              <w:t>Measures n-gram overlap between generated and reference text</w:t>
            </w:r>
          </w:p>
        </w:tc>
        <w:tc>
          <w:tcPr>
            <w:tcW w:w="2828" w:type="dxa"/>
            <w:tcBorders>
              <w:top w:val="nil"/>
              <w:left w:val="nil"/>
              <w:bottom w:val="nil"/>
              <w:right w:val="nil"/>
            </w:tcBorders>
            <w:vAlign w:val="center"/>
          </w:tcPr>
          <w:p w14:paraId="03C97A52" w14:textId="77777777" w:rsidR="006B6595" w:rsidRPr="00A54008" w:rsidRDefault="006B6595" w:rsidP="002757DB">
            <w:pPr>
              <w:pStyle w:val="Gop-DzYaz"/>
              <w:spacing w:after="0" w:line="240" w:lineRule="auto"/>
              <w:ind w:firstLine="0"/>
              <w:jc w:val="left"/>
              <w:rPr>
                <w:b/>
                <w:bCs/>
                <w:sz w:val="20"/>
              </w:rPr>
            </w:pPr>
            <w:r w:rsidRPr="00A54008">
              <w:rPr>
                <w:sz w:val="20"/>
                <w:szCs w:val="20"/>
              </w:rPr>
              <w:t>Common in machine translation and summarization tasks</w:t>
            </w:r>
          </w:p>
        </w:tc>
      </w:tr>
      <w:tr w:rsidR="006B6595" w14:paraId="77D7981A" w14:textId="77777777" w:rsidTr="002757DB">
        <w:tc>
          <w:tcPr>
            <w:tcW w:w="1560" w:type="dxa"/>
            <w:tcBorders>
              <w:top w:val="nil"/>
              <w:left w:val="nil"/>
              <w:bottom w:val="nil"/>
              <w:right w:val="nil"/>
            </w:tcBorders>
            <w:vAlign w:val="center"/>
          </w:tcPr>
          <w:p w14:paraId="6849265F" w14:textId="77777777" w:rsidR="006B6595" w:rsidRPr="00A54008" w:rsidRDefault="006B6595" w:rsidP="002757DB">
            <w:pPr>
              <w:pStyle w:val="Gop-DzYaz"/>
              <w:spacing w:after="0" w:line="240" w:lineRule="auto"/>
              <w:ind w:firstLine="0"/>
              <w:jc w:val="left"/>
              <w:rPr>
                <w:b/>
                <w:bCs/>
                <w:sz w:val="20"/>
              </w:rPr>
            </w:pPr>
            <w:r w:rsidRPr="00A54008">
              <w:rPr>
                <w:sz w:val="20"/>
                <w:szCs w:val="20"/>
              </w:rPr>
              <w:t>METEOR</w:t>
            </w:r>
          </w:p>
        </w:tc>
        <w:tc>
          <w:tcPr>
            <w:tcW w:w="1696" w:type="dxa"/>
            <w:tcBorders>
              <w:top w:val="nil"/>
              <w:left w:val="nil"/>
              <w:bottom w:val="nil"/>
              <w:right w:val="nil"/>
            </w:tcBorders>
            <w:vAlign w:val="center"/>
          </w:tcPr>
          <w:p w14:paraId="5951F895" w14:textId="77777777" w:rsidR="006B6595" w:rsidRPr="00A54008" w:rsidRDefault="006B6595" w:rsidP="002757DB">
            <w:pPr>
              <w:pStyle w:val="Gop-DzYaz"/>
              <w:spacing w:after="0" w:line="240" w:lineRule="auto"/>
              <w:ind w:firstLine="0"/>
              <w:jc w:val="left"/>
              <w:rPr>
                <w:b/>
                <w:bCs/>
                <w:sz w:val="20"/>
              </w:rPr>
            </w:pPr>
            <w:r w:rsidRPr="00A54008">
              <w:rPr>
                <w:sz w:val="20"/>
                <w:szCs w:val="20"/>
              </w:rPr>
              <w:t>Content Quality</w:t>
            </w:r>
          </w:p>
        </w:tc>
        <w:tc>
          <w:tcPr>
            <w:tcW w:w="2976" w:type="dxa"/>
            <w:tcBorders>
              <w:top w:val="nil"/>
              <w:left w:val="nil"/>
              <w:bottom w:val="nil"/>
              <w:right w:val="nil"/>
            </w:tcBorders>
            <w:vAlign w:val="center"/>
          </w:tcPr>
          <w:p w14:paraId="38BA3F73" w14:textId="77777777" w:rsidR="006B6595" w:rsidRPr="00A54008" w:rsidRDefault="006B6595" w:rsidP="002757DB">
            <w:pPr>
              <w:pStyle w:val="Gop-DzYaz"/>
              <w:spacing w:after="0" w:line="240" w:lineRule="auto"/>
              <w:ind w:firstLine="0"/>
              <w:jc w:val="left"/>
              <w:rPr>
                <w:b/>
                <w:bCs/>
                <w:sz w:val="20"/>
              </w:rPr>
            </w:pPr>
            <w:r w:rsidRPr="00A54008">
              <w:rPr>
                <w:sz w:val="20"/>
                <w:szCs w:val="20"/>
              </w:rPr>
              <w:t>Improves upon BLEU by accounting for semantics and word order</w:t>
            </w:r>
          </w:p>
        </w:tc>
        <w:tc>
          <w:tcPr>
            <w:tcW w:w="2828" w:type="dxa"/>
            <w:tcBorders>
              <w:top w:val="nil"/>
              <w:left w:val="nil"/>
              <w:bottom w:val="nil"/>
              <w:right w:val="nil"/>
            </w:tcBorders>
            <w:vAlign w:val="center"/>
          </w:tcPr>
          <w:p w14:paraId="5C20F804" w14:textId="77777777" w:rsidR="006B6595" w:rsidRPr="00A54008" w:rsidRDefault="006B6595" w:rsidP="002757DB">
            <w:pPr>
              <w:pStyle w:val="Gop-DzYaz"/>
              <w:spacing w:after="0" w:line="240" w:lineRule="auto"/>
              <w:ind w:firstLine="0"/>
              <w:jc w:val="left"/>
              <w:rPr>
                <w:b/>
                <w:bCs/>
                <w:sz w:val="20"/>
              </w:rPr>
            </w:pPr>
            <w:r w:rsidRPr="00A54008">
              <w:rPr>
                <w:sz w:val="20"/>
                <w:szCs w:val="20"/>
              </w:rPr>
              <w:t>Considers synonyms, stemming, and word alignment</w:t>
            </w:r>
          </w:p>
        </w:tc>
      </w:tr>
      <w:tr w:rsidR="006B6595" w14:paraId="31C7FEA5" w14:textId="77777777" w:rsidTr="002757DB">
        <w:tc>
          <w:tcPr>
            <w:tcW w:w="1560" w:type="dxa"/>
            <w:tcBorders>
              <w:top w:val="nil"/>
              <w:left w:val="nil"/>
              <w:bottom w:val="nil"/>
              <w:right w:val="nil"/>
            </w:tcBorders>
            <w:vAlign w:val="center"/>
          </w:tcPr>
          <w:p w14:paraId="24F317CE" w14:textId="77777777" w:rsidR="006B6595" w:rsidRPr="00A54008" w:rsidRDefault="006B6595" w:rsidP="002757DB">
            <w:pPr>
              <w:pStyle w:val="Gop-DzYaz"/>
              <w:spacing w:after="0" w:line="240" w:lineRule="auto"/>
              <w:ind w:firstLine="0"/>
              <w:jc w:val="left"/>
              <w:rPr>
                <w:b/>
                <w:bCs/>
                <w:sz w:val="20"/>
              </w:rPr>
            </w:pPr>
            <w:r w:rsidRPr="00A54008">
              <w:rPr>
                <w:sz w:val="20"/>
                <w:szCs w:val="20"/>
              </w:rPr>
              <w:t>ROUGE-L</w:t>
            </w:r>
          </w:p>
        </w:tc>
        <w:tc>
          <w:tcPr>
            <w:tcW w:w="1696" w:type="dxa"/>
            <w:tcBorders>
              <w:top w:val="nil"/>
              <w:left w:val="nil"/>
              <w:bottom w:val="nil"/>
              <w:right w:val="nil"/>
            </w:tcBorders>
            <w:vAlign w:val="center"/>
          </w:tcPr>
          <w:p w14:paraId="1CE50524" w14:textId="77777777" w:rsidR="006B6595" w:rsidRPr="00A54008" w:rsidRDefault="006B6595" w:rsidP="002757DB">
            <w:pPr>
              <w:pStyle w:val="Gop-DzYaz"/>
              <w:spacing w:after="0" w:line="240" w:lineRule="auto"/>
              <w:ind w:firstLine="0"/>
              <w:jc w:val="left"/>
              <w:rPr>
                <w:b/>
                <w:bCs/>
                <w:sz w:val="20"/>
              </w:rPr>
            </w:pPr>
            <w:r w:rsidRPr="00A54008">
              <w:rPr>
                <w:sz w:val="20"/>
                <w:szCs w:val="20"/>
              </w:rPr>
              <w:t>Content Quality</w:t>
            </w:r>
          </w:p>
        </w:tc>
        <w:tc>
          <w:tcPr>
            <w:tcW w:w="2976" w:type="dxa"/>
            <w:tcBorders>
              <w:top w:val="nil"/>
              <w:left w:val="nil"/>
              <w:bottom w:val="nil"/>
              <w:right w:val="nil"/>
            </w:tcBorders>
            <w:vAlign w:val="center"/>
          </w:tcPr>
          <w:p w14:paraId="1902FE9D" w14:textId="77777777" w:rsidR="006B6595" w:rsidRPr="00A54008" w:rsidRDefault="006B6595" w:rsidP="002757DB">
            <w:pPr>
              <w:pStyle w:val="Gop-DzYaz"/>
              <w:spacing w:after="0" w:line="240" w:lineRule="auto"/>
              <w:ind w:firstLine="0"/>
              <w:jc w:val="left"/>
              <w:rPr>
                <w:b/>
                <w:bCs/>
                <w:sz w:val="20"/>
              </w:rPr>
            </w:pPr>
            <w:r w:rsidRPr="00A54008">
              <w:rPr>
                <w:sz w:val="20"/>
                <w:szCs w:val="20"/>
              </w:rPr>
              <w:t>Measures overlap between summaries and references</w:t>
            </w:r>
          </w:p>
        </w:tc>
        <w:tc>
          <w:tcPr>
            <w:tcW w:w="2828" w:type="dxa"/>
            <w:tcBorders>
              <w:top w:val="nil"/>
              <w:left w:val="nil"/>
              <w:bottom w:val="nil"/>
              <w:right w:val="nil"/>
            </w:tcBorders>
            <w:vAlign w:val="center"/>
          </w:tcPr>
          <w:p w14:paraId="22EE79EB" w14:textId="77777777" w:rsidR="006B6595" w:rsidRPr="00A54008" w:rsidRDefault="006B6595" w:rsidP="002757DB">
            <w:pPr>
              <w:pStyle w:val="Gop-DzYaz"/>
              <w:spacing w:after="0" w:line="240" w:lineRule="auto"/>
              <w:ind w:firstLine="0"/>
              <w:jc w:val="left"/>
              <w:rPr>
                <w:b/>
                <w:bCs/>
                <w:sz w:val="20"/>
              </w:rPr>
            </w:pPr>
            <w:r w:rsidRPr="00A54008">
              <w:rPr>
                <w:sz w:val="20"/>
                <w:szCs w:val="20"/>
              </w:rPr>
              <w:t>Uses Longest Common Subsequence (LCS) for comparison</w:t>
            </w:r>
          </w:p>
        </w:tc>
      </w:tr>
      <w:tr w:rsidR="006B6595" w14:paraId="3674F772" w14:textId="77777777" w:rsidTr="002757DB">
        <w:tc>
          <w:tcPr>
            <w:tcW w:w="1560" w:type="dxa"/>
            <w:tcBorders>
              <w:top w:val="nil"/>
              <w:left w:val="nil"/>
              <w:bottom w:val="nil"/>
              <w:right w:val="nil"/>
            </w:tcBorders>
            <w:vAlign w:val="center"/>
          </w:tcPr>
          <w:p w14:paraId="6080C459" w14:textId="77777777" w:rsidR="006B6595" w:rsidRPr="00A54008" w:rsidRDefault="006B6595" w:rsidP="002757DB">
            <w:pPr>
              <w:pStyle w:val="Gop-DzYaz"/>
              <w:spacing w:after="0" w:line="240" w:lineRule="auto"/>
              <w:ind w:firstLine="0"/>
              <w:jc w:val="left"/>
              <w:rPr>
                <w:b/>
                <w:bCs/>
                <w:sz w:val="20"/>
              </w:rPr>
            </w:pPr>
            <w:r w:rsidRPr="00A54008">
              <w:rPr>
                <w:sz w:val="20"/>
                <w:szCs w:val="20"/>
              </w:rPr>
              <w:t>Inference Time</w:t>
            </w:r>
          </w:p>
        </w:tc>
        <w:tc>
          <w:tcPr>
            <w:tcW w:w="1696" w:type="dxa"/>
            <w:tcBorders>
              <w:top w:val="nil"/>
              <w:left w:val="nil"/>
              <w:bottom w:val="nil"/>
              <w:right w:val="nil"/>
            </w:tcBorders>
            <w:vAlign w:val="center"/>
          </w:tcPr>
          <w:p w14:paraId="46F98451" w14:textId="77777777" w:rsidR="006B6595" w:rsidRPr="00A54008" w:rsidRDefault="006B6595" w:rsidP="002757DB">
            <w:pPr>
              <w:pStyle w:val="Gop-DzYaz"/>
              <w:spacing w:after="0" w:line="240" w:lineRule="auto"/>
              <w:ind w:firstLine="0"/>
              <w:jc w:val="left"/>
              <w:rPr>
                <w:b/>
                <w:bCs/>
                <w:sz w:val="20"/>
              </w:rPr>
            </w:pPr>
            <w:r w:rsidRPr="00A54008">
              <w:rPr>
                <w:sz w:val="20"/>
                <w:szCs w:val="20"/>
              </w:rPr>
              <w:t>Computational Efficiency</w:t>
            </w:r>
          </w:p>
        </w:tc>
        <w:tc>
          <w:tcPr>
            <w:tcW w:w="2976" w:type="dxa"/>
            <w:tcBorders>
              <w:top w:val="nil"/>
              <w:left w:val="nil"/>
              <w:bottom w:val="nil"/>
              <w:right w:val="nil"/>
            </w:tcBorders>
            <w:vAlign w:val="center"/>
          </w:tcPr>
          <w:p w14:paraId="6D55E62C" w14:textId="77777777" w:rsidR="006B6595" w:rsidRPr="00A54008" w:rsidRDefault="006B6595" w:rsidP="002757DB">
            <w:pPr>
              <w:pStyle w:val="Gop-DzYaz"/>
              <w:spacing w:after="0" w:line="240" w:lineRule="auto"/>
              <w:ind w:firstLine="0"/>
              <w:jc w:val="left"/>
              <w:rPr>
                <w:b/>
                <w:bCs/>
                <w:sz w:val="20"/>
              </w:rPr>
            </w:pPr>
            <w:r w:rsidRPr="00A54008">
              <w:rPr>
                <w:sz w:val="20"/>
                <w:szCs w:val="20"/>
              </w:rPr>
              <w:t>Measures how fast a model generates a response</w:t>
            </w:r>
          </w:p>
        </w:tc>
        <w:tc>
          <w:tcPr>
            <w:tcW w:w="2828" w:type="dxa"/>
            <w:tcBorders>
              <w:top w:val="nil"/>
              <w:left w:val="nil"/>
              <w:bottom w:val="nil"/>
              <w:right w:val="nil"/>
            </w:tcBorders>
            <w:vAlign w:val="center"/>
          </w:tcPr>
          <w:p w14:paraId="136C2285" w14:textId="77777777" w:rsidR="006B6595" w:rsidRPr="00A54008" w:rsidRDefault="006B6595" w:rsidP="002757DB">
            <w:pPr>
              <w:pStyle w:val="Gop-DzYaz"/>
              <w:spacing w:after="0" w:line="240" w:lineRule="auto"/>
              <w:ind w:firstLine="0"/>
              <w:jc w:val="left"/>
              <w:rPr>
                <w:b/>
                <w:bCs/>
                <w:sz w:val="20"/>
              </w:rPr>
            </w:pPr>
            <w:r w:rsidRPr="00A54008">
              <w:rPr>
                <w:sz w:val="20"/>
                <w:szCs w:val="20"/>
              </w:rPr>
              <w:t>Crucial for real-time applications</w:t>
            </w:r>
          </w:p>
        </w:tc>
      </w:tr>
      <w:tr w:rsidR="006B6595" w14:paraId="7860FB5D" w14:textId="77777777" w:rsidTr="002757DB">
        <w:tc>
          <w:tcPr>
            <w:tcW w:w="1560" w:type="dxa"/>
            <w:tcBorders>
              <w:top w:val="nil"/>
              <w:left w:val="nil"/>
              <w:bottom w:val="nil"/>
              <w:right w:val="nil"/>
            </w:tcBorders>
            <w:vAlign w:val="center"/>
          </w:tcPr>
          <w:p w14:paraId="4045B3EB" w14:textId="77777777" w:rsidR="006B6595" w:rsidRPr="00A54008" w:rsidRDefault="006B6595" w:rsidP="002757DB">
            <w:pPr>
              <w:pStyle w:val="Gop-DzYaz"/>
              <w:spacing w:after="0" w:line="240" w:lineRule="auto"/>
              <w:ind w:firstLine="0"/>
              <w:jc w:val="left"/>
              <w:rPr>
                <w:b/>
                <w:bCs/>
                <w:sz w:val="20"/>
              </w:rPr>
            </w:pPr>
            <w:r w:rsidRPr="00A54008">
              <w:rPr>
                <w:sz w:val="20"/>
                <w:szCs w:val="20"/>
              </w:rPr>
              <w:t>BERTScore</w:t>
            </w:r>
          </w:p>
        </w:tc>
        <w:tc>
          <w:tcPr>
            <w:tcW w:w="1696" w:type="dxa"/>
            <w:tcBorders>
              <w:top w:val="nil"/>
              <w:left w:val="nil"/>
              <w:bottom w:val="nil"/>
              <w:right w:val="nil"/>
            </w:tcBorders>
            <w:vAlign w:val="center"/>
          </w:tcPr>
          <w:p w14:paraId="4D14209A" w14:textId="77777777" w:rsidR="006B6595" w:rsidRPr="00A54008" w:rsidRDefault="006B6595" w:rsidP="002757DB">
            <w:pPr>
              <w:pStyle w:val="Gop-DzYaz"/>
              <w:spacing w:after="0" w:line="240" w:lineRule="auto"/>
              <w:ind w:firstLine="0"/>
              <w:jc w:val="left"/>
              <w:rPr>
                <w:b/>
                <w:bCs/>
                <w:sz w:val="20"/>
              </w:rPr>
            </w:pPr>
            <w:r w:rsidRPr="00A54008">
              <w:rPr>
                <w:sz w:val="20"/>
                <w:szCs w:val="20"/>
              </w:rPr>
              <w:t>Semantic Quality</w:t>
            </w:r>
          </w:p>
        </w:tc>
        <w:tc>
          <w:tcPr>
            <w:tcW w:w="2976" w:type="dxa"/>
            <w:tcBorders>
              <w:top w:val="nil"/>
              <w:left w:val="nil"/>
              <w:bottom w:val="nil"/>
              <w:right w:val="nil"/>
            </w:tcBorders>
            <w:vAlign w:val="center"/>
          </w:tcPr>
          <w:p w14:paraId="183392CF" w14:textId="77777777" w:rsidR="006B6595" w:rsidRPr="00A54008" w:rsidRDefault="006B6595" w:rsidP="002757DB">
            <w:pPr>
              <w:pStyle w:val="Gop-DzYaz"/>
              <w:spacing w:after="0" w:line="240" w:lineRule="auto"/>
              <w:ind w:firstLine="0"/>
              <w:jc w:val="left"/>
              <w:rPr>
                <w:b/>
                <w:bCs/>
                <w:sz w:val="20"/>
              </w:rPr>
            </w:pPr>
            <w:r w:rsidRPr="00A54008">
              <w:rPr>
                <w:sz w:val="20"/>
                <w:szCs w:val="20"/>
              </w:rPr>
              <w:t>Measures semantic similarity between generated and reference text</w:t>
            </w:r>
          </w:p>
        </w:tc>
        <w:tc>
          <w:tcPr>
            <w:tcW w:w="2828" w:type="dxa"/>
            <w:tcBorders>
              <w:top w:val="nil"/>
              <w:left w:val="nil"/>
              <w:bottom w:val="nil"/>
              <w:right w:val="nil"/>
            </w:tcBorders>
            <w:vAlign w:val="center"/>
          </w:tcPr>
          <w:p w14:paraId="0D93C108" w14:textId="77777777" w:rsidR="006B6595" w:rsidRPr="00A54008" w:rsidRDefault="006B6595" w:rsidP="002757DB">
            <w:pPr>
              <w:pStyle w:val="Gop-DzYaz"/>
              <w:spacing w:after="0" w:line="240" w:lineRule="auto"/>
              <w:ind w:firstLine="0"/>
              <w:jc w:val="left"/>
              <w:rPr>
                <w:b/>
                <w:bCs/>
                <w:sz w:val="20"/>
              </w:rPr>
            </w:pPr>
            <w:r w:rsidRPr="00A54008">
              <w:rPr>
                <w:sz w:val="20"/>
                <w:szCs w:val="20"/>
              </w:rPr>
              <w:t>Computes cosine similarity using BERT-based embeddings</w:t>
            </w:r>
          </w:p>
        </w:tc>
      </w:tr>
      <w:tr w:rsidR="006B6595" w14:paraId="7CD26804" w14:textId="77777777" w:rsidTr="002757DB">
        <w:tc>
          <w:tcPr>
            <w:tcW w:w="1560" w:type="dxa"/>
            <w:tcBorders>
              <w:top w:val="nil"/>
              <w:left w:val="nil"/>
              <w:bottom w:val="nil"/>
              <w:right w:val="nil"/>
            </w:tcBorders>
            <w:vAlign w:val="center"/>
          </w:tcPr>
          <w:p w14:paraId="3B98061D" w14:textId="77777777" w:rsidR="006B6595" w:rsidRPr="00A54008" w:rsidRDefault="006B6595" w:rsidP="002757DB">
            <w:pPr>
              <w:pStyle w:val="Gop-DzYaz"/>
              <w:spacing w:after="0" w:line="240" w:lineRule="auto"/>
              <w:ind w:firstLine="0"/>
              <w:jc w:val="left"/>
              <w:rPr>
                <w:b/>
                <w:bCs/>
                <w:sz w:val="20"/>
              </w:rPr>
            </w:pPr>
            <w:r w:rsidRPr="00A54008">
              <w:rPr>
                <w:sz w:val="20"/>
                <w:szCs w:val="20"/>
              </w:rPr>
              <w:t>BLEURT</w:t>
            </w:r>
          </w:p>
        </w:tc>
        <w:tc>
          <w:tcPr>
            <w:tcW w:w="1696" w:type="dxa"/>
            <w:tcBorders>
              <w:top w:val="nil"/>
              <w:left w:val="nil"/>
              <w:bottom w:val="nil"/>
              <w:right w:val="nil"/>
            </w:tcBorders>
            <w:vAlign w:val="center"/>
          </w:tcPr>
          <w:p w14:paraId="522F4C98" w14:textId="77777777" w:rsidR="006B6595" w:rsidRPr="00A54008" w:rsidRDefault="006B6595" w:rsidP="002757DB">
            <w:pPr>
              <w:pStyle w:val="Gop-DzYaz"/>
              <w:spacing w:after="0" w:line="240" w:lineRule="auto"/>
              <w:ind w:firstLine="0"/>
              <w:jc w:val="left"/>
              <w:rPr>
                <w:b/>
                <w:bCs/>
                <w:sz w:val="20"/>
              </w:rPr>
            </w:pPr>
            <w:r w:rsidRPr="00A54008">
              <w:rPr>
                <w:sz w:val="20"/>
                <w:szCs w:val="20"/>
              </w:rPr>
              <w:t>Semantic Quality (Human-like)</w:t>
            </w:r>
          </w:p>
        </w:tc>
        <w:tc>
          <w:tcPr>
            <w:tcW w:w="2976" w:type="dxa"/>
            <w:tcBorders>
              <w:top w:val="nil"/>
              <w:left w:val="nil"/>
              <w:bottom w:val="nil"/>
              <w:right w:val="nil"/>
            </w:tcBorders>
            <w:vAlign w:val="center"/>
          </w:tcPr>
          <w:p w14:paraId="7B9A36B0" w14:textId="77777777" w:rsidR="006B6595" w:rsidRPr="00A54008" w:rsidRDefault="006B6595" w:rsidP="002757DB">
            <w:pPr>
              <w:pStyle w:val="Gop-DzYaz"/>
              <w:spacing w:after="0" w:line="240" w:lineRule="auto"/>
              <w:ind w:firstLine="0"/>
              <w:jc w:val="left"/>
              <w:rPr>
                <w:b/>
                <w:bCs/>
                <w:sz w:val="20"/>
              </w:rPr>
            </w:pPr>
            <w:r w:rsidRPr="00A54008">
              <w:rPr>
                <w:sz w:val="20"/>
                <w:szCs w:val="20"/>
              </w:rPr>
              <w:t>Produces scores aligned with human judgments</w:t>
            </w:r>
          </w:p>
        </w:tc>
        <w:tc>
          <w:tcPr>
            <w:tcW w:w="2828" w:type="dxa"/>
            <w:tcBorders>
              <w:top w:val="nil"/>
              <w:left w:val="nil"/>
              <w:bottom w:val="nil"/>
              <w:right w:val="nil"/>
            </w:tcBorders>
            <w:vAlign w:val="center"/>
          </w:tcPr>
          <w:p w14:paraId="6630E51D" w14:textId="77777777" w:rsidR="006B6595" w:rsidRPr="00A54008" w:rsidRDefault="006B6595" w:rsidP="002757DB">
            <w:pPr>
              <w:pStyle w:val="Gop-DzYaz"/>
              <w:spacing w:after="0" w:line="240" w:lineRule="auto"/>
              <w:ind w:firstLine="0"/>
              <w:jc w:val="left"/>
              <w:rPr>
                <w:b/>
                <w:bCs/>
                <w:sz w:val="20"/>
              </w:rPr>
            </w:pPr>
            <w:r w:rsidRPr="00A54008">
              <w:rPr>
                <w:sz w:val="20"/>
                <w:szCs w:val="20"/>
              </w:rPr>
              <w:t>Effective for evaluating natural language generation</w:t>
            </w:r>
          </w:p>
        </w:tc>
      </w:tr>
      <w:tr w:rsidR="006B6595" w14:paraId="6120A914" w14:textId="77777777" w:rsidTr="002757DB">
        <w:tc>
          <w:tcPr>
            <w:tcW w:w="1560" w:type="dxa"/>
            <w:tcBorders>
              <w:top w:val="nil"/>
              <w:left w:val="nil"/>
              <w:right w:val="nil"/>
            </w:tcBorders>
            <w:vAlign w:val="center"/>
          </w:tcPr>
          <w:p w14:paraId="2EED6388" w14:textId="77777777" w:rsidR="006B6595" w:rsidRPr="00A54008" w:rsidRDefault="006B6595" w:rsidP="002757DB">
            <w:pPr>
              <w:pStyle w:val="Gop-DzYaz"/>
              <w:spacing w:after="0" w:line="240" w:lineRule="auto"/>
              <w:ind w:firstLine="0"/>
              <w:jc w:val="left"/>
              <w:rPr>
                <w:b/>
                <w:bCs/>
                <w:sz w:val="20"/>
              </w:rPr>
            </w:pPr>
            <w:r w:rsidRPr="00A54008">
              <w:rPr>
                <w:sz w:val="20"/>
                <w:szCs w:val="20"/>
              </w:rPr>
              <w:t>DialogRPT</w:t>
            </w:r>
          </w:p>
        </w:tc>
        <w:tc>
          <w:tcPr>
            <w:tcW w:w="1696" w:type="dxa"/>
            <w:tcBorders>
              <w:top w:val="nil"/>
              <w:left w:val="nil"/>
              <w:right w:val="nil"/>
            </w:tcBorders>
            <w:vAlign w:val="center"/>
          </w:tcPr>
          <w:p w14:paraId="64101878" w14:textId="77777777" w:rsidR="006B6595" w:rsidRPr="00A54008" w:rsidRDefault="006B6595" w:rsidP="002757DB">
            <w:pPr>
              <w:pStyle w:val="Gop-DzYaz"/>
              <w:spacing w:after="0" w:line="240" w:lineRule="auto"/>
              <w:ind w:firstLine="0"/>
              <w:jc w:val="left"/>
              <w:rPr>
                <w:b/>
                <w:bCs/>
                <w:sz w:val="20"/>
              </w:rPr>
            </w:pPr>
            <w:r w:rsidRPr="00A54008">
              <w:rPr>
                <w:sz w:val="20"/>
                <w:szCs w:val="20"/>
              </w:rPr>
              <w:t>Interactional Relevance</w:t>
            </w:r>
          </w:p>
        </w:tc>
        <w:tc>
          <w:tcPr>
            <w:tcW w:w="2976" w:type="dxa"/>
            <w:tcBorders>
              <w:top w:val="nil"/>
              <w:left w:val="nil"/>
              <w:right w:val="nil"/>
            </w:tcBorders>
            <w:vAlign w:val="center"/>
          </w:tcPr>
          <w:p w14:paraId="5887990C" w14:textId="77777777" w:rsidR="006B6595" w:rsidRPr="00A54008" w:rsidRDefault="006B6595" w:rsidP="002757DB">
            <w:pPr>
              <w:pStyle w:val="Gop-DzYaz"/>
              <w:spacing w:after="0" w:line="240" w:lineRule="auto"/>
              <w:ind w:firstLine="0"/>
              <w:jc w:val="left"/>
              <w:rPr>
                <w:b/>
                <w:bCs/>
                <w:sz w:val="20"/>
              </w:rPr>
            </w:pPr>
            <w:r w:rsidRPr="00A54008">
              <w:rPr>
                <w:sz w:val="20"/>
                <w:szCs w:val="20"/>
              </w:rPr>
              <w:t>Evaluates how engaging or relevant a dialogue response is</w:t>
            </w:r>
          </w:p>
        </w:tc>
        <w:tc>
          <w:tcPr>
            <w:tcW w:w="2828" w:type="dxa"/>
            <w:tcBorders>
              <w:top w:val="nil"/>
              <w:left w:val="nil"/>
              <w:right w:val="nil"/>
            </w:tcBorders>
            <w:vAlign w:val="center"/>
          </w:tcPr>
          <w:p w14:paraId="650738F3" w14:textId="77777777" w:rsidR="006B6595" w:rsidRPr="00A54008" w:rsidRDefault="006B6595" w:rsidP="002757DB">
            <w:pPr>
              <w:pStyle w:val="Gop-DzYaz"/>
              <w:spacing w:after="0" w:line="240" w:lineRule="auto"/>
              <w:ind w:firstLine="0"/>
              <w:jc w:val="left"/>
              <w:rPr>
                <w:b/>
                <w:bCs/>
                <w:sz w:val="20"/>
              </w:rPr>
            </w:pPr>
            <w:r w:rsidRPr="00A54008">
              <w:rPr>
                <w:sz w:val="20"/>
                <w:szCs w:val="20"/>
              </w:rPr>
              <w:t>Predicts user engagement using a Reddit-trained model</w:t>
            </w:r>
          </w:p>
        </w:tc>
      </w:tr>
    </w:tbl>
    <w:p w14:paraId="3D034633" w14:textId="77777777" w:rsidR="006B6595" w:rsidRDefault="006B6595" w:rsidP="006B6595">
      <w:pPr>
        <w:pStyle w:val="temelyazi"/>
      </w:pPr>
    </w:p>
    <w:p w14:paraId="41A8D583" w14:textId="77777777" w:rsidR="006B6595" w:rsidRDefault="006B6595" w:rsidP="006B6595">
      <w:pPr>
        <w:pStyle w:val="temelyazi"/>
      </w:pPr>
      <w:r>
        <w:t xml:space="preserve">Table 5 summarizes the evaluation metrics employed for different analytical objectives within the scope of this study. </w:t>
      </w:r>
    </w:p>
    <w:p w14:paraId="0513EB45" w14:textId="4289E480" w:rsidR="006B6595" w:rsidRPr="00FF5CBA" w:rsidRDefault="006B6595" w:rsidP="006B6595">
      <w:pPr>
        <w:pStyle w:val="temelyazi"/>
      </w:pPr>
      <w:r>
        <w:t xml:space="preserve">Perplexity is a foundational metric used to assess the predictive accuracy of probabilistic language models, particularly in estimating the naturalness of generated text. It quantifies the model’s difficulty in anticipating the next word in a sequence, with lower perplexity values indicating more effective language modeling </w:t>
      </w:r>
      <w:r w:rsidRPr="00FF5CBA">
        <w:fldChar w:fldCharType="begin"/>
      </w:r>
      <w:r>
        <w:instrText xml:space="preserve"> ADDIN EN.CITE &lt;EndNote&gt;&lt;Cite&gt;&lt;Author&gt;Jelinek&lt;/Author&gt;&lt;Year&gt;1977&lt;/Year&gt;&lt;RecNum&gt;53&lt;/RecNum&gt;&lt;DisplayText&gt;(Jelinek et al., 1977)&lt;/DisplayText&gt;&lt;record&gt;&lt;rec-number&gt;53&lt;/rec-number&gt;&lt;foreign-keys&gt;&lt;key app="EN" db-id="zrtsxd05rfaafsesstqx2arne0rtfd5rpt5t" timestamp="1750234165"&gt;53&lt;/key&gt;&lt;/foreign-keys&gt;&lt;ref-type name="Journal Article"&gt;17&lt;/ref-type&gt;&lt;contributors&gt;&lt;authors&gt;&lt;author&gt;Jelinek, Fred&lt;/author&gt;&lt;author&gt;Mercer, Robert L&lt;/author&gt;&lt;author&gt;Bahl, Lalit R&lt;/author&gt;&lt;author&gt;Baker, James K&lt;/author&gt;&lt;/authors&gt;&lt;/contributors&gt;&lt;titles&gt;&lt;title&gt;Perplexity—a measure of the difficulty of speech recognition tasks&lt;/title&gt;&lt;secondary-title&gt;The Journal of the Acoustical Society of America&lt;/secondary-title&gt;&lt;/titles&gt;&lt;periodical&gt;&lt;full-title&gt;The Journal of the Acoustical Society of America&lt;/full-title&gt;&lt;/periodical&gt;&lt;pages&gt;S63-S63&lt;/pages&gt;&lt;volume&gt;62&lt;/volume&gt;&lt;number&gt;S1&lt;/number&gt;&lt;dates&gt;&lt;year&gt;1977&lt;/year&gt;&lt;/dates&gt;&lt;isbn&gt;0001-4966&lt;/isbn&gt;&lt;urls&gt;&lt;/urls&gt;&lt;electronic-resource-num&gt;10.1121/1.2016299&lt;/electronic-resource-num&gt;&lt;/record&gt;&lt;/Cite&gt;&lt;/EndNote&gt;</w:instrText>
      </w:r>
      <w:r w:rsidRPr="00FF5CBA">
        <w:fldChar w:fldCharType="separate"/>
      </w:r>
      <w:r w:rsidRPr="00FF5CBA">
        <w:rPr>
          <w:noProof/>
        </w:rPr>
        <w:t>(Jelinek et al., 1977)</w:t>
      </w:r>
      <w:r w:rsidRPr="00FF5CBA">
        <w:fldChar w:fldCharType="end"/>
      </w:r>
      <w:r w:rsidRPr="00FF5CBA">
        <w:t xml:space="preserve">. </w:t>
      </w:r>
      <w:r>
        <w:t xml:space="preserve">Mathematically, it is derived by calculating the exponential of the average negative log-likelihood of each word given its preceding context </w:t>
      </w:r>
      <w:r w:rsidRPr="00FF5CBA">
        <w:fldChar w:fldCharType="begin"/>
      </w:r>
      <w:r>
        <w:instrText xml:space="preserve"> ADDIN EN.CITE &lt;EndNote&gt;&lt;Cite&gt;&lt;Author&gt;Jin&lt;/Author&gt;&lt;Year&gt;2024&lt;/Year&gt;&lt;RecNum&gt;54&lt;/RecNum&gt;&lt;DisplayText&gt;(Jin et al., 2024)&lt;/DisplayText&gt;&lt;record&gt;&lt;rec-number&gt;54&lt;/rec-number&gt;&lt;foreign-keys&gt;&lt;key app="EN" db-id="zrtsxd05rfaafsesstqx2arne0rtfd5rpt5t" timestamp="1750234165"&gt;54&lt;/key&gt;&lt;/foreign-keys&gt;&lt;ref-type name="Journal Article"&gt;17&lt;/ref-type&gt;&lt;contributors&gt;&lt;authors&gt;&lt;author&gt;Jin, Kaiwen&lt;/author&gt;&lt;author&gt;Xiong, Yifeng&lt;/author&gt;&lt;author&gt;Lou, Shuya&lt;/author&gt;&lt;author&gt;Yu, Zhen&lt;/author&gt;&lt;/authors&gt;&lt;/contributors&gt;&lt;titles&gt;&lt;title&gt;MAFD: Multiple adversarial features detector for enhanced detection of text based adversarial examples&lt;/title&gt;&lt;secondary-title&gt;Neural Processing Letters&lt;/secondary-title&gt;&lt;/titles&gt;&lt;periodical&gt;&lt;full-title&gt;Neural Processing Letters&lt;/full-title&gt;&lt;/periodical&gt;&lt;pages&gt;1-24&lt;/pages&gt;&lt;volume&gt;56&lt;/volume&gt;&lt;number&gt;6&lt;/number&gt;&lt;dates&gt;&lt;year&gt;2024&lt;/year&gt;&lt;/dates&gt;&lt;isbn&gt;1573-773X&lt;/isbn&gt;&lt;urls&gt;&lt;/urls&gt;&lt;electronic-resource-num&gt;10.1007/s11063-024-11710-0&lt;/electronic-resource-num&gt;&lt;/record&gt;&lt;/Cite&gt;&lt;/EndNote&gt;</w:instrText>
      </w:r>
      <w:r w:rsidRPr="00FF5CBA">
        <w:fldChar w:fldCharType="separate"/>
      </w:r>
      <w:r w:rsidRPr="00FF5CBA">
        <w:rPr>
          <w:noProof/>
        </w:rPr>
        <w:t>(Jin et al., 2024)</w:t>
      </w:r>
      <w:r w:rsidRPr="00FF5CBA">
        <w:fldChar w:fldCharType="end"/>
      </w:r>
      <w:r>
        <w:t>, as described in equation (</w:t>
      </w:r>
      <w:r>
        <w:t>1</w:t>
      </w:r>
      <w:r>
        <w:t>)</w:t>
      </w:r>
      <w:r w:rsidRPr="00FF5CBA">
        <w:t>.</w:t>
      </w:r>
      <w:r>
        <w:t xml:space="preserve"> Here, </w:t>
      </w:r>
      <w:r w:rsidRPr="00553D64">
        <w:rPr>
          <w:rStyle w:val="katex-mathml"/>
          <w:i/>
          <w:iCs/>
        </w:rPr>
        <w:t>N</w:t>
      </w:r>
      <w:r>
        <w:t xml:space="preserve"> represents the total number of words, and the conditional probability </w:t>
      </w:r>
      <m:oMath>
        <m:sSub>
          <m:sSubPr>
            <m:ctrlPr>
              <w:rPr>
                <w:rFonts w:ascii="Cambria Math" w:hAnsi="Cambria Math"/>
                <w:i/>
              </w:rPr>
            </m:ctrlPr>
          </m:sSubPr>
          <m:e>
            <m:r>
              <w:rPr>
                <w:rFonts w:ascii="Cambria Math" w:hAnsi="Cambria Math"/>
              </w:rPr>
              <m:t>P</m:t>
            </m:r>
          </m:e>
          <m:sub>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i</m:t>
                    </m:r>
                  </m:sub>
                </m:sSub>
              </m:e>
              <m:e>
                <m:sSub>
                  <m:sSubPr>
                    <m:ctrlPr>
                      <w:rPr>
                        <w:rFonts w:ascii="Cambria Math" w:hAnsi="Cambria Math"/>
                        <w:i/>
                      </w:rPr>
                    </m:ctrlPr>
                  </m:sSubPr>
                  <m:e>
                    <m:r>
                      <w:rPr>
                        <w:rFonts w:ascii="Cambria Math" w:hAnsi="Cambria Math"/>
                      </w:rPr>
                      <m:t>w</m:t>
                    </m:r>
                  </m:e>
                  <m:sub>
                    <m:r>
                      <w:rPr>
                        <w:rFonts w:ascii="Cambria Math" w:hAnsi="Cambria Math"/>
                      </w:rPr>
                      <m:t>1-i</m:t>
                    </m:r>
                  </m:sub>
                </m:sSub>
              </m:e>
            </m:d>
          </m:sub>
        </m:sSub>
      </m:oMath>
      <w:r>
        <w:t xml:space="preserve"> reflects the model’s confidence in its predictions. The resulting value offers an interpretable, positive score for evaluating linguistic coherence and fluency.</w:t>
      </w:r>
    </w:p>
    <w:p w14:paraId="68356006" w14:textId="77777777" w:rsidR="006B6595" w:rsidRPr="00FF5CBA" w:rsidRDefault="006B6595" w:rsidP="006B6595">
      <w:pPr>
        <w:pStyle w:val="Gop-DzYaz"/>
        <w:spacing w:after="0"/>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0"/>
      </w:tblGrid>
      <w:tr w:rsidR="006B6595" w:rsidRPr="00FF5CBA" w14:paraId="7862198F" w14:textId="77777777" w:rsidTr="006B6595">
        <w:tc>
          <w:tcPr>
            <w:tcW w:w="7650" w:type="dxa"/>
          </w:tcPr>
          <w:p w14:paraId="62B1BB97" w14:textId="77777777" w:rsidR="006B6595" w:rsidRPr="00FF5CBA" w:rsidRDefault="006B6595" w:rsidP="002757DB">
            <w:pPr>
              <w:pStyle w:val="Gop-DzYaz"/>
              <w:spacing w:after="0"/>
              <w:ind w:firstLine="0"/>
              <w:rPr>
                <w:rFonts w:eastAsiaTheme="minorEastAsia"/>
              </w:rPr>
            </w:pPr>
            <m:oMathPara>
              <m:oMath>
                <m:r>
                  <w:rPr>
                    <w:rFonts w:ascii="Cambria Math" w:hAnsi="Cambria Math"/>
                  </w:rPr>
                  <m:t>Perplexity=</m:t>
                </m:r>
                <m:r>
                  <m:rPr>
                    <m:sty m:val="p"/>
                  </m:rPr>
                  <w:rPr>
                    <w:rFonts w:ascii="Cambria Math" w:hAnsi="Cambria Math"/>
                  </w:rPr>
                  <m:t>exp⁡</m:t>
                </m:r>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unc>
                      <m:funcPr>
                        <m:ctrlPr>
                          <w:rPr>
                            <w:rFonts w:ascii="Cambria Math" w:hAnsi="Cambria Math"/>
                          </w:rPr>
                        </m:ctrlPr>
                      </m:funcPr>
                      <m:fName>
                        <m:r>
                          <m:rPr>
                            <m:sty m:val="p"/>
                          </m:rPr>
                          <w:rPr>
                            <w:rFonts w:ascii="Cambria Math" w:hAnsi="Cambria Math"/>
                          </w:rPr>
                          <m:t>log</m:t>
                        </m:r>
                        <m:ctrlPr>
                          <w:rPr>
                            <w:rFonts w:ascii="Cambria Math" w:eastAsia="Cambria Math" w:hAnsi="Cambria Math" w:cs="Cambria Math"/>
                            <w:i/>
                          </w:rPr>
                        </m:ctrlPr>
                      </m:fName>
                      <m:e>
                        <m:sSub>
                          <m:sSubPr>
                            <m:ctrlPr>
                              <w:rPr>
                                <w:rFonts w:ascii="Cambria Math" w:hAnsi="Cambria Math"/>
                                <w:i/>
                              </w:rPr>
                            </m:ctrlPr>
                          </m:sSubPr>
                          <m:e>
                            <m:r>
                              <w:rPr>
                                <w:rFonts w:ascii="Cambria Math" w:hAnsi="Cambria Math"/>
                              </w:rPr>
                              <m:t>P</m:t>
                            </m:r>
                          </m:e>
                          <m:sub>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i</m:t>
                                    </m:r>
                                  </m:sub>
                                </m:sSub>
                              </m:e>
                              <m:e>
                                <m:sSub>
                                  <m:sSubPr>
                                    <m:ctrlPr>
                                      <w:rPr>
                                        <w:rFonts w:ascii="Cambria Math" w:hAnsi="Cambria Math"/>
                                        <w:i/>
                                      </w:rPr>
                                    </m:ctrlPr>
                                  </m:sSubPr>
                                  <m:e>
                                    <m:r>
                                      <w:rPr>
                                        <w:rFonts w:ascii="Cambria Math" w:hAnsi="Cambria Math"/>
                                      </w:rPr>
                                      <m:t>w</m:t>
                                    </m:r>
                                  </m:e>
                                  <m:sub>
                                    <m:r>
                                      <w:rPr>
                                        <w:rFonts w:ascii="Cambria Math" w:hAnsi="Cambria Math"/>
                                      </w:rPr>
                                      <m:t>1-i</m:t>
                                    </m:r>
                                  </m:sub>
                                </m:sSub>
                              </m:e>
                            </m:d>
                          </m:sub>
                        </m:sSub>
                      </m:e>
                    </m:func>
                  </m:e>
                </m:nary>
              </m:oMath>
            </m:oMathPara>
          </w:p>
        </w:tc>
        <w:tc>
          <w:tcPr>
            <w:tcW w:w="1410" w:type="dxa"/>
          </w:tcPr>
          <w:p w14:paraId="577681E5" w14:textId="50D98905" w:rsidR="006B6595" w:rsidRPr="00FF5CBA" w:rsidRDefault="006B6595" w:rsidP="002757DB">
            <w:pPr>
              <w:pStyle w:val="Gop-DzYaz"/>
              <w:spacing w:after="0"/>
              <w:ind w:firstLine="0"/>
              <w:jc w:val="right"/>
            </w:pPr>
            <w:r w:rsidRPr="00FF5CBA">
              <w:t>(</w:t>
            </w:r>
            <w:r>
              <w:t>1</w:t>
            </w:r>
            <w:r w:rsidRPr="00FF5CBA">
              <w:t>)</w:t>
            </w:r>
          </w:p>
        </w:tc>
      </w:tr>
    </w:tbl>
    <w:p w14:paraId="667B8E50" w14:textId="77777777" w:rsidR="006B6595" w:rsidRPr="00553D64" w:rsidRDefault="006B6595" w:rsidP="006B6595">
      <w:pPr>
        <w:pStyle w:val="Gop-DzYaz"/>
        <w:spacing w:after="0"/>
        <w:ind w:firstLine="708"/>
      </w:pPr>
    </w:p>
    <w:p w14:paraId="2D0F8D92" w14:textId="5FE6575E" w:rsidR="006B6595" w:rsidRPr="00FF5CBA" w:rsidRDefault="006B6595" w:rsidP="006B6595">
      <w:pPr>
        <w:pStyle w:val="Gop-DzYaz"/>
        <w:spacing w:after="0"/>
        <w:ind w:firstLine="708"/>
      </w:pPr>
      <w:r>
        <w:t xml:space="preserve">Layer freezing is a training optimization technique in which specific layers of a pre-trained large language model are kept fixed during fine-tuning, meaning their weights remain unchanged. This method is particularly advantageous in scenarios with limited computational resources or small datasets, as it helps reduce training time while enhancing model performance </w:t>
      </w:r>
      <w:r w:rsidRPr="00553D64">
        <w:rPr>
          <w:rFonts w:eastAsiaTheme="minorEastAsia"/>
        </w:rPr>
        <w:t xml:space="preserve"> </w:t>
      </w:r>
      <w:r w:rsidRPr="00553D64">
        <w:rPr>
          <w:rFonts w:eastAsiaTheme="minorEastAsia"/>
        </w:rPr>
        <w:fldChar w:fldCharType="begin"/>
      </w:r>
      <w:r>
        <w:rPr>
          <w:rFonts w:eastAsiaTheme="minorEastAsia"/>
        </w:rPr>
        <w:instrText xml:space="preserve"> ADDIN EN.CITE &lt;EndNote&gt;&lt;Cite&gt;&lt;Author&gt;Figueroa&lt;/Author&gt;&lt;Year&gt;2023&lt;/Year&gt;&lt;RecNum&gt;55&lt;/RecNum&gt;&lt;DisplayText&gt;(Figueroa, 2023)&lt;/DisplayText&gt;&lt;record&gt;&lt;rec-number&gt;55&lt;/rec-number&gt;&lt;foreign-keys&gt;&lt;key app="EN" db-id="zrtsxd05rfaafsesstqx2arne0rtfd5rpt5t" timestamp="1750234165"&gt;55&lt;/key&gt;&lt;/foreign-keys&gt;&lt;ref-type name="Thesis"&gt;32&lt;/ref-type&gt;&lt;contributors&gt;&lt;authors&gt;&lt;author&gt;Figueroa, Reinaldo&lt;/author&gt;&lt;/authors&gt;&lt;/contributors&gt;&lt;titles&gt;&lt;title&gt;Evaluating adaptive layer freezing through hyperparameter optimization for enhanced fine-tuning performance of language models&lt;/title&gt;&lt;secondary-title&gt; Institute of Technology&lt;/secondary-title&gt;&lt;/titles&gt;&lt;volume&gt;Graduate Theses&lt;/volume&gt;&lt;dates&gt;&lt;year&gt;2023&lt;/year&gt;&lt;/dates&gt;&lt;pub-location&gt;Massachusetts Institute of Technology&lt;/pub-location&gt;&lt;publisher&gt;Massachusetts Institute of Technology&lt;/publisher&gt;&lt;urls&gt;&lt;related-urls&gt;&lt;url&gt;https://hdl.handle.net/1721.1/157169&lt;/url&gt;&lt;/related-urls&gt;&lt;/urls&gt;&lt;electronic-resource-num&gt;1721.1/157169&lt;/electronic-resource-num&gt;&lt;/record&gt;&lt;/Cite&gt;&lt;/EndNote&gt;</w:instrText>
      </w:r>
      <w:r w:rsidRPr="00553D64">
        <w:rPr>
          <w:rFonts w:eastAsiaTheme="minorEastAsia"/>
        </w:rPr>
        <w:fldChar w:fldCharType="separate"/>
      </w:r>
      <w:r w:rsidRPr="00553D64">
        <w:rPr>
          <w:rFonts w:eastAsiaTheme="minorEastAsia"/>
          <w:noProof/>
        </w:rPr>
        <w:t>(Figueroa, 2023)</w:t>
      </w:r>
      <w:r w:rsidRPr="00553D64">
        <w:rPr>
          <w:rFonts w:eastAsiaTheme="minorEastAsia"/>
        </w:rPr>
        <w:fldChar w:fldCharType="end"/>
      </w:r>
      <w:r>
        <w:rPr>
          <w:rFonts w:eastAsiaTheme="minorEastAsia"/>
        </w:rPr>
        <w:t xml:space="preserve">. </w:t>
      </w:r>
      <w:r w:rsidRPr="00A77F9B">
        <w:rPr>
          <w:rFonts w:eastAsiaTheme="minorEastAsia"/>
        </w:rPr>
        <w:t xml:space="preserve">In this study, approximately 50% of the model layers were frozen, following the parameter configuration shown in </w:t>
      </w:r>
      <w:r>
        <w:rPr>
          <w:rFonts w:eastAsiaTheme="minorEastAsia"/>
        </w:rPr>
        <w:t>e</w:t>
      </w:r>
      <w:r w:rsidRPr="00A77F9B">
        <w:rPr>
          <w:rFonts w:eastAsiaTheme="minorEastAsia"/>
        </w:rPr>
        <w:t>quation (</w:t>
      </w:r>
      <w:r>
        <w:rPr>
          <w:rFonts w:eastAsiaTheme="minorEastAsia"/>
        </w:rPr>
        <w:t>2</w:t>
      </w:r>
      <w:r w:rsidRPr="00A77F9B">
        <w:rPr>
          <w:rFonts w:eastAsiaTheme="minorEastAsia"/>
        </w:rPr>
        <w:t>)</w:t>
      </w:r>
      <w:r>
        <w:rPr>
          <w:rFonts w:eastAsiaTheme="minorEastAsia"/>
        </w:rPr>
        <w:t xml:space="preserve">. </w:t>
      </w:r>
      <w:r>
        <w:t xml:space="preserve">In this configuration, the model parameters </w:t>
      </w:r>
      <w:r w:rsidRPr="00EA16AE">
        <w:rPr>
          <w:rStyle w:val="katex-mathml"/>
          <w:i/>
          <w:iCs/>
        </w:rPr>
        <w:t>θ</w:t>
      </w:r>
      <w:r>
        <w:t xml:space="preserve"> are divided into two subsets: frozen layers, which remain static during training, and trainable layers, which continue to be updated. This selective training strategy provides a balanced compromise between computational efficiency and the model’s ability to adapt to new tasks.</w:t>
      </w:r>
    </w:p>
    <w:p w14:paraId="48B6F334" w14:textId="77777777" w:rsidR="006B6595" w:rsidRPr="00553D64" w:rsidRDefault="006B6595" w:rsidP="006B6595">
      <w:pPr>
        <w:pStyle w:val="temelyazi"/>
        <w:rPr>
          <w:rFonts w:eastAsiaTheme="minorEastAsia"/>
        </w:rPr>
      </w:pPr>
    </w:p>
    <w:p w14:paraId="2D9CF193" w14:textId="3B000A3E" w:rsidR="006B6595" w:rsidRPr="00A77F9B" w:rsidRDefault="006B6595" w:rsidP="006B6595">
      <w:pPr>
        <w:pStyle w:val="Gop-DzYaz"/>
        <w:spacing w:after="0"/>
        <w:ind w:firstLine="708"/>
        <w:rPr>
          <w:rFonts w:eastAsiaTheme="minorEastAsia"/>
          <w:lang w:val="tr-TR"/>
        </w:rPr>
      </w:pPr>
      <m:oMathPara>
        <m:oMath>
          <m:eqArr>
            <m:eqArrPr>
              <m:maxDist m:val="1"/>
              <m:ctrlPr>
                <w:rPr>
                  <w:rFonts w:ascii="Cambria Math" w:hAnsi="Cambria Math"/>
                  <w:i/>
                  <w:lang w:val="tr-TR"/>
                </w:rPr>
              </m:ctrlPr>
            </m:eqArrPr>
            <m:e>
              <m:sSub>
                <m:sSubPr>
                  <m:ctrlPr>
                    <w:rPr>
                      <w:rFonts w:ascii="Cambria Math" w:hAnsi="Cambria Math"/>
                      <w:i/>
                      <w:lang w:val="tr-TR"/>
                    </w:rPr>
                  </m:ctrlPr>
                </m:sSubPr>
                <m:e>
                  <m:r>
                    <w:rPr>
                      <w:rFonts w:ascii="Cambria Math" w:hAnsi="Cambria Math"/>
                      <w:lang w:val="tr-TR"/>
                    </w:rPr>
                    <m:t>θ</m:t>
                  </m:r>
                </m:e>
                <m:sub>
                  <m:r>
                    <w:rPr>
                      <w:rFonts w:ascii="Cambria Math" w:hAnsi="Cambria Math"/>
                      <w:lang w:val="tr-TR"/>
                    </w:rPr>
                    <m:t>frozen</m:t>
                  </m:r>
                </m:sub>
              </m:sSub>
              <m:r>
                <w:rPr>
                  <w:rFonts w:ascii="Cambria Math" w:hAnsi="Cambria Math"/>
                  <w:lang w:val="tr-TR"/>
                </w:rPr>
                <m:t>=</m:t>
              </m:r>
              <m:d>
                <m:dPr>
                  <m:begChr m:val="["/>
                  <m:endChr m:val="]"/>
                  <m:ctrlPr>
                    <w:rPr>
                      <w:rFonts w:ascii="Cambria Math" w:hAnsi="Cambria Math"/>
                      <w:i/>
                      <w:lang w:val="tr-TR"/>
                    </w:rPr>
                  </m:ctrlPr>
                </m:dPr>
                <m:e>
                  <m:sSub>
                    <m:sSubPr>
                      <m:ctrlPr>
                        <w:rPr>
                          <w:rFonts w:ascii="Cambria Math" w:hAnsi="Cambria Math"/>
                          <w:i/>
                          <w:lang w:val="tr-TR"/>
                        </w:rPr>
                      </m:ctrlPr>
                    </m:sSubPr>
                    <m:e>
                      <m:r>
                        <w:rPr>
                          <w:rFonts w:ascii="Cambria Math" w:hAnsi="Cambria Math"/>
                          <w:lang w:val="tr-TR"/>
                        </w:rPr>
                        <m:t>θ</m:t>
                      </m:r>
                    </m:e>
                    <m:sub>
                      <m:r>
                        <w:rPr>
                          <w:rFonts w:ascii="Cambria Math" w:hAnsi="Cambria Math"/>
                          <w:lang w:val="tr-TR"/>
                        </w:rPr>
                        <m:t>frozen</m:t>
                      </m:r>
                    </m:sub>
                  </m:sSub>
                  <m:r>
                    <w:rPr>
                      <w:rFonts w:ascii="Cambria Math" w:hAnsi="Cambria Math"/>
                      <w:lang w:val="tr-TR"/>
                    </w:rPr>
                    <m:t xml:space="preserve">, </m:t>
                  </m:r>
                  <m:sSub>
                    <m:sSubPr>
                      <m:ctrlPr>
                        <w:rPr>
                          <w:rFonts w:ascii="Cambria Math" w:hAnsi="Cambria Math"/>
                          <w:i/>
                          <w:lang w:val="tr-TR"/>
                        </w:rPr>
                      </m:ctrlPr>
                    </m:sSubPr>
                    <m:e>
                      <m:r>
                        <w:rPr>
                          <w:rFonts w:ascii="Cambria Math" w:hAnsi="Cambria Math"/>
                          <w:lang w:val="tr-TR"/>
                        </w:rPr>
                        <m:t>θ</m:t>
                      </m:r>
                    </m:e>
                    <m:sub>
                      <m:r>
                        <w:rPr>
                          <w:rFonts w:ascii="Cambria Math" w:hAnsi="Cambria Math"/>
                          <w:lang w:val="tr-TR"/>
                        </w:rPr>
                        <m:t>trainable</m:t>
                      </m:r>
                    </m:sub>
                  </m:sSub>
                </m:e>
              </m:d>
              <m:r>
                <w:rPr>
                  <w:rFonts w:ascii="Cambria Math" w:hAnsi="Cambria Math"/>
                  <w:lang w:val="tr-TR"/>
                </w:rPr>
                <m:t>## #</m:t>
              </m:r>
              <m:d>
                <m:dPr>
                  <m:ctrlPr>
                    <w:rPr>
                      <w:rFonts w:ascii="Cambria Math" w:hAnsi="Cambria Math"/>
                      <w:i/>
                      <w:lang w:val="tr-TR"/>
                    </w:rPr>
                  </m:ctrlPr>
                </m:dPr>
                <m:e>
                  <m:r>
                    <w:rPr>
                      <w:rFonts w:ascii="Cambria Math" w:hAnsi="Cambria Math"/>
                      <w:lang w:val="tr-TR"/>
                    </w:rPr>
                    <m:t>2</m:t>
                  </m:r>
                </m:e>
              </m:d>
            </m:e>
          </m:eqArr>
        </m:oMath>
      </m:oMathPara>
    </w:p>
    <w:p w14:paraId="78EC6C84" w14:textId="77777777" w:rsidR="006B6595" w:rsidRPr="00FF5CBA" w:rsidRDefault="006B6595" w:rsidP="006B6595">
      <w:pPr>
        <w:pStyle w:val="Gop-DzYaz"/>
        <w:spacing w:after="0"/>
        <w:ind w:firstLine="708"/>
        <w:rPr>
          <w:rFonts w:eastAsiaTheme="minorEastAsia"/>
        </w:rPr>
      </w:pPr>
    </w:p>
    <w:p w14:paraId="210BF52C" w14:textId="081EFB0B" w:rsidR="006B6595" w:rsidRDefault="006B6595" w:rsidP="006B6595">
      <w:pPr>
        <w:pStyle w:val="temelyazi"/>
      </w:pPr>
      <w:r w:rsidRPr="00EA16AE">
        <w:t xml:space="preserve">The BLEU score is a widely adopted metric for evaluating the output quality of models in tasks such as machine translation and text generation. It evaluates the agreement between model-generated and reference texts by calculating the precision of </w:t>
      </w:r>
      <w:r>
        <w:t>n</w:t>
      </w:r>
      <w:r w:rsidRPr="00EA16AE">
        <w:t>-gram overlaps</w:t>
      </w:r>
      <w:r>
        <w:t xml:space="preserve"> </w:t>
      </w:r>
      <w:r w:rsidRPr="00FF5CBA">
        <w:fldChar w:fldCharType="begin"/>
      </w:r>
      <w:r>
        <w:instrText xml:space="preserve"> ADDIN EN.CITE &lt;EndNote&gt;&lt;Cite&gt;&lt;Author&gt;Rivera-Trigueros&lt;/Author&gt;&lt;Year&gt;2022&lt;/Year&gt;&lt;RecNum&gt;56&lt;/RecNum&gt;&lt;DisplayText&gt;(Rivera-Trigueros, 2022)&lt;/DisplayText&gt;&lt;record&gt;&lt;rec-number&gt;56&lt;/rec-number&gt;&lt;foreign-keys&gt;&lt;key app="EN" db-id="zrtsxd05rfaafsesstqx2arne0rtfd5rpt5t" timestamp="1750234166"&gt;56&lt;/key&gt;&lt;/foreign-keys&gt;&lt;ref-type name="Journal Article"&gt;17&lt;/ref-type&gt;&lt;contributors&gt;&lt;authors&gt;&lt;author&gt;Rivera-Trigueros, Irene&lt;/author&gt;&lt;/authors&gt;&lt;/contributors&gt;&lt;titles&gt;&lt;title&gt;Machine translation systems and quality assessment: A systematic review&lt;/title&gt;&lt;secondary-title&gt;Language Resources and Evaluation&lt;/secondary-title&gt;&lt;/titles&gt;&lt;periodical&gt;&lt;full-title&gt;Language Resources and Evaluation&lt;/full-title&gt;&lt;/periodical&gt;&lt;pages&gt;593-619&lt;/pages&gt;&lt;volume&gt;56&lt;/volume&gt;&lt;number&gt;2&lt;/number&gt;&lt;dates&gt;&lt;year&gt;2022&lt;/year&gt;&lt;/dates&gt;&lt;isbn&gt;1574-020X&lt;/isbn&gt;&lt;urls&gt;&lt;/urls&gt;&lt;electronic-resource-num&gt;10.1007/s10579-021-09537-5&lt;/electronic-resource-num&gt;&lt;/record&gt;&lt;/Cite&gt;&lt;/EndNote&gt;</w:instrText>
      </w:r>
      <w:r w:rsidRPr="00FF5CBA">
        <w:fldChar w:fldCharType="separate"/>
      </w:r>
      <w:r w:rsidRPr="00FF5CBA">
        <w:rPr>
          <w:noProof/>
        </w:rPr>
        <w:t>(Rivera-Trigueros, 2022)</w:t>
      </w:r>
      <w:r w:rsidRPr="00FF5CBA">
        <w:fldChar w:fldCharType="end"/>
      </w:r>
      <w:r w:rsidRPr="00FF5CBA">
        <w:t xml:space="preserve">. </w:t>
      </w:r>
      <w:r w:rsidRPr="00EA16AE">
        <w:t>BLEU scores range from 0 to 100, with higher scores indicating closer alignment with the reference output.</w:t>
      </w:r>
      <w:r>
        <w:t xml:space="preserve"> </w:t>
      </w:r>
      <w:r w:rsidRPr="00EA16AE">
        <w:t>The metric is based on the geometric mean of n-gram match rates</w:t>
      </w:r>
      <w:r>
        <w:t xml:space="preserve"> </w:t>
      </w:r>
      <m:oMath>
        <m:sSub>
          <m:sSubPr>
            <m:ctrlPr>
              <w:rPr>
                <w:rFonts w:ascii="Cambria Math" w:hAnsi="Cambria Math"/>
                <w:i/>
              </w:rPr>
            </m:ctrlPr>
          </m:sSubPr>
          <m:e>
            <m:r>
              <w:rPr>
                <w:rFonts w:ascii="Cambria Math" w:hAnsi="Cambria Math"/>
              </w:rPr>
              <m:t>(p</m:t>
            </m:r>
          </m:e>
          <m:sub>
            <m:r>
              <w:rPr>
                <w:rFonts w:ascii="Cambria Math" w:hAnsi="Cambria Math"/>
              </w:rPr>
              <m:t>n</m:t>
            </m:r>
          </m:sub>
        </m:sSub>
      </m:oMath>
      <w:r>
        <w:t>)</w:t>
      </w:r>
      <w:r w:rsidRPr="00FF5CBA">
        <w:t xml:space="preserve"> </w:t>
      </w:r>
      <w:r>
        <w:t>i</w:t>
      </w:r>
      <w:r w:rsidRPr="00EA16AE">
        <w:t>s calculated as a weighted average of their logarithms, where the weights</w:t>
      </w:r>
      <w:r>
        <w:t xml:space="preserve"> </w:t>
      </w:r>
      <m:oMath>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n</m:t>
            </m:r>
          </m:sub>
        </m:sSub>
      </m:oMath>
      <w:r w:rsidRPr="00FF5CBA">
        <w:t>)</w:t>
      </w:r>
      <w:r>
        <w:t xml:space="preserve"> </w:t>
      </w:r>
      <w:r w:rsidRPr="00EA16AE">
        <w:t xml:space="preserve">is usually assigned uniformly. This logarithmic mean is then exponentiated and scaled by a brevity penalty </w:t>
      </w:r>
      <w:r w:rsidRPr="00EA16AE">
        <w:rPr>
          <w:i/>
          <w:iCs/>
        </w:rPr>
        <w:t>(BP)</w:t>
      </w:r>
      <w:r w:rsidRPr="00EA16AE">
        <w:t xml:space="preserve"> to produce the final score as defined in </w:t>
      </w:r>
      <w:r>
        <w:t>e</w:t>
      </w:r>
      <w:r w:rsidRPr="00EA16AE">
        <w:t>quation (</w:t>
      </w:r>
      <w:r>
        <w:t>3</w:t>
      </w:r>
      <w:r w:rsidRPr="00EA16AE">
        <w:t>).</w:t>
      </w:r>
    </w:p>
    <w:p w14:paraId="62C95E24" w14:textId="77777777" w:rsidR="006B6595" w:rsidRPr="00FF5CBA" w:rsidRDefault="006B6595" w:rsidP="006B6595">
      <w:pPr>
        <w:pStyle w:val="temelyazi"/>
      </w:pPr>
    </w:p>
    <w:p w14:paraId="622D7E04" w14:textId="16442F16" w:rsidR="006B6595" w:rsidRPr="00FF5CBA" w:rsidRDefault="006B6595" w:rsidP="006B6595">
      <w:pPr>
        <w:pStyle w:val="Gop-DzYaz"/>
        <w:spacing w:after="0"/>
        <w:ind w:firstLine="708"/>
        <w:rPr>
          <w:rFonts w:eastAsiaTheme="minorEastAsia"/>
        </w:rPr>
      </w:pPr>
      <m:oMathPara>
        <m:oMath>
          <m:eqArr>
            <m:eqArrPr>
              <m:maxDist m:val="1"/>
              <m:ctrlPr>
                <w:rPr>
                  <w:rFonts w:ascii="Cambria Math" w:eastAsiaTheme="minorEastAsia" w:hAnsi="Cambria Math"/>
                  <w:i/>
                </w:rPr>
              </m:ctrlPr>
            </m:eqArrPr>
            <m:e>
              <m:r>
                <m:rPr>
                  <m:sty m:val="p"/>
                </m:rPr>
                <w:rPr>
                  <w:rFonts w:ascii="Cambria Math" w:hAnsi="Cambria Math"/>
                </w:rPr>
                <m:t>BLEU</m:t>
              </m:r>
              <m:r>
                <w:rPr>
                  <w:rFonts w:ascii="Cambria Math" w:hAnsi="Cambria Math"/>
                </w:rPr>
                <m:t>=BP.</m:t>
              </m:r>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n</m:t>
                              </m:r>
                            </m:sub>
                          </m:sSub>
                        </m:e>
                      </m:nary>
                      <m:func>
                        <m:funcPr>
                          <m:ctrlPr>
                            <w:rPr>
                              <w:rFonts w:ascii="Cambria Math" w:hAnsi="Cambria Math"/>
                            </w:rPr>
                          </m:ctrlPr>
                        </m:funcPr>
                        <m:fName>
                          <m:r>
                            <m:rPr>
                              <m:sty m:val="p"/>
                            </m:rPr>
                            <w:rPr>
                              <w:rFonts w:ascii="Cambria Math" w:hAnsi="Cambria Math"/>
                            </w:rPr>
                            <m:t>log</m:t>
                          </m:r>
                        </m:fName>
                        <m:e>
                          <m:sSub>
                            <m:sSubPr>
                              <m:ctrlPr>
                                <w:rPr>
                                  <w:rFonts w:ascii="Cambria Math" w:hAnsi="Cambria Math"/>
                                  <w:i/>
                                </w:rPr>
                              </m:ctrlPr>
                            </m:sSubPr>
                            <m:e>
                              <m:r>
                                <w:rPr>
                                  <w:rFonts w:ascii="Cambria Math" w:hAnsi="Cambria Math"/>
                                </w:rPr>
                                <m:t>p</m:t>
                              </m:r>
                              <m:ctrlPr>
                                <w:rPr>
                                  <w:rFonts w:ascii="Cambria Math" w:hAnsi="Cambria Math"/>
                                </w:rPr>
                              </m:ctrlPr>
                            </m:e>
                            <m:sub>
                              <m:r>
                                <w:rPr>
                                  <w:rFonts w:ascii="Cambria Math" w:hAnsi="Cambria Math"/>
                                </w:rPr>
                                <m:t>n</m:t>
                              </m:r>
                            </m:sub>
                          </m:sSub>
                          <m:r>
                            <w:rPr>
                              <w:rFonts w:ascii="Cambria Math" w:hAnsi="Cambria Math"/>
                            </w:rPr>
                            <m:t>)</m:t>
                          </m:r>
                        </m:e>
                      </m:func>
                    </m:e>
                  </m:d>
                </m:e>
              </m:func>
              <m:r>
                <w:rPr>
                  <w:rFonts w:ascii="Cambria Math" w:hAnsi="Cambria Math"/>
                </w:rPr>
                <m:t>#</m:t>
              </m:r>
              <m:d>
                <m:dPr>
                  <m:ctrlPr>
                    <w:rPr>
                      <w:rFonts w:ascii="Cambria Math" w:eastAsiaTheme="minorEastAsia" w:hAnsi="Cambria Math"/>
                      <w:i/>
                    </w:rPr>
                  </m:ctrlPr>
                </m:dPr>
                <m:e>
                  <m:r>
                    <w:rPr>
                      <w:rFonts w:ascii="Cambria Math" w:eastAsiaTheme="minorEastAsia" w:hAnsi="Cambria Math"/>
                    </w:rPr>
                    <m:t>3</m:t>
                  </m:r>
                </m:e>
              </m:d>
              <m:ctrlPr>
                <w:rPr>
                  <w:rFonts w:ascii="Cambria Math" w:hAnsi="Cambria Math"/>
                  <w:i/>
                </w:rPr>
              </m:ctrlPr>
            </m:e>
          </m:eqArr>
        </m:oMath>
      </m:oMathPara>
    </w:p>
    <w:p w14:paraId="064851B9" w14:textId="77777777" w:rsidR="006B6595" w:rsidRPr="00FF5CBA" w:rsidRDefault="006B6595" w:rsidP="006B6595">
      <w:pPr>
        <w:pStyle w:val="Gop-DzYaz"/>
        <w:spacing w:after="0"/>
        <w:ind w:firstLine="708"/>
        <w:rPr>
          <w:rFonts w:eastAsiaTheme="minorEastAsia"/>
        </w:rPr>
      </w:pPr>
    </w:p>
    <w:p w14:paraId="1F73D9C3" w14:textId="3648D1A2" w:rsidR="006B6595" w:rsidRDefault="006B6595" w:rsidP="006B6595">
      <w:pPr>
        <w:pStyle w:val="temelyazi"/>
      </w:pPr>
      <w:r>
        <w:t xml:space="preserve">The METEOR score is a semantic-oriented metric frequently used in machine translation and text generation tasks. It evaluates the similarity between candidate and reference sentences by incorporating multiple levels of comparison, including exact word matches, synonymy, stemming, and semantic interpretations. Unlike metrics that rely solely on surface-level overlap, METEOR integrates both precision and recall through their harmonic mean </w:t>
      </w:r>
      <m:oMath>
        <m:sSub>
          <m:sSubPr>
            <m:ctrlPr>
              <w:rPr>
                <w:rFonts w:ascii="Cambria Math" w:hAnsi="Cambria Math"/>
                <w:i/>
              </w:rPr>
            </m:ctrlPr>
          </m:sSubPr>
          <m:e>
            <m:r>
              <w:rPr>
                <w:rFonts w:ascii="Cambria Math" w:hAnsi="Cambria Math"/>
              </w:rPr>
              <m:t>(F</m:t>
            </m:r>
          </m:e>
          <m:sub>
            <m:r>
              <w:rPr>
                <w:rFonts w:ascii="Cambria Math" w:hAnsi="Cambria Math"/>
              </w:rPr>
              <m:t>mean</m:t>
            </m:r>
          </m:sub>
        </m:sSub>
      </m:oMath>
      <w:r w:rsidRPr="00FF5CBA">
        <w:rPr>
          <w:rStyle w:val="vlist-s"/>
        </w:rPr>
        <w:t>​</w:t>
      </w:r>
      <w:r>
        <w:rPr>
          <w:rStyle w:val="vlist-s"/>
        </w:rPr>
        <w:t>)</w:t>
      </w:r>
      <w:r w:rsidRPr="00F35CFF">
        <w:t xml:space="preserve"> </w:t>
      </w:r>
      <w:r>
        <w:t xml:space="preserve">and introduces a penalty term that accounts for discrepancies in word order alignment </w:t>
      </w:r>
      <w:r w:rsidRPr="00FF5CBA">
        <w:fldChar w:fldCharType="begin"/>
      </w:r>
      <w:r>
        <w:instrText xml:space="preserve"> ADDIN EN.CITE &lt;EndNote&gt;&lt;Cite&gt;&lt;Author&gt;Denkowski&lt;/Author&gt;&lt;Year&gt;2014&lt;/Year&gt;&lt;RecNum&gt;57&lt;/RecNum&gt;&lt;DisplayText&gt;(Denkowski &amp;amp; Lavie, 2014)&lt;/DisplayText&gt;&lt;record&gt;&lt;rec-number&gt;57&lt;/rec-number&gt;&lt;foreign-keys&gt;&lt;key app="EN" db-id="zrtsxd05rfaafsesstqx2arne0rtfd5rpt5t" timestamp="1750234166"&gt;57&lt;/key&gt;&lt;/foreign-keys&gt;&lt;ref-type name="Conference Proceedings"&gt;10&lt;/ref-type&gt;&lt;contributors&gt;&lt;authors&gt;&lt;author&gt;Denkowski, Michael&lt;/author&gt;&lt;author&gt;Lavie, Alon&lt;/author&gt;&lt;/authors&gt;&lt;/contributors&gt;&lt;titles&gt;&lt;title&gt;Meteor universal: Language specific translation evaluation for any target language&lt;/title&gt;&lt;secondary-title&gt;Proceedings of the ninth workshop on statistical machine translation&lt;/secondary-title&gt;&lt;/titles&gt;&lt;pages&gt;376-380&lt;/pages&gt;&lt;dates&gt;&lt;year&gt;2014&lt;/year&gt;&lt;pub-dates&gt;&lt;date&gt;June, 2014&lt;/date&gt;&lt;/pub-dates&gt;&lt;/dates&gt;&lt;pub-location&gt;Maryland, USA&lt;/pub-location&gt;&lt;urls&gt;&lt;/urls&gt;&lt;electronic-resource-num&gt;10.3115/v1/W14-3348&lt;/electronic-resource-num&gt;&lt;/record&gt;&lt;/Cite&gt;&lt;/EndNote&gt;</w:instrText>
      </w:r>
      <w:r w:rsidRPr="00FF5CBA">
        <w:fldChar w:fldCharType="separate"/>
      </w:r>
      <w:r w:rsidRPr="00FF5CBA">
        <w:rPr>
          <w:noProof/>
        </w:rPr>
        <w:t>(Denkowski &amp; Lavie, 2014)</w:t>
      </w:r>
      <w:r w:rsidRPr="00FF5CBA">
        <w:fldChar w:fldCharType="end"/>
      </w:r>
      <w:r>
        <w:t xml:space="preserve">. The final score is calculated by adjusting the </w:t>
      </w:r>
      <m:oMath>
        <m:sSub>
          <m:sSubPr>
            <m:ctrlPr>
              <w:rPr>
                <w:rFonts w:ascii="Cambria Math" w:hAnsi="Cambria Math"/>
                <w:i/>
              </w:rPr>
            </m:ctrlPr>
          </m:sSubPr>
          <m:e>
            <m:r>
              <w:rPr>
                <w:rFonts w:ascii="Cambria Math" w:hAnsi="Cambria Math"/>
              </w:rPr>
              <m:t>F</m:t>
            </m:r>
          </m:e>
          <m:sub>
            <m:r>
              <w:rPr>
                <w:rFonts w:ascii="Cambria Math" w:hAnsi="Cambria Math"/>
              </w:rPr>
              <m:t>mean</m:t>
            </m:r>
          </m:sub>
        </m:sSub>
      </m:oMath>
      <w:r w:rsidRPr="00FF5CBA">
        <w:rPr>
          <w:rStyle w:val="vlist-s"/>
        </w:rPr>
        <w:t>​</w:t>
      </w:r>
      <w:r w:rsidRPr="00F35CFF">
        <w:t xml:space="preserve"> </w:t>
      </w:r>
      <w:r>
        <w:t>value with this penalty factor, as illustrated in equation (</w:t>
      </w:r>
      <w:r>
        <w:t>4</w:t>
      </w:r>
      <w:r>
        <w:t>).</w:t>
      </w:r>
    </w:p>
    <w:p w14:paraId="3A75C01E" w14:textId="77777777" w:rsidR="006B6595" w:rsidRPr="00FF5CBA" w:rsidRDefault="006B6595" w:rsidP="006B6595">
      <w:pPr>
        <w:pStyle w:val="temelyazi"/>
      </w:pPr>
    </w:p>
    <w:p w14:paraId="5258142B" w14:textId="494D82F3" w:rsidR="006B6595" w:rsidRPr="00FF5CBA" w:rsidRDefault="006B6595" w:rsidP="006B6595">
      <w:pPr>
        <w:pStyle w:val="Gop-DzYaz"/>
        <w:spacing w:after="0"/>
        <w:ind w:firstLine="708"/>
        <w:rPr>
          <w:rFonts w:eastAsiaTheme="minorEastAsia"/>
        </w:rPr>
      </w:pPr>
      <m:oMathPara>
        <m:oMath>
          <m:eqArr>
            <m:eqArrPr>
              <m:maxDist m:val="1"/>
              <m:ctrlPr>
                <w:rPr>
                  <w:rFonts w:ascii="Cambria Math" w:eastAsiaTheme="minorEastAsia" w:hAnsi="Cambria Math"/>
                  <w:i/>
                </w:rPr>
              </m:ctrlPr>
            </m:eqArrPr>
            <m:e>
              <m:r>
                <w:rPr>
                  <w:rFonts w:ascii="Cambria Math" w:hAnsi="Cambria Math"/>
                </w:rPr>
                <m:t>METEOR=</m:t>
              </m:r>
              <m:sSub>
                <m:sSubPr>
                  <m:ctrlPr>
                    <w:rPr>
                      <w:rFonts w:ascii="Cambria Math" w:hAnsi="Cambria Math"/>
                      <w:i/>
                    </w:rPr>
                  </m:ctrlPr>
                </m:sSubPr>
                <m:e>
                  <m:r>
                    <w:rPr>
                      <w:rFonts w:ascii="Cambria Math" w:hAnsi="Cambria Math"/>
                    </w:rPr>
                    <m:t>F</m:t>
                  </m:r>
                </m:e>
                <m:sub>
                  <m:r>
                    <w:rPr>
                      <w:rFonts w:ascii="Cambria Math" w:hAnsi="Cambria Math"/>
                    </w:rPr>
                    <m:t>mean</m:t>
                  </m:r>
                </m:sub>
              </m:sSub>
              <m:r>
                <w:rPr>
                  <w:rFonts w:ascii="Cambria Math" w:hAnsi="Cambria Math"/>
                </w:rPr>
                <m:t>.</m:t>
              </m:r>
              <m:d>
                <m:dPr>
                  <m:ctrlPr>
                    <w:rPr>
                      <w:rFonts w:ascii="Cambria Math" w:hAnsi="Cambria Math"/>
                      <w:i/>
                    </w:rPr>
                  </m:ctrlPr>
                </m:dPr>
                <m:e>
                  <m:r>
                    <w:rPr>
                      <w:rFonts w:ascii="Cambria Math" w:hAnsi="Cambria Math"/>
                    </w:rPr>
                    <m:t>1-Penalty</m:t>
                  </m:r>
                </m:e>
              </m:d>
              <m:r>
                <w:rPr>
                  <w:rFonts w:ascii="Cambria Math" w:hAnsi="Cambria Math"/>
                </w:rPr>
                <m:t>#</m:t>
              </m:r>
              <m:d>
                <m:dPr>
                  <m:ctrlPr>
                    <w:rPr>
                      <w:rFonts w:ascii="Cambria Math" w:eastAsiaTheme="minorEastAsia" w:hAnsi="Cambria Math"/>
                      <w:i/>
                    </w:rPr>
                  </m:ctrlPr>
                </m:dPr>
                <m:e>
                  <m:r>
                    <w:rPr>
                      <w:rFonts w:ascii="Cambria Math" w:eastAsiaTheme="minorEastAsia" w:hAnsi="Cambria Math"/>
                    </w:rPr>
                    <m:t>4</m:t>
                  </m:r>
                </m:e>
              </m:d>
              <m:ctrlPr>
                <w:rPr>
                  <w:rFonts w:ascii="Cambria Math" w:hAnsi="Cambria Math"/>
                  <w:i/>
                </w:rPr>
              </m:ctrlPr>
            </m:e>
          </m:eqArr>
        </m:oMath>
      </m:oMathPara>
    </w:p>
    <w:p w14:paraId="180A8439" w14:textId="77777777" w:rsidR="006B6595" w:rsidRPr="00FF5CBA" w:rsidRDefault="006B6595" w:rsidP="006B6595">
      <w:pPr>
        <w:pStyle w:val="Gop-DzYaz"/>
        <w:spacing w:after="0"/>
        <w:ind w:firstLine="708"/>
      </w:pPr>
    </w:p>
    <w:p w14:paraId="667F46F0" w14:textId="6FFBC2E9" w:rsidR="006B6595" w:rsidRDefault="006B6595" w:rsidP="006B6595">
      <w:pPr>
        <w:pStyle w:val="temelyazi"/>
      </w:pPr>
      <w:r>
        <w:t xml:space="preserve">The ROUGE-L score is one of the most commonly used metrics for evaluating the performance of text summarization systems. It measures the degree of n-gram overlap between system-generated summaries and human-written reference summaries. Unlike metrics that account for semantic or syntactic accuracy, ROUGE focuses purely on surface-level lexical matches </w:t>
      </w:r>
      <w:r w:rsidRPr="00FF5CBA">
        <w:fldChar w:fldCharType="begin"/>
      </w:r>
      <w:r>
        <w:instrText xml:space="preserve"> ADDIN EN.CITE &lt;EndNote&gt;&lt;Cite&gt;&lt;Author&gt;Citarella&lt;/Author&gt;&lt;Year&gt;2025&lt;/Year&gt;&lt;RecNum&gt;58&lt;/RecNum&gt;&lt;DisplayText&gt;(Citarella et al., 2025)&lt;/DisplayText&gt;&lt;record&gt;&lt;rec-number&gt;58&lt;/rec-number&gt;&lt;foreign-keys&gt;&lt;key app="EN" db-id="zrtsxd05rfaafsesstqx2arne0rtfd5rpt5t" timestamp="1750234166"&gt;58&lt;/key&gt;&lt;/foreign-keys&gt;&lt;ref-type name="Journal Article"&gt;17&lt;/ref-type&gt;&lt;contributors&gt;&lt;authors&gt;&lt;author&gt;Citarella, Alessia Auriemma&lt;/author&gt;&lt;author&gt;Barbella, Marcello&lt;/author&gt;&lt;author&gt;Ciobanu, Madalina G&lt;/author&gt;&lt;author&gt;De Marco, Fabiola&lt;/author&gt;&lt;author&gt;Di Biasi, Luigi&lt;/author&gt;&lt;author&gt;Tortora, Genoveffa&lt;/author&gt;&lt;/authors&gt;&lt;/contributors&gt;&lt;titles&gt;&lt;title&gt;Assessing the effectiveness of ROUGE as unbiased metric in Extractive vs. Abstractive summarization techniques&lt;/title&gt;&lt;secondary-title&gt;Journal of Computational Science&lt;/secondary-title&gt;&lt;/titles&gt;&lt;periodical&gt;&lt;full-title&gt;Journal of Computational Science&lt;/full-title&gt;&lt;/periodical&gt;&lt;pages&gt;102571&lt;/pages&gt;&lt;volume&gt;87&lt;/volume&gt;&lt;dates&gt;&lt;year&gt;2025&lt;/year&gt;&lt;/dates&gt;&lt;isbn&gt;1877-7503&lt;/isbn&gt;&lt;urls&gt;&lt;/urls&gt;&lt;electronic-resource-num&gt;10.1016/j.jocs.2025.102571&lt;/electronic-resource-num&gt;&lt;/record&gt;&lt;/Cite&gt;&lt;/EndNote&gt;</w:instrText>
      </w:r>
      <w:r w:rsidRPr="00FF5CBA">
        <w:fldChar w:fldCharType="separate"/>
      </w:r>
      <w:r w:rsidRPr="00FF5CBA">
        <w:rPr>
          <w:noProof/>
        </w:rPr>
        <w:t>(Citarella et al., 2025)</w:t>
      </w:r>
      <w:r w:rsidRPr="00FF5CBA">
        <w:fldChar w:fldCharType="end"/>
      </w:r>
      <w:r>
        <w:t xml:space="preserve">. Specifically, ROUGE-L calculates an F-measure that balances precision </w:t>
      </w:r>
      <w:r w:rsidRPr="00FF5CBA">
        <w:t>(</w:t>
      </w:r>
      <w:r w:rsidRPr="00FF5CBA">
        <w:rPr>
          <w:i/>
          <w:iCs/>
        </w:rPr>
        <w:t>P</w:t>
      </w:r>
      <w:r w:rsidRPr="00FF5CBA">
        <w:t xml:space="preserve">) </w:t>
      </w:r>
      <w:r>
        <w:t xml:space="preserve">and recall </w:t>
      </w:r>
      <w:r w:rsidRPr="00FF5CBA">
        <w:t>(</w:t>
      </w:r>
      <w:r w:rsidRPr="00FF5CBA">
        <w:rPr>
          <w:i/>
          <w:iCs/>
        </w:rPr>
        <w:t>R</w:t>
      </w:r>
      <w:r w:rsidRPr="00FF5CBA">
        <w:t>)</w:t>
      </w:r>
      <w:r>
        <w:t xml:space="preserve"> using the </w:t>
      </w:r>
      <w:r w:rsidRPr="00F35CFF">
        <w:rPr>
          <w:i/>
          <w:iCs/>
        </w:rPr>
        <w:t>β</w:t>
      </w:r>
      <w:r w:rsidRPr="00F35CFF">
        <w:t xml:space="preserve"> </w:t>
      </w:r>
      <w:r>
        <w:t>parameter, as outlined in equation (</w:t>
      </w:r>
      <w:r>
        <w:t>5</w:t>
      </w:r>
      <w:r>
        <w:t>). This enables an objective assessment of summary quality based on the longest common subsequence between texts.</w:t>
      </w:r>
    </w:p>
    <w:p w14:paraId="3BD142EC" w14:textId="77777777" w:rsidR="006B6595" w:rsidRPr="00FF5CBA" w:rsidRDefault="006B6595" w:rsidP="006B6595">
      <w:pPr>
        <w:pStyle w:val="temelyazi"/>
      </w:pPr>
    </w:p>
    <w:p w14:paraId="66013A7D" w14:textId="3635E77C" w:rsidR="006B6595" w:rsidRPr="00FF5CBA" w:rsidRDefault="006B6595" w:rsidP="006B6595">
      <w:pPr>
        <w:pStyle w:val="Gop-DzYaz"/>
        <w:spacing w:after="0"/>
        <w:ind w:firstLine="708"/>
        <w:rPr>
          <w:rFonts w:eastAsiaTheme="minorEastAsia"/>
        </w:rPr>
      </w:pPr>
      <m:oMathPara>
        <m:oMath>
          <m:eqArr>
            <m:eqArrPr>
              <m:maxDist m:val="1"/>
              <m:ctrlPr>
                <w:rPr>
                  <w:rFonts w:ascii="Cambria Math" w:hAnsi="Cambria Math"/>
                  <w:i/>
                </w:rPr>
              </m:ctrlPr>
            </m:eqArrPr>
            <m:e>
              <m:r>
                <w:rPr>
                  <w:rFonts w:ascii="Cambria Math" w:hAnsi="Cambria Math"/>
                </w:rPr>
                <m:t>ROUGE-L=</m:t>
              </m:r>
              <m:f>
                <m:fPr>
                  <m:ctrlPr>
                    <w:rPr>
                      <w:rFonts w:ascii="Cambria Math" w:hAnsi="Cambria Math"/>
                      <w:i/>
                    </w:rPr>
                  </m:ctrlPr>
                </m:fPr>
                <m:num>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β</m:t>
                          </m:r>
                        </m:e>
                        <m:sup>
                          <m:r>
                            <w:rPr>
                              <w:rFonts w:ascii="Cambria Math" w:hAnsi="Cambria Math"/>
                            </w:rPr>
                            <m:t>2</m:t>
                          </m:r>
                        </m:sup>
                      </m:sSup>
                    </m:e>
                  </m:d>
                  <m:r>
                    <w:rPr>
                      <w:rFonts w:ascii="Cambria Math" w:hAnsi="Cambria Math"/>
                    </w:rPr>
                    <m:t>.P.R</m:t>
                  </m:r>
                </m:num>
                <m:den>
                  <m:r>
                    <w:rPr>
                      <w:rFonts w:ascii="Cambria Math" w:hAnsi="Cambria Math"/>
                    </w:rPr>
                    <m:t>R+</m:t>
                  </m:r>
                  <m:sSup>
                    <m:sSupPr>
                      <m:ctrlPr>
                        <w:rPr>
                          <w:rFonts w:ascii="Cambria Math" w:hAnsi="Cambria Math"/>
                          <w:i/>
                        </w:rPr>
                      </m:ctrlPr>
                    </m:sSupPr>
                    <m:e>
                      <m:r>
                        <w:rPr>
                          <w:rFonts w:ascii="Cambria Math" w:hAnsi="Cambria Math"/>
                        </w:rPr>
                        <m:t>β</m:t>
                      </m:r>
                    </m:e>
                    <m:sup>
                      <m:r>
                        <w:rPr>
                          <w:rFonts w:ascii="Cambria Math" w:hAnsi="Cambria Math"/>
                        </w:rPr>
                        <m:t>2</m:t>
                      </m:r>
                    </m:sup>
                  </m:sSup>
                  <m:r>
                    <w:rPr>
                      <w:rFonts w:ascii="Cambria Math" w:hAnsi="Cambria Math"/>
                    </w:rPr>
                    <m:t>.P</m:t>
                  </m:r>
                </m:den>
              </m:f>
              <m:r>
                <w:rPr>
                  <w:rFonts w:ascii="Cambria Math" w:hAnsi="Cambria Math"/>
                </w:rPr>
                <m:t>#</m:t>
              </m:r>
              <m:d>
                <m:dPr>
                  <m:ctrlPr>
                    <w:rPr>
                      <w:rFonts w:ascii="Cambria Math" w:hAnsi="Cambria Math"/>
                      <w:i/>
                    </w:rPr>
                  </m:ctrlPr>
                </m:dPr>
                <m:e>
                  <m:r>
                    <w:rPr>
                      <w:rFonts w:ascii="Cambria Math" w:hAnsi="Cambria Math"/>
                    </w:rPr>
                    <m:t>5</m:t>
                  </m:r>
                </m:e>
              </m:d>
            </m:e>
          </m:eqArr>
        </m:oMath>
      </m:oMathPara>
    </w:p>
    <w:p w14:paraId="582DB6AF" w14:textId="77777777" w:rsidR="006B6595" w:rsidRPr="00FF5CBA" w:rsidRDefault="006B6595" w:rsidP="006B6595">
      <w:pPr>
        <w:pStyle w:val="Gop-DzYaz"/>
        <w:spacing w:after="0"/>
        <w:ind w:firstLine="708"/>
        <w:rPr>
          <w:rFonts w:eastAsiaTheme="minorEastAsia"/>
        </w:rPr>
      </w:pPr>
    </w:p>
    <w:p w14:paraId="6CC63947" w14:textId="6FB66EF2" w:rsidR="006B6595" w:rsidRDefault="006B6595" w:rsidP="006B6595">
      <w:pPr>
        <w:pStyle w:val="temelyazi"/>
      </w:pPr>
      <w:r>
        <w:t>Inference time refers to the duration required for a deep learning model to generate an output in response to a given input. This metric is important for real-time applications, as it directly impacts the system’s responsiveness to user interactions. Formally, inference time (</w:t>
      </w:r>
      <w:r w:rsidRPr="00FF5CBA">
        <w:rPr>
          <w:rStyle w:val="katex-mathml"/>
          <w:i/>
          <w:iCs/>
        </w:rPr>
        <w:t>T</w:t>
      </w:r>
      <w:r>
        <w:rPr>
          <w:rStyle w:val="katex-mathml"/>
          <w:i/>
          <w:iCs/>
        </w:rPr>
        <w:t>)</w:t>
      </w:r>
      <w:r>
        <w:t xml:space="preserve"> is defined as the difference between the start time </w:t>
      </w:r>
      <w:r w:rsidRPr="00FF5CBA">
        <w:t>(</w:t>
      </w:r>
      <m:oMath>
        <m:sSub>
          <m:sSubPr>
            <m:ctrlPr>
              <w:rPr>
                <w:rFonts w:ascii="Cambria Math" w:hAnsi="Cambria Math"/>
                <w:i/>
              </w:rPr>
            </m:ctrlPr>
          </m:sSubPr>
          <m:e>
            <m:r>
              <w:rPr>
                <w:rFonts w:ascii="Cambria Math" w:hAnsi="Cambria Math"/>
              </w:rPr>
              <m:t>t</m:t>
            </m:r>
          </m:e>
          <m:sub>
            <m:r>
              <w:rPr>
                <w:rFonts w:ascii="Cambria Math" w:hAnsi="Cambria Math"/>
              </w:rPr>
              <m:t>start</m:t>
            </m:r>
          </m:sub>
        </m:sSub>
      </m:oMath>
      <w:r w:rsidRPr="00FF5CBA">
        <w:rPr>
          <w:rFonts w:eastAsiaTheme="minorEastAsia"/>
        </w:rPr>
        <w:t>)</w:t>
      </w:r>
      <w:r w:rsidRPr="00FF5CBA">
        <w:t xml:space="preserve"> </w:t>
      </w:r>
      <w:r>
        <w:t xml:space="preserve">and the end time </w:t>
      </w:r>
      <w:r w:rsidRPr="00FF5CBA">
        <w:rPr>
          <w:rFonts w:eastAsiaTheme="minorEastAsia"/>
        </w:rPr>
        <w:t>(</w:t>
      </w:r>
      <m:oMath>
        <m:sSub>
          <m:sSubPr>
            <m:ctrlPr>
              <w:rPr>
                <w:rFonts w:ascii="Cambria Math" w:hAnsi="Cambria Math"/>
                <w:i/>
              </w:rPr>
            </m:ctrlPr>
          </m:sSubPr>
          <m:e>
            <m:r>
              <w:rPr>
                <w:rFonts w:ascii="Cambria Math" w:hAnsi="Cambria Math"/>
              </w:rPr>
              <m:t>t</m:t>
            </m:r>
          </m:e>
          <m:sub>
            <m:r>
              <w:rPr>
                <w:rFonts w:ascii="Cambria Math" w:hAnsi="Cambria Math"/>
              </w:rPr>
              <m:t>end</m:t>
            </m:r>
          </m:sub>
        </m:sSub>
      </m:oMath>
      <w:r w:rsidRPr="00FF5CBA">
        <w:rPr>
          <w:rFonts w:eastAsiaTheme="minorEastAsia"/>
        </w:rPr>
        <w:t>)</w:t>
      </w:r>
      <w:r>
        <w:t xml:space="preserve"> of the processing operation (</w:t>
      </w:r>
      <w:proofErr w:type="spellStart"/>
      <w:r>
        <w:t>Ndimbo</w:t>
      </w:r>
      <w:proofErr w:type="spellEnd"/>
      <w:r>
        <w:t xml:space="preserve"> et al., 2025), as shown in equation (</w:t>
      </w:r>
      <w:r>
        <w:t>6</w:t>
      </w:r>
      <w:r>
        <w:t>). Efficient inference is essential for ensuring seamless user experiences, especially in latency-sensitive environments.</w:t>
      </w:r>
    </w:p>
    <w:p w14:paraId="0B90539B" w14:textId="77777777" w:rsidR="006B6595" w:rsidRPr="00FF5CBA" w:rsidRDefault="006B6595" w:rsidP="006B6595">
      <w:pPr>
        <w:pStyle w:val="temelyazi"/>
        <w:rPr>
          <w:rFonts w:eastAsiaTheme="minorEastAsia"/>
        </w:rPr>
      </w:pPr>
    </w:p>
    <w:p w14:paraId="3AE409B2" w14:textId="694FCE99" w:rsidR="006B6595" w:rsidRPr="00BF3539" w:rsidRDefault="006B6595" w:rsidP="006B6595">
      <w:pPr>
        <w:pStyle w:val="Gop-DzYaz"/>
        <w:spacing w:after="0"/>
        <w:ind w:firstLine="708"/>
        <w:rPr>
          <w:rFonts w:eastAsiaTheme="minorEastAsia"/>
        </w:rPr>
      </w:pPr>
      <m:oMathPara>
        <m:oMath>
          <m:eqArr>
            <m:eqArrPr>
              <m:maxDist m:val="1"/>
              <m:ctrlPr>
                <w:rPr>
                  <w:rFonts w:ascii="Cambria Math" w:eastAsiaTheme="minorEastAsia" w:hAnsi="Cambria Math"/>
                  <w:i/>
                </w:rPr>
              </m:ctrlPr>
            </m:eqArrPr>
            <m:e>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end</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start</m:t>
                  </m:r>
                </m:sub>
              </m:sSub>
              <m:r>
                <w:rPr>
                  <w:rFonts w:ascii="Cambria Math" w:hAnsi="Cambria Math"/>
                </w:rPr>
                <m:t>#</m:t>
              </m:r>
              <m:d>
                <m:dPr>
                  <m:ctrlPr>
                    <w:rPr>
                      <w:rFonts w:ascii="Cambria Math" w:eastAsiaTheme="minorEastAsia" w:hAnsi="Cambria Math"/>
                      <w:i/>
                    </w:rPr>
                  </m:ctrlPr>
                </m:dPr>
                <m:e>
                  <m:r>
                    <w:rPr>
                      <w:rFonts w:ascii="Cambria Math" w:eastAsiaTheme="minorEastAsia" w:hAnsi="Cambria Math"/>
                    </w:rPr>
                    <m:t>6</m:t>
                  </m:r>
                </m:e>
              </m:d>
              <m:ctrlPr>
                <w:rPr>
                  <w:rFonts w:ascii="Cambria Math" w:hAnsi="Cambria Math"/>
                  <w:i/>
                </w:rPr>
              </m:ctrlPr>
            </m:e>
          </m:eqArr>
        </m:oMath>
      </m:oMathPara>
    </w:p>
    <w:p w14:paraId="5954C7D5" w14:textId="77777777" w:rsidR="006B6595" w:rsidRPr="00BF3539" w:rsidRDefault="006B6595" w:rsidP="006B6595">
      <w:pPr>
        <w:pStyle w:val="Gop-DzYaz"/>
        <w:spacing w:after="0"/>
        <w:ind w:firstLine="708"/>
        <w:rPr>
          <w:rFonts w:eastAsiaTheme="minorEastAsia"/>
        </w:rPr>
      </w:pPr>
    </w:p>
    <w:p w14:paraId="24830BE0" w14:textId="56050C4A" w:rsidR="006B6595" w:rsidRDefault="006B6595" w:rsidP="006B6595">
      <w:pPr>
        <w:pStyle w:val="temelyazi"/>
      </w:pPr>
      <w:r>
        <w:t xml:space="preserve">BERTScore is a semantic evaluation metric that differs from traditional surface-level methods by leveraging the contextual representation power of the BERT model to assess the similarity between generated and reference summaries. Rather than focusing solely on exact word matches, BERTScore captures meaning by computing the cosine similarity between contextual embeddings of words from candidate and reference texts. This enables accurate evaluation of paraphrased outputs that preserve semantic integrity. Given a candidate sentence </w:t>
      </w:r>
      <m:oMath>
        <m:r>
          <w:rPr>
            <w:rFonts w:ascii="Cambria Math" w:hAnsi="Cambria Math"/>
          </w:rPr>
          <m:t>x=</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e>
        </m:d>
      </m:oMath>
      <w:r>
        <w:rPr>
          <w:rFonts w:eastAsiaTheme="minorEastAsia"/>
        </w:rPr>
        <w:t xml:space="preserve">, </w:t>
      </w:r>
      <w:r>
        <w:t>and a reference sentence</w:t>
      </w:r>
      <w:r w:rsidRPr="00835E1B">
        <w:rPr>
          <w:rFonts w:ascii="Cambria Math" w:eastAsiaTheme="minorEastAsia" w:hAnsi="Cambria Math"/>
          <w:i/>
        </w:rPr>
        <w:t xml:space="preserve"> </w:t>
      </w:r>
      <m:oMath>
        <m:r>
          <w:rPr>
            <w:rFonts w:ascii="Cambria Math" w:eastAsiaTheme="minorEastAsia" w:hAnsi="Cambria Math"/>
          </w:rPr>
          <m:t>y=</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n</m:t>
                </m:r>
              </m:sub>
            </m:sSub>
          </m:e>
        </m:d>
      </m:oMath>
      <w:r>
        <w:t xml:space="preserve">, the method first </w:t>
      </w:r>
      <w:r>
        <w:lastRenderedPageBreak/>
        <w:t xml:space="preserve">extracts embeddings </w:t>
      </w:r>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j</m:t>
                </m:r>
              </m:sub>
            </m:sSub>
          </m:e>
        </m:d>
      </m:oMath>
      <w:r>
        <w:rPr>
          <w:rFonts w:eastAsiaTheme="minorEastAsia"/>
        </w:rPr>
        <w:t xml:space="preserve">, </w:t>
      </w:r>
      <w:r>
        <w:t xml:space="preserve">then calculates precision and recall through maximal cosine similarity scores, culminating in an </w:t>
      </w:r>
      <w:r w:rsidRPr="00835E1B">
        <w:rPr>
          <w:i/>
          <w:iCs/>
        </w:rPr>
        <w:t>F</w:t>
      </w:r>
      <w:r w:rsidRPr="00835E1B">
        <w:rPr>
          <w:i/>
          <w:iCs/>
          <w:vertAlign w:val="subscript"/>
        </w:rPr>
        <w:t>1</w:t>
      </w:r>
      <w:r>
        <w:t xml:space="preserve"> score that reflects overall alignment, as detailed in Equation (</w:t>
      </w:r>
      <w:r>
        <w:t>7</w:t>
      </w:r>
      <w:r>
        <w:t>).</w:t>
      </w:r>
    </w:p>
    <w:p w14:paraId="526B4D84" w14:textId="77777777" w:rsidR="006B6595" w:rsidRPr="00FF5CBA" w:rsidRDefault="006B6595" w:rsidP="006B6595">
      <w:pPr>
        <w:pStyle w:val="temelyazi"/>
      </w:pPr>
    </w:p>
    <w:p w14:paraId="7989A32E" w14:textId="508DF081" w:rsidR="006B6595" w:rsidRPr="00FF5CBA" w:rsidRDefault="006B6595" w:rsidP="006B6595">
      <w:pPr>
        <w:pStyle w:val="Gop-DzYaz"/>
        <w:spacing w:after="0"/>
        <w:ind w:firstLine="708"/>
        <w:rPr>
          <w:rFonts w:eastAsiaTheme="minorEastAsia"/>
        </w:rPr>
      </w:pPr>
      <m:oMathPara>
        <m:oMath>
          <m:eqArr>
            <m:eqArrPr>
              <m:maxDist m:val="1"/>
              <m:ctrlPr>
                <w:rPr>
                  <w:rFonts w:ascii="Cambria Math" w:eastAsiaTheme="minorEastAsia" w:hAnsi="Cambria Math"/>
                  <w:i/>
                </w:rPr>
              </m:ctrlPr>
            </m:eqArrPr>
            <m:e>
              <m:r>
                <w:rPr>
                  <w:rFonts w:ascii="Cambria Math" w:eastAsiaTheme="minorEastAsia" w:hAnsi="Cambria Math"/>
                </w:rPr>
                <m:t>Precision=</m:t>
              </m:r>
              <m:f>
                <m:fPr>
                  <m:ctrlPr>
                    <w:rPr>
                      <w:rFonts w:ascii="Cambria Math" w:eastAsiaTheme="minorEastAsia" w:hAnsi="Cambria Math"/>
                      <w:i/>
                    </w:rPr>
                  </m:ctrlPr>
                </m:fPr>
                <m:num>
                  <m:r>
                    <w:rPr>
                      <w:rFonts w:ascii="Cambria Math" w:eastAsiaTheme="minorEastAsia" w:hAnsi="Cambria Math"/>
                    </w:rPr>
                    <m:t>1</m:t>
                  </m:r>
                </m:num>
                <m:den>
                  <m:d>
                    <m:dPr>
                      <m:begChr m:val="|"/>
                      <m:endChr m:val="|"/>
                      <m:ctrlPr>
                        <w:rPr>
                          <w:rFonts w:ascii="Cambria Math" w:eastAsiaTheme="minorEastAsia" w:hAnsi="Cambria Math"/>
                          <w:i/>
                        </w:rPr>
                      </m:ctrlPr>
                    </m:dPr>
                    <m:e>
                      <m:r>
                        <w:rPr>
                          <w:rFonts w:ascii="Cambria Math" w:eastAsiaTheme="minorEastAsia" w:hAnsi="Cambria Math"/>
                        </w:rPr>
                        <m:t>x</m:t>
                      </m:r>
                    </m:e>
                  </m:d>
                </m:den>
              </m:f>
              <m:nary>
                <m:naryPr>
                  <m:chr m:val="∑"/>
                  <m:limLoc m:val="undOvr"/>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m:t>
                      </m:r>
                    </m:sub>
                  </m:sSub>
                  <m:r>
                    <w:rPr>
                      <w:rFonts w:ascii="Cambria Math" w:eastAsiaTheme="minorEastAsia" w:hAnsi="Cambria Math"/>
                    </w:rPr>
                    <m:t>ϵx</m:t>
                  </m:r>
                </m:sub>
                <m:sup/>
                <m:e>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max</m:t>
                          </m:r>
                        </m:e>
                        <m:li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ϵy</m:t>
                          </m:r>
                          <m:ctrlPr>
                            <w:rPr>
                              <w:rFonts w:ascii="Cambria Math" w:hAnsi="Cambria Math"/>
                            </w:rPr>
                          </m:ctrlPr>
                        </m:lim>
                      </m:limLow>
                    </m:fName>
                    <m:e>
                      <m:func>
                        <m:funcPr>
                          <m:ctrlPr>
                            <w:rPr>
                              <w:rFonts w:ascii="Cambria Math" w:eastAsiaTheme="minorEastAsia" w:hAnsi="Cambria Math"/>
                            </w:rPr>
                          </m:ctrlPr>
                        </m:funcPr>
                        <m:fName>
                          <m:r>
                            <m:rPr>
                              <m:sty m:val="p"/>
                            </m:rPr>
                            <w:rPr>
                              <w:rFonts w:ascii="Cambria Math" w:eastAsiaTheme="minorEastAsia" w:hAnsi="Cambria Math"/>
                            </w:rPr>
                            <m:t>cos</m:t>
                          </m:r>
                          <m:ctrlPr>
                            <w:rPr>
                              <w:rFonts w:ascii="Cambria Math" w:eastAsia="Cambria Math" w:hAnsi="Cambria Math" w:cs="Cambria Math"/>
                              <w:i/>
                            </w:rPr>
                          </m:ctrlPr>
                        </m:fName>
                        <m:e>
                          <m:d>
                            <m:dPr>
                              <m:ctrlPr>
                                <w:rPr>
                                  <w:rFonts w:ascii="Cambria Math" w:eastAsiaTheme="minorEastAsia" w:hAnsi="Cambria Math"/>
                                  <w:i/>
                                </w:rPr>
                              </m:ctrlPr>
                            </m:dPr>
                            <m:e>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eastAsiaTheme="minorEastAsia" w:hAnsi="Cambria Math"/>
                                </w:rPr>
                                <m:t xml:space="preserve">, </m:t>
                              </m:r>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j</m:t>
                                      </m:r>
                                    </m:sub>
                                  </m:sSub>
                                </m:e>
                              </m:d>
                            </m:e>
                          </m:d>
                        </m:e>
                      </m:func>
                    </m:e>
                  </m:func>
                </m:e>
              </m:nary>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7</m:t>
                  </m:r>
                </m:e>
              </m:d>
            </m:e>
          </m:eqArr>
        </m:oMath>
      </m:oMathPara>
    </w:p>
    <w:p w14:paraId="304620EF" w14:textId="77777777" w:rsidR="006B6595" w:rsidRPr="00835E1B" w:rsidRDefault="006B6595" w:rsidP="006B6595">
      <w:pPr>
        <w:pStyle w:val="Gop-DzYaz"/>
        <w:spacing w:after="0"/>
        <w:ind w:firstLine="708"/>
        <w:jc w:val="center"/>
        <w:rPr>
          <w:rFonts w:eastAsiaTheme="minorEastAsia"/>
        </w:rPr>
      </w:pPr>
      <m:oMathPara>
        <m:oMath>
          <m:r>
            <w:rPr>
              <w:rFonts w:ascii="Cambria Math" w:eastAsiaTheme="minorEastAsia" w:hAnsi="Cambria Math"/>
            </w:rPr>
            <m:t xml:space="preserve">Recall= </m:t>
          </m:r>
          <m:f>
            <m:fPr>
              <m:ctrlPr>
                <w:rPr>
                  <w:rFonts w:ascii="Cambria Math" w:eastAsiaTheme="minorEastAsia" w:hAnsi="Cambria Math"/>
                  <w:i/>
                </w:rPr>
              </m:ctrlPr>
            </m:fPr>
            <m:num>
              <m:r>
                <w:rPr>
                  <w:rFonts w:ascii="Cambria Math" w:eastAsiaTheme="minorEastAsia" w:hAnsi="Cambria Math"/>
                </w:rPr>
                <m:t>1</m:t>
              </m:r>
            </m:num>
            <m:den>
              <m:d>
                <m:dPr>
                  <m:begChr m:val="|"/>
                  <m:endChr m:val="|"/>
                  <m:ctrlPr>
                    <w:rPr>
                      <w:rFonts w:ascii="Cambria Math" w:eastAsiaTheme="minorEastAsia" w:hAnsi="Cambria Math"/>
                      <w:i/>
                    </w:rPr>
                  </m:ctrlPr>
                </m:dPr>
                <m:e>
                  <m:r>
                    <w:rPr>
                      <w:rFonts w:ascii="Cambria Math" w:eastAsiaTheme="minorEastAsia" w:hAnsi="Cambria Math"/>
                    </w:rPr>
                    <m:t>y</m:t>
                  </m:r>
                </m:e>
              </m:d>
            </m:den>
          </m:f>
          <m:nary>
            <m:naryPr>
              <m:chr m:val="∑"/>
              <m:limLoc m:val="undOvr"/>
              <m:ctrlPr>
                <w:rPr>
                  <w:rFonts w:ascii="Cambria Math" w:eastAsiaTheme="minorEastAsia" w:hAnsi="Cambria Math"/>
                  <w:i/>
                </w:rPr>
              </m:ctrlPr>
            </m:naryPr>
            <m:sub>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i</m:t>
                  </m:r>
                </m:sub>
              </m:sSub>
              <m:r>
                <w:rPr>
                  <w:rFonts w:ascii="Cambria Math" w:eastAsiaTheme="minorEastAsia" w:hAnsi="Cambria Math"/>
                </w:rPr>
                <m:t>ϵy</m:t>
              </m:r>
            </m:sub>
            <m:sup/>
            <m:e>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max</m:t>
                      </m:r>
                    </m:e>
                    <m:lim>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i</m:t>
                          </m:r>
                        </m:sub>
                      </m:sSub>
                      <m:r>
                        <w:rPr>
                          <w:rFonts w:ascii="Cambria Math" w:eastAsiaTheme="minorEastAsia" w:hAnsi="Cambria Math"/>
                        </w:rPr>
                        <m:t>ϵx</m:t>
                      </m:r>
                      <m:ctrlPr>
                        <w:rPr>
                          <w:rFonts w:ascii="Cambria Math" w:hAnsi="Cambria Math"/>
                        </w:rPr>
                      </m:ctrlPr>
                    </m:lim>
                  </m:limLow>
                </m:fName>
                <m:e>
                  <m:func>
                    <m:funcPr>
                      <m:ctrlPr>
                        <w:rPr>
                          <w:rFonts w:ascii="Cambria Math" w:eastAsiaTheme="minorEastAsia" w:hAnsi="Cambria Math"/>
                        </w:rPr>
                      </m:ctrlPr>
                    </m:funcPr>
                    <m:fName>
                      <m:r>
                        <m:rPr>
                          <m:sty m:val="p"/>
                        </m:rPr>
                        <w:rPr>
                          <w:rFonts w:ascii="Cambria Math" w:eastAsiaTheme="minorEastAsia" w:hAnsi="Cambria Math"/>
                        </w:rPr>
                        <m:t>cos</m:t>
                      </m:r>
                      <m:ctrlPr>
                        <w:rPr>
                          <w:rFonts w:ascii="Cambria Math" w:eastAsia="Cambria Math" w:hAnsi="Cambria Math" w:cs="Cambria Math"/>
                          <w:i/>
                        </w:rPr>
                      </m:ctrlPr>
                    </m:fName>
                    <m:e>
                      <m:d>
                        <m:dPr>
                          <m:ctrlPr>
                            <w:rPr>
                              <w:rFonts w:ascii="Cambria Math" w:eastAsiaTheme="minorEastAsia" w:hAnsi="Cambria Math"/>
                              <w:i/>
                            </w:rPr>
                          </m:ctrlPr>
                        </m:dPr>
                        <m:e>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e>
                          </m:d>
                          <m:r>
                            <w:rPr>
                              <w:rFonts w:ascii="Cambria Math" w:eastAsiaTheme="minorEastAsia" w:hAnsi="Cambria Math"/>
                            </w:rPr>
                            <m:t xml:space="preserve">, </m:t>
                          </m:r>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j</m:t>
                                  </m:r>
                                </m:sub>
                              </m:sSub>
                            </m:e>
                          </m:d>
                        </m:e>
                      </m:d>
                    </m:e>
                  </m:func>
                </m:e>
              </m:func>
            </m:e>
          </m:nary>
        </m:oMath>
      </m:oMathPara>
    </w:p>
    <w:p w14:paraId="0D6A4905" w14:textId="77777777" w:rsidR="006B6595" w:rsidRPr="00FF5CBA" w:rsidRDefault="006B6595" w:rsidP="006B6595">
      <w:pPr>
        <w:pStyle w:val="Gop-DzYaz"/>
        <w:spacing w:after="0"/>
        <w:ind w:firstLine="708"/>
        <w:jc w:val="center"/>
        <w:rPr>
          <w:rStyle w:val="yazstiliChar"/>
        </w:rPr>
      </w:pPr>
      <m:oMathPara>
        <m:oMath>
          <m:sSub>
            <m:sSubPr>
              <m:ctrlPr>
                <w:rPr>
                  <w:rStyle w:val="yazstiliChar"/>
                  <w:rFonts w:ascii="Cambria Math" w:hAnsi="Cambria Math"/>
                  <w:i/>
                </w:rPr>
              </m:ctrlPr>
            </m:sSubPr>
            <m:e>
              <m:r>
                <w:rPr>
                  <w:rStyle w:val="yazstiliChar"/>
                  <w:rFonts w:ascii="Cambria Math" w:hAnsi="Cambria Math"/>
                </w:rPr>
                <m:t>F</m:t>
              </m:r>
            </m:e>
            <m:sub>
              <m:r>
                <w:rPr>
                  <w:rStyle w:val="yazstiliChar"/>
                  <w:rFonts w:ascii="Cambria Math" w:hAnsi="Cambria Math"/>
                </w:rPr>
                <m:t>1</m:t>
              </m:r>
            </m:sub>
          </m:sSub>
          <m:r>
            <w:rPr>
              <w:rStyle w:val="yazstiliChar"/>
              <w:rFonts w:ascii="Cambria Math" w:hAnsi="Cambria Math"/>
            </w:rPr>
            <m:t>=</m:t>
          </m:r>
          <m:f>
            <m:fPr>
              <m:ctrlPr>
                <w:rPr>
                  <w:rStyle w:val="yazstiliChar"/>
                  <w:rFonts w:ascii="Cambria Math" w:hAnsi="Cambria Math"/>
                  <w:i/>
                </w:rPr>
              </m:ctrlPr>
            </m:fPr>
            <m:num>
              <m:r>
                <w:rPr>
                  <w:rStyle w:val="yazstiliChar"/>
                  <w:rFonts w:ascii="Cambria Math" w:hAnsi="Cambria Math"/>
                </w:rPr>
                <m:t>2.Precision.Recall</m:t>
              </m:r>
            </m:num>
            <m:den>
              <m:r>
                <w:rPr>
                  <w:rStyle w:val="yazstiliChar"/>
                  <w:rFonts w:ascii="Cambria Math" w:hAnsi="Cambria Math"/>
                </w:rPr>
                <m:t>Precision+Recall</m:t>
              </m:r>
            </m:den>
          </m:f>
        </m:oMath>
      </m:oMathPara>
    </w:p>
    <w:p w14:paraId="417FF046" w14:textId="77777777" w:rsidR="006B6595" w:rsidRPr="00FF5CBA" w:rsidRDefault="006B6595" w:rsidP="006B6595">
      <w:pPr>
        <w:pStyle w:val="Gop-DzYaz"/>
        <w:spacing w:after="0"/>
        <w:ind w:firstLine="708"/>
        <w:rPr>
          <w:rStyle w:val="yazstiliChar"/>
        </w:rPr>
      </w:pPr>
    </w:p>
    <w:p w14:paraId="643194C1" w14:textId="77777777" w:rsidR="006B6595" w:rsidRPr="00FF5CBA" w:rsidRDefault="006B6595" w:rsidP="006B6595">
      <w:pPr>
        <w:pStyle w:val="temelyazi"/>
        <w:rPr>
          <w:b/>
          <w:bCs/>
        </w:rPr>
      </w:pPr>
      <w:r>
        <w:t xml:space="preserve">BLEURT is an evaluation metric designed to assess both the fluency and semantic adequacy of a candidate sentence by comparing it to a reference sentence. It is particularly effective in tasks such as machine translation, summarization, and text generation, where output quality is crucial. Unlike traditional rule-based metrics, BLEURT is trained as a regression model to produce quality scores that align closely with human judgments </w:t>
      </w:r>
      <w:r w:rsidRPr="00FF5CBA">
        <w:fldChar w:fldCharType="begin"/>
      </w:r>
      <w:r>
        <w:instrText xml:space="preserve"> ADDIN EN.CITE &lt;EndNote&gt;&lt;Cite&gt;&lt;Author&gt;Nofal&lt;/Author&gt;&lt;Year&gt;2025&lt;/Year&gt;&lt;RecNum&gt;30&lt;/RecNum&gt;&lt;DisplayText&gt;(Nofal et al., 2025)&lt;/DisplayText&gt;&lt;record&gt;&lt;rec-number&gt;30&lt;/rec-number&gt;&lt;foreign-keys&gt;&lt;key app="EN" db-id="zrtsxd05rfaafsesstqx2arne0rtfd5rpt5t" timestamp="1750234161"&gt;30&lt;/key&gt;&lt;/foreign-keys&gt;&lt;ref-type name="Journal Article"&gt;17&lt;/ref-type&gt;&lt;contributors&gt;&lt;authors&gt;&lt;author&gt;Nofal, Abdullah Bin&lt;/author&gt;&lt;author&gt;Ali, Hassan&lt;/author&gt;&lt;author&gt;Hadi, Muhammad&lt;/author&gt;&lt;author&gt;Ahmad, Aizaz&lt;/author&gt;&lt;author&gt;Qayyum, Adnan&lt;/author&gt;&lt;author&gt;Johri, Aditya&lt;/author&gt;&lt;author&gt;Al-Fuqaha, Ala&lt;/author&gt;&lt;author&gt;Qadir, Junaid&lt;/author&gt;&lt;/authors&gt;&lt;/contributors&gt;&lt;titles&gt;&lt;title&gt;AI-enhanced interview simulation in the metaverse: Transforming professional skills training through VR and generative conversational AI&lt;/title&gt;&lt;secondary-title&gt;Computers and Education: Artificial Intelligence&lt;/secondary-title&gt;&lt;/titles&gt;&lt;periodical&gt;&lt;full-title&gt;Computers and Education: Artificial Intelligence&lt;/full-title&gt;&lt;/periodical&gt;&lt;pages&gt;100347&lt;/pages&gt;&lt;volume&gt;8&lt;/volume&gt;&lt;dates&gt;&lt;year&gt;2025&lt;/year&gt;&lt;/dates&gt;&lt;isbn&gt;2666-920X&lt;/isbn&gt;&lt;urls&gt;&lt;/urls&gt;&lt;electronic-resource-num&gt;10.1016/j.caeai.2024.100347&lt;/electronic-resource-num&gt;&lt;/record&gt;&lt;/Cite&gt;&lt;/EndNote&gt;</w:instrText>
      </w:r>
      <w:r w:rsidRPr="00FF5CBA">
        <w:fldChar w:fldCharType="separate"/>
      </w:r>
      <w:r w:rsidRPr="00FF5CBA">
        <w:rPr>
          <w:noProof/>
        </w:rPr>
        <w:t>(Nofal et al., 2025)</w:t>
      </w:r>
      <w:r w:rsidRPr="00FF5CBA">
        <w:fldChar w:fldCharType="end"/>
      </w:r>
      <w:r>
        <w:t>. This learning-based approach allows it to capture nuanced linguistic features and contextual relevance more effectively.</w:t>
      </w:r>
    </w:p>
    <w:p w14:paraId="5D249C75" w14:textId="77777777" w:rsidR="006B6595" w:rsidRDefault="006B6595" w:rsidP="006B6595">
      <w:pPr>
        <w:pStyle w:val="temelyazi"/>
        <w:rPr>
          <w:rStyle w:val="Gl"/>
          <w:b w:val="0"/>
          <w:bCs w:val="0"/>
        </w:rPr>
      </w:pPr>
      <w:r>
        <w:t xml:space="preserve">The Dialogue RPT score evaluates the quality of dialogue responses using a pre-trained model fine-tuned on ranking-based data. Its primary goal is to predict which response among multiple candidates is superior in quality. Rather than producing an absolute evaluation, the model assigns a relative score that reflects how a given response compares to others in the set. A higher score indicates a stronger preference, signifying that the model considers the response more appropriate or relevant </w:t>
      </w:r>
      <w:r w:rsidRPr="00FF5CBA">
        <w:rPr>
          <w:rStyle w:val="Gl"/>
          <w:b w:val="0"/>
          <w:bCs w:val="0"/>
        </w:rPr>
        <w:fldChar w:fldCharType="begin"/>
      </w:r>
      <w:r>
        <w:rPr>
          <w:rStyle w:val="Gl"/>
          <w:b w:val="0"/>
          <w:bCs w:val="0"/>
        </w:rPr>
        <w:instrText xml:space="preserve"> ADDIN EN.CITE &lt;EndNote&gt;&lt;Cite&gt;&lt;Author&gt;Gao&lt;/Author&gt;&lt;Year&gt;2020&lt;/Year&gt;&lt;RecNum&gt;59&lt;/RecNum&gt;&lt;DisplayText&gt;(Gao et al., 2020)&lt;/DisplayText&gt;&lt;record&gt;&lt;rec-number&gt;59&lt;/rec-number&gt;&lt;foreign-keys&gt;&lt;key app="EN" db-id="zrtsxd05rfaafsesstqx2arne0rtfd5rpt5t" timestamp="1750234166"&gt;59&lt;/key&gt;&lt;/foreign-keys&gt;&lt;ref-type name="Conference Proceedings"&gt;10&lt;/ref-type&gt;&lt;contributors&gt;&lt;authors&gt;&lt;author&gt;Gao, Xiang&lt;/author&gt;&lt;author&gt;Zhang, Yizhe&lt;/author&gt;&lt;author&gt;Galley, Michel&lt;/author&gt;&lt;author&gt;Brockett, Chris&lt;/author&gt;&lt;author&gt;Dolan, Bill&lt;/author&gt;&lt;/authors&gt;&lt;/contributors&gt;&lt;titles&gt;&lt;title&gt;Dialogue response ranking training with large-scale human feedback data&lt;/title&gt;&lt;secondary-title&gt;Proceedings of the 2020 Conference on Empirical Methods in Natural Language Processing&lt;/secondary-title&gt;&lt;/titles&gt;&lt;pages&gt;386-395&lt;/pages&gt;&lt;dates&gt;&lt;year&gt;2020&lt;/year&gt;&lt;/dates&gt;&lt;publisher&gt;Association for Computational Linguistics&lt;/publisher&gt;&lt;urls&gt;&lt;/urls&gt;&lt;electronic-resource-num&gt;10.18653/v1/2020.emnlp-main.28&lt;/electronic-resource-num&gt;&lt;/record&gt;&lt;/Cite&gt;&lt;/EndNote&gt;</w:instrText>
      </w:r>
      <w:r w:rsidRPr="00FF5CBA">
        <w:rPr>
          <w:rStyle w:val="Gl"/>
          <w:b w:val="0"/>
          <w:bCs w:val="0"/>
        </w:rPr>
        <w:fldChar w:fldCharType="separate"/>
      </w:r>
      <w:r w:rsidRPr="00FF5CBA">
        <w:rPr>
          <w:rStyle w:val="Gl"/>
          <w:b w:val="0"/>
          <w:bCs w:val="0"/>
          <w:noProof/>
        </w:rPr>
        <w:t>(Gao et al., 2020)</w:t>
      </w:r>
      <w:r w:rsidRPr="00FF5CBA">
        <w:rPr>
          <w:rStyle w:val="Gl"/>
          <w:b w:val="0"/>
          <w:bCs w:val="0"/>
        </w:rPr>
        <w:fldChar w:fldCharType="end"/>
      </w:r>
      <w:r w:rsidRPr="00FF5CBA">
        <w:rPr>
          <w:rStyle w:val="Gl"/>
          <w:b w:val="0"/>
          <w:bCs w:val="0"/>
        </w:rPr>
        <w:t>.</w:t>
      </w:r>
    </w:p>
    <w:p w14:paraId="6F2C3D75" w14:textId="77777777" w:rsidR="00295F86" w:rsidRDefault="00295F86"/>
    <w:p w14:paraId="6D10C21C" w14:textId="544FBBD0" w:rsidR="00295F86" w:rsidRPr="00295F86" w:rsidRDefault="00295F86">
      <w:pPr>
        <w:rPr>
          <w:b/>
          <w:bCs/>
        </w:rPr>
      </w:pPr>
      <w:r w:rsidRPr="00295F86">
        <w:rPr>
          <w:b/>
          <w:bCs/>
        </w:rPr>
        <w:t>REFERENCES</w:t>
      </w:r>
    </w:p>
    <w:p w14:paraId="6FFE237C" w14:textId="77777777" w:rsidR="00295F86" w:rsidRDefault="00295F86"/>
    <w:p w14:paraId="5B556D0E" w14:textId="541F9788" w:rsidR="00295F86" w:rsidRPr="00295F86" w:rsidRDefault="00295F86" w:rsidP="00295F86">
      <w:pPr>
        <w:pStyle w:val="EndNoteBibliography"/>
        <w:ind w:left="720" w:hanging="720"/>
        <w:jc w:val="both"/>
        <w:rPr>
          <w:noProof/>
        </w:rPr>
      </w:pPr>
      <w:r>
        <w:fldChar w:fldCharType="begin"/>
      </w:r>
      <w:r>
        <w:instrText xml:space="preserve"> ADDIN EN.REFLIST </w:instrText>
      </w:r>
      <w:r>
        <w:fldChar w:fldCharType="separate"/>
      </w:r>
      <w:r w:rsidRPr="00295F86">
        <w:rPr>
          <w:noProof/>
        </w:rPr>
        <w:t xml:space="preserve">Citarella, A. A., Barbella, M., Ciobanu, M. G., De Marco, F., Di Biasi, L., &amp; Tortora, G. (2025). Assessing the effectiveness of ROUGE as unbiased metric in Extractive vs. Abstractive summarization techniques. </w:t>
      </w:r>
      <w:r w:rsidRPr="00295F86">
        <w:rPr>
          <w:i/>
          <w:noProof/>
        </w:rPr>
        <w:t>Journal of Computational Science</w:t>
      </w:r>
      <w:r w:rsidRPr="00295F86">
        <w:rPr>
          <w:noProof/>
        </w:rPr>
        <w:t>,</w:t>
      </w:r>
      <w:r w:rsidRPr="00295F86">
        <w:rPr>
          <w:i/>
          <w:noProof/>
        </w:rPr>
        <w:t xml:space="preserve"> 87</w:t>
      </w:r>
      <w:r w:rsidRPr="00295F86">
        <w:rPr>
          <w:noProof/>
        </w:rPr>
        <w:t xml:space="preserve">, 102571. </w:t>
      </w:r>
      <w:hyperlink r:id="rId4" w:history="1">
        <w:r w:rsidRPr="00295F86">
          <w:rPr>
            <w:rStyle w:val="Kpr"/>
            <w:noProof/>
          </w:rPr>
          <w:t>https://doi.org/10.1016/j.jocs.2025.102571</w:t>
        </w:r>
      </w:hyperlink>
      <w:r w:rsidRPr="00295F86">
        <w:rPr>
          <w:noProof/>
        </w:rPr>
        <w:t xml:space="preserve"> </w:t>
      </w:r>
    </w:p>
    <w:p w14:paraId="2895D739" w14:textId="0460F4D9" w:rsidR="00295F86" w:rsidRPr="00295F86" w:rsidRDefault="00295F86" w:rsidP="00295F86">
      <w:pPr>
        <w:pStyle w:val="EndNoteBibliography"/>
        <w:ind w:left="720" w:hanging="720"/>
        <w:jc w:val="both"/>
        <w:rPr>
          <w:noProof/>
        </w:rPr>
      </w:pPr>
      <w:r w:rsidRPr="00295F86">
        <w:rPr>
          <w:noProof/>
        </w:rPr>
        <w:t xml:space="preserve">Denkowski, M., &amp; Lavie, A. (2014, June, 2014). Meteor universal: Language specific translation evaluation for any target language. Proceedings of the ninth workshop on statistical machine translation, Maryland, USA, </w:t>
      </w:r>
      <w:hyperlink r:id="rId5" w:history="1">
        <w:r w:rsidRPr="00295F86">
          <w:rPr>
            <w:rStyle w:val="Kpr"/>
            <w:noProof/>
          </w:rPr>
          <w:t>https://doi.org/10.3115/v1/W14-3348</w:t>
        </w:r>
      </w:hyperlink>
    </w:p>
    <w:p w14:paraId="435F15FE" w14:textId="49CF0CBA" w:rsidR="00295F86" w:rsidRPr="00295F86" w:rsidRDefault="00295F86" w:rsidP="00295F86">
      <w:pPr>
        <w:pStyle w:val="EndNoteBibliography"/>
        <w:ind w:left="720" w:hanging="720"/>
        <w:jc w:val="both"/>
        <w:rPr>
          <w:noProof/>
        </w:rPr>
      </w:pPr>
      <w:r w:rsidRPr="00295F86">
        <w:rPr>
          <w:noProof/>
        </w:rPr>
        <w:t xml:space="preserve">Figueroa, R. (2023). </w:t>
      </w:r>
      <w:r w:rsidRPr="00295F86">
        <w:rPr>
          <w:i/>
          <w:noProof/>
        </w:rPr>
        <w:t>Evaluating adaptive layer freezing through hyperparameter optimization for enhanced fine-tuning performance of language models</w:t>
      </w:r>
      <w:r w:rsidRPr="00295F86">
        <w:rPr>
          <w:noProof/>
        </w:rPr>
        <w:t xml:space="preserve"> Massachusetts Institute of </w:t>
      </w:r>
      <w:r w:rsidRPr="00295F86">
        <w:rPr>
          <w:noProof/>
        </w:rPr>
        <w:lastRenderedPageBreak/>
        <w:t xml:space="preserve">Technology]. Massachusetts Institute of Technology. </w:t>
      </w:r>
      <w:hyperlink r:id="rId6" w:history="1">
        <w:r w:rsidRPr="00295F86">
          <w:rPr>
            <w:rStyle w:val="Kpr"/>
            <w:noProof/>
          </w:rPr>
          <w:t>https://hdl.handle.net/1721.1/157169</w:t>
        </w:r>
      </w:hyperlink>
    </w:p>
    <w:p w14:paraId="0BD643E8" w14:textId="54C1F6BB" w:rsidR="00295F86" w:rsidRPr="00295F86" w:rsidRDefault="00295F86" w:rsidP="00295F86">
      <w:pPr>
        <w:pStyle w:val="EndNoteBibliography"/>
        <w:ind w:left="720" w:hanging="720"/>
        <w:jc w:val="both"/>
        <w:rPr>
          <w:noProof/>
        </w:rPr>
      </w:pPr>
      <w:r w:rsidRPr="00295F86">
        <w:rPr>
          <w:noProof/>
        </w:rPr>
        <w:t xml:space="preserve">Gao, X., Zhang, Y., Galley, M., Brockett, C., &amp; Dolan, B. (2020). Dialogue response ranking training with large-scale human feedback data. Proceedings of the 2020 Conference on Empirical Methods in Natural Language Processing, </w:t>
      </w:r>
      <w:hyperlink r:id="rId7" w:history="1">
        <w:r w:rsidRPr="00295F86">
          <w:rPr>
            <w:rStyle w:val="Kpr"/>
            <w:noProof/>
          </w:rPr>
          <w:t>https://doi.org/10.18653/v1/2020.emnlp-main.28</w:t>
        </w:r>
      </w:hyperlink>
    </w:p>
    <w:p w14:paraId="530B28CB" w14:textId="36A7F53F" w:rsidR="00295F86" w:rsidRPr="00295F86" w:rsidRDefault="00295F86" w:rsidP="00295F86">
      <w:pPr>
        <w:pStyle w:val="EndNoteBibliography"/>
        <w:ind w:left="720" w:hanging="720"/>
        <w:jc w:val="both"/>
        <w:rPr>
          <w:noProof/>
        </w:rPr>
      </w:pPr>
      <w:r w:rsidRPr="00295F86">
        <w:rPr>
          <w:noProof/>
        </w:rPr>
        <w:t xml:space="preserve">Jelinek, F., Mercer, R. L., Bahl, L. R., &amp; Baker, J. K. (1977). Perplexity—a measure of the difficulty of speech recognition tasks. </w:t>
      </w:r>
      <w:r w:rsidRPr="00295F86">
        <w:rPr>
          <w:i/>
          <w:noProof/>
        </w:rPr>
        <w:t>The Journal of the Acoustical Society of America</w:t>
      </w:r>
      <w:r w:rsidRPr="00295F86">
        <w:rPr>
          <w:noProof/>
        </w:rPr>
        <w:t>,</w:t>
      </w:r>
      <w:r w:rsidRPr="00295F86">
        <w:rPr>
          <w:i/>
          <w:noProof/>
        </w:rPr>
        <w:t xml:space="preserve"> 62</w:t>
      </w:r>
      <w:r w:rsidRPr="00295F86">
        <w:rPr>
          <w:noProof/>
        </w:rPr>
        <w:t xml:space="preserve">(S1), S63-S63. </w:t>
      </w:r>
      <w:hyperlink r:id="rId8" w:history="1">
        <w:r w:rsidRPr="00295F86">
          <w:rPr>
            <w:rStyle w:val="Kpr"/>
            <w:noProof/>
          </w:rPr>
          <w:t>https://doi.org/10.1121/1.2016299</w:t>
        </w:r>
      </w:hyperlink>
      <w:r w:rsidRPr="00295F86">
        <w:rPr>
          <w:noProof/>
        </w:rPr>
        <w:t xml:space="preserve"> </w:t>
      </w:r>
    </w:p>
    <w:p w14:paraId="071BD6CA" w14:textId="71B4F0DE" w:rsidR="00295F86" w:rsidRPr="00295F86" w:rsidRDefault="00295F86" w:rsidP="00295F86">
      <w:pPr>
        <w:pStyle w:val="EndNoteBibliography"/>
        <w:ind w:left="720" w:hanging="720"/>
        <w:jc w:val="both"/>
        <w:rPr>
          <w:noProof/>
        </w:rPr>
      </w:pPr>
      <w:r w:rsidRPr="00295F86">
        <w:rPr>
          <w:noProof/>
        </w:rPr>
        <w:t xml:space="preserve">Jin, K., Xiong, Y., Lou, S., &amp; Yu, Z. (2024). MAFD: Multiple adversarial features detector for enhanced detection of text based adversarial examples. </w:t>
      </w:r>
      <w:r w:rsidRPr="00295F86">
        <w:rPr>
          <w:i/>
          <w:noProof/>
        </w:rPr>
        <w:t>Neural Processing Letters</w:t>
      </w:r>
      <w:r w:rsidRPr="00295F86">
        <w:rPr>
          <w:noProof/>
        </w:rPr>
        <w:t>,</w:t>
      </w:r>
      <w:r w:rsidRPr="00295F86">
        <w:rPr>
          <w:i/>
          <w:noProof/>
        </w:rPr>
        <w:t xml:space="preserve"> 56</w:t>
      </w:r>
      <w:r w:rsidRPr="00295F86">
        <w:rPr>
          <w:noProof/>
        </w:rPr>
        <w:t xml:space="preserve">(6), 1-24. </w:t>
      </w:r>
      <w:hyperlink r:id="rId9" w:history="1">
        <w:r w:rsidRPr="00295F86">
          <w:rPr>
            <w:rStyle w:val="Kpr"/>
            <w:noProof/>
          </w:rPr>
          <w:t>https://doi.org/10.1007/s11063-024-11710-0</w:t>
        </w:r>
      </w:hyperlink>
      <w:r w:rsidRPr="00295F86">
        <w:rPr>
          <w:noProof/>
        </w:rPr>
        <w:t xml:space="preserve"> </w:t>
      </w:r>
    </w:p>
    <w:p w14:paraId="1158D991" w14:textId="2BD09848" w:rsidR="00295F86" w:rsidRPr="00295F86" w:rsidRDefault="00295F86" w:rsidP="00295F86">
      <w:pPr>
        <w:pStyle w:val="EndNoteBibliography"/>
        <w:ind w:left="720" w:hanging="720"/>
        <w:jc w:val="both"/>
        <w:rPr>
          <w:noProof/>
        </w:rPr>
      </w:pPr>
      <w:r w:rsidRPr="00295F86">
        <w:rPr>
          <w:noProof/>
        </w:rPr>
        <w:t xml:space="preserve">Nofal, A. B., Ali, H., Hadi, M., Ahmad, A., Qayyum, A., Johri, A., Al-Fuqaha, A., &amp; Qadir, J. (2025). AI-enhanced interview simulation in the metaverse: Transforming professional skills training through VR and generative conversational AI. </w:t>
      </w:r>
      <w:r w:rsidRPr="00295F86">
        <w:rPr>
          <w:i/>
          <w:noProof/>
        </w:rPr>
        <w:t>Computers and Education: Artificial Intelligence</w:t>
      </w:r>
      <w:r w:rsidRPr="00295F86">
        <w:rPr>
          <w:noProof/>
        </w:rPr>
        <w:t>,</w:t>
      </w:r>
      <w:r w:rsidRPr="00295F86">
        <w:rPr>
          <w:i/>
          <w:noProof/>
        </w:rPr>
        <w:t xml:space="preserve"> 8</w:t>
      </w:r>
      <w:r w:rsidRPr="00295F86">
        <w:rPr>
          <w:noProof/>
        </w:rPr>
        <w:t xml:space="preserve">, 100347. </w:t>
      </w:r>
      <w:hyperlink r:id="rId10" w:history="1">
        <w:r w:rsidRPr="00295F86">
          <w:rPr>
            <w:rStyle w:val="Kpr"/>
            <w:noProof/>
          </w:rPr>
          <w:t>https://doi.org/10.1016/j.caeai.2024.100347</w:t>
        </w:r>
      </w:hyperlink>
      <w:r w:rsidRPr="00295F86">
        <w:rPr>
          <w:noProof/>
        </w:rPr>
        <w:t xml:space="preserve"> </w:t>
      </w:r>
    </w:p>
    <w:p w14:paraId="08CD7A38" w14:textId="3223CF86" w:rsidR="00295F86" w:rsidRPr="00295F86" w:rsidRDefault="00295F86" w:rsidP="00295F86">
      <w:pPr>
        <w:pStyle w:val="EndNoteBibliography"/>
        <w:ind w:left="720" w:hanging="720"/>
        <w:jc w:val="both"/>
        <w:rPr>
          <w:noProof/>
        </w:rPr>
      </w:pPr>
      <w:r w:rsidRPr="00295F86">
        <w:rPr>
          <w:noProof/>
        </w:rPr>
        <w:t xml:space="preserve">Rivera-Trigueros, I. (2022). Machine translation systems and quality assessment: A systematic review. </w:t>
      </w:r>
      <w:r w:rsidRPr="00295F86">
        <w:rPr>
          <w:i/>
          <w:noProof/>
        </w:rPr>
        <w:t>Language Resources and Evaluation</w:t>
      </w:r>
      <w:r w:rsidRPr="00295F86">
        <w:rPr>
          <w:noProof/>
        </w:rPr>
        <w:t>,</w:t>
      </w:r>
      <w:r w:rsidRPr="00295F86">
        <w:rPr>
          <w:i/>
          <w:noProof/>
        </w:rPr>
        <w:t xml:space="preserve"> 56</w:t>
      </w:r>
      <w:r w:rsidRPr="00295F86">
        <w:rPr>
          <w:noProof/>
        </w:rPr>
        <w:t xml:space="preserve">(2), 593-619. </w:t>
      </w:r>
      <w:hyperlink r:id="rId11" w:history="1">
        <w:r w:rsidRPr="00295F86">
          <w:rPr>
            <w:rStyle w:val="Kpr"/>
            <w:noProof/>
          </w:rPr>
          <w:t>https://doi.org/10.1007/s10579-021-09537-5</w:t>
        </w:r>
      </w:hyperlink>
      <w:r w:rsidRPr="00295F86">
        <w:rPr>
          <w:noProof/>
        </w:rPr>
        <w:t xml:space="preserve"> </w:t>
      </w:r>
    </w:p>
    <w:p w14:paraId="404503E1" w14:textId="31363CF6" w:rsidR="006B6444" w:rsidRDefault="00295F86" w:rsidP="00295F86">
      <w:pPr>
        <w:jc w:val="both"/>
      </w:pPr>
      <w:r>
        <w:fldChar w:fldCharType="end"/>
      </w:r>
    </w:p>
    <w:sectPr w:rsidR="006B64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B6595"/>
    <w:rsid w:val="00011715"/>
    <w:rsid w:val="000117D4"/>
    <w:rsid w:val="000160F6"/>
    <w:rsid w:val="00025757"/>
    <w:rsid w:val="00030248"/>
    <w:rsid w:val="000308DE"/>
    <w:rsid w:val="0003296F"/>
    <w:rsid w:val="00036437"/>
    <w:rsid w:val="00037219"/>
    <w:rsid w:val="000408BA"/>
    <w:rsid w:val="00040A69"/>
    <w:rsid w:val="00053D1D"/>
    <w:rsid w:val="000554C7"/>
    <w:rsid w:val="000570A2"/>
    <w:rsid w:val="00057720"/>
    <w:rsid w:val="00060C61"/>
    <w:rsid w:val="0006237A"/>
    <w:rsid w:val="00066448"/>
    <w:rsid w:val="00066734"/>
    <w:rsid w:val="00066C44"/>
    <w:rsid w:val="00066D86"/>
    <w:rsid w:val="0007177A"/>
    <w:rsid w:val="00072B2D"/>
    <w:rsid w:val="00074CC9"/>
    <w:rsid w:val="00075FCD"/>
    <w:rsid w:val="00080E1D"/>
    <w:rsid w:val="0008179F"/>
    <w:rsid w:val="000828D8"/>
    <w:rsid w:val="00087457"/>
    <w:rsid w:val="00094284"/>
    <w:rsid w:val="000966B5"/>
    <w:rsid w:val="000A1C17"/>
    <w:rsid w:val="000B2226"/>
    <w:rsid w:val="000B23DD"/>
    <w:rsid w:val="000B5B4A"/>
    <w:rsid w:val="000C2504"/>
    <w:rsid w:val="000C28C8"/>
    <w:rsid w:val="000C33AD"/>
    <w:rsid w:val="000C3C6C"/>
    <w:rsid w:val="000C4D0D"/>
    <w:rsid w:val="000C7B84"/>
    <w:rsid w:val="000D66F0"/>
    <w:rsid w:val="000D6F8E"/>
    <w:rsid w:val="000E1315"/>
    <w:rsid w:val="000E47B4"/>
    <w:rsid w:val="000F1037"/>
    <w:rsid w:val="000F45C2"/>
    <w:rsid w:val="00101B86"/>
    <w:rsid w:val="001053AA"/>
    <w:rsid w:val="00113E82"/>
    <w:rsid w:val="001144CD"/>
    <w:rsid w:val="001165F1"/>
    <w:rsid w:val="0012490E"/>
    <w:rsid w:val="00124E60"/>
    <w:rsid w:val="0012635E"/>
    <w:rsid w:val="00127C5E"/>
    <w:rsid w:val="00141802"/>
    <w:rsid w:val="00142270"/>
    <w:rsid w:val="00142435"/>
    <w:rsid w:val="00152C45"/>
    <w:rsid w:val="001614B8"/>
    <w:rsid w:val="00162226"/>
    <w:rsid w:val="00167EB9"/>
    <w:rsid w:val="00174F33"/>
    <w:rsid w:val="00177299"/>
    <w:rsid w:val="0018224A"/>
    <w:rsid w:val="00183478"/>
    <w:rsid w:val="00184293"/>
    <w:rsid w:val="001853E3"/>
    <w:rsid w:val="00190792"/>
    <w:rsid w:val="00192270"/>
    <w:rsid w:val="00196832"/>
    <w:rsid w:val="001B0636"/>
    <w:rsid w:val="001B1698"/>
    <w:rsid w:val="001B2C09"/>
    <w:rsid w:val="001B5F73"/>
    <w:rsid w:val="001C17A4"/>
    <w:rsid w:val="001C33BB"/>
    <w:rsid w:val="001C6A90"/>
    <w:rsid w:val="001D11A9"/>
    <w:rsid w:val="001D2B54"/>
    <w:rsid w:val="001D7798"/>
    <w:rsid w:val="001E467A"/>
    <w:rsid w:val="001E5B82"/>
    <w:rsid w:val="001F30C7"/>
    <w:rsid w:val="001F5A7B"/>
    <w:rsid w:val="002044B4"/>
    <w:rsid w:val="002115E2"/>
    <w:rsid w:val="002173F7"/>
    <w:rsid w:val="00220AB1"/>
    <w:rsid w:val="00220D2E"/>
    <w:rsid w:val="00221976"/>
    <w:rsid w:val="00222C41"/>
    <w:rsid w:val="00225FBA"/>
    <w:rsid w:val="0023087B"/>
    <w:rsid w:val="002316D5"/>
    <w:rsid w:val="00232119"/>
    <w:rsid w:val="00232250"/>
    <w:rsid w:val="00237A12"/>
    <w:rsid w:val="00237A81"/>
    <w:rsid w:val="00243371"/>
    <w:rsid w:val="0024366C"/>
    <w:rsid w:val="00244709"/>
    <w:rsid w:val="002460BD"/>
    <w:rsid w:val="0025399F"/>
    <w:rsid w:val="00255DB4"/>
    <w:rsid w:val="002570FF"/>
    <w:rsid w:val="00264595"/>
    <w:rsid w:val="00265AC6"/>
    <w:rsid w:val="002662F6"/>
    <w:rsid w:val="002807B2"/>
    <w:rsid w:val="00283438"/>
    <w:rsid w:val="0028395F"/>
    <w:rsid w:val="00283CE1"/>
    <w:rsid w:val="002931CC"/>
    <w:rsid w:val="00293282"/>
    <w:rsid w:val="00295F86"/>
    <w:rsid w:val="00296DFC"/>
    <w:rsid w:val="002A4AB3"/>
    <w:rsid w:val="002B7549"/>
    <w:rsid w:val="002C02EE"/>
    <w:rsid w:val="002C3478"/>
    <w:rsid w:val="002C5D0E"/>
    <w:rsid w:val="002C66F2"/>
    <w:rsid w:val="002D0F27"/>
    <w:rsid w:val="002D1026"/>
    <w:rsid w:val="002E532F"/>
    <w:rsid w:val="002F19AB"/>
    <w:rsid w:val="002F2EAA"/>
    <w:rsid w:val="002F7EB4"/>
    <w:rsid w:val="003033CA"/>
    <w:rsid w:val="00314F8F"/>
    <w:rsid w:val="00320358"/>
    <w:rsid w:val="00331D7C"/>
    <w:rsid w:val="00341CD6"/>
    <w:rsid w:val="00343C66"/>
    <w:rsid w:val="003459B5"/>
    <w:rsid w:val="00345F65"/>
    <w:rsid w:val="00346155"/>
    <w:rsid w:val="0034643F"/>
    <w:rsid w:val="00346986"/>
    <w:rsid w:val="003506FF"/>
    <w:rsid w:val="003626AF"/>
    <w:rsid w:val="00370A81"/>
    <w:rsid w:val="00370D66"/>
    <w:rsid w:val="003716C3"/>
    <w:rsid w:val="00372C7A"/>
    <w:rsid w:val="00374DD2"/>
    <w:rsid w:val="00375DA1"/>
    <w:rsid w:val="00383C96"/>
    <w:rsid w:val="00390081"/>
    <w:rsid w:val="003A6A9F"/>
    <w:rsid w:val="003C2D23"/>
    <w:rsid w:val="003D226D"/>
    <w:rsid w:val="003D4C50"/>
    <w:rsid w:val="003F426F"/>
    <w:rsid w:val="003F6CC7"/>
    <w:rsid w:val="0040298D"/>
    <w:rsid w:val="004105B2"/>
    <w:rsid w:val="00412A38"/>
    <w:rsid w:val="0041612A"/>
    <w:rsid w:val="00422906"/>
    <w:rsid w:val="00423BEC"/>
    <w:rsid w:val="00427592"/>
    <w:rsid w:val="00435F22"/>
    <w:rsid w:val="00441759"/>
    <w:rsid w:val="004468BE"/>
    <w:rsid w:val="0045179F"/>
    <w:rsid w:val="00455188"/>
    <w:rsid w:val="00460FF7"/>
    <w:rsid w:val="004632EF"/>
    <w:rsid w:val="00464AB0"/>
    <w:rsid w:val="0046627F"/>
    <w:rsid w:val="00467220"/>
    <w:rsid w:val="0047401B"/>
    <w:rsid w:val="004746D1"/>
    <w:rsid w:val="00476051"/>
    <w:rsid w:val="00477D84"/>
    <w:rsid w:val="00480196"/>
    <w:rsid w:val="00480632"/>
    <w:rsid w:val="0048360C"/>
    <w:rsid w:val="00485D4E"/>
    <w:rsid w:val="0049001A"/>
    <w:rsid w:val="004912DA"/>
    <w:rsid w:val="004925BC"/>
    <w:rsid w:val="004948CC"/>
    <w:rsid w:val="004970D9"/>
    <w:rsid w:val="004A1604"/>
    <w:rsid w:val="004A2CC1"/>
    <w:rsid w:val="004A364E"/>
    <w:rsid w:val="004A4E25"/>
    <w:rsid w:val="004A6CA3"/>
    <w:rsid w:val="004B687F"/>
    <w:rsid w:val="004C1A4F"/>
    <w:rsid w:val="004C7369"/>
    <w:rsid w:val="004D0622"/>
    <w:rsid w:val="004D0969"/>
    <w:rsid w:val="004D61C0"/>
    <w:rsid w:val="004E126C"/>
    <w:rsid w:val="004E5047"/>
    <w:rsid w:val="004F1FC2"/>
    <w:rsid w:val="004F6340"/>
    <w:rsid w:val="004F6901"/>
    <w:rsid w:val="005010ED"/>
    <w:rsid w:val="00501816"/>
    <w:rsid w:val="005055DC"/>
    <w:rsid w:val="00512ABA"/>
    <w:rsid w:val="005148A5"/>
    <w:rsid w:val="005155EB"/>
    <w:rsid w:val="005170C4"/>
    <w:rsid w:val="0052376C"/>
    <w:rsid w:val="00525C0C"/>
    <w:rsid w:val="00527F5D"/>
    <w:rsid w:val="00530610"/>
    <w:rsid w:val="00531B98"/>
    <w:rsid w:val="00532555"/>
    <w:rsid w:val="00564CD5"/>
    <w:rsid w:val="00567573"/>
    <w:rsid w:val="00575677"/>
    <w:rsid w:val="00582C03"/>
    <w:rsid w:val="00584DBC"/>
    <w:rsid w:val="00586285"/>
    <w:rsid w:val="00587528"/>
    <w:rsid w:val="00596385"/>
    <w:rsid w:val="005967E5"/>
    <w:rsid w:val="005A6780"/>
    <w:rsid w:val="005B046D"/>
    <w:rsid w:val="005B0B1F"/>
    <w:rsid w:val="005B335A"/>
    <w:rsid w:val="005B5AAB"/>
    <w:rsid w:val="005B6590"/>
    <w:rsid w:val="005C0106"/>
    <w:rsid w:val="005C0664"/>
    <w:rsid w:val="005C2F6B"/>
    <w:rsid w:val="005C4A61"/>
    <w:rsid w:val="005D1E55"/>
    <w:rsid w:val="005D627E"/>
    <w:rsid w:val="005E228C"/>
    <w:rsid w:val="005E5C0E"/>
    <w:rsid w:val="005E6707"/>
    <w:rsid w:val="005F3BFB"/>
    <w:rsid w:val="005F591A"/>
    <w:rsid w:val="005F5F96"/>
    <w:rsid w:val="00602245"/>
    <w:rsid w:val="00612B4B"/>
    <w:rsid w:val="0061747E"/>
    <w:rsid w:val="006205A2"/>
    <w:rsid w:val="006215AA"/>
    <w:rsid w:val="00622892"/>
    <w:rsid w:val="00626E61"/>
    <w:rsid w:val="00627E2D"/>
    <w:rsid w:val="00633B59"/>
    <w:rsid w:val="006405BC"/>
    <w:rsid w:val="006473D2"/>
    <w:rsid w:val="0065011D"/>
    <w:rsid w:val="00651C8F"/>
    <w:rsid w:val="00656F06"/>
    <w:rsid w:val="0065708F"/>
    <w:rsid w:val="0066063C"/>
    <w:rsid w:val="00661F07"/>
    <w:rsid w:val="00663189"/>
    <w:rsid w:val="00665EFC"/>
    <w:rsid w:val="00666784"/>
    <w:rsid w:val="00666B42"/>
    <w:rsid w:val="00673DC1"/>
    <w:rsid w:val="00677D70"/>
    <w:rsid w:val="00683F20"/>
    <w:rsid w:val="006843B5"/>
    <w:rsid w:val="006857F6"/>
    <w:rsid w:val="00685D8C"/>
    <w:rsid w:val="00697521"/>
    <w:rsid w:val="006A0A04"/>
    <w:rsid w:val="006A66AD"/>
    <w:rsid w:val="006A70C2"/>
    <w:rsid w:val="006B6444"/>
    <w:rsid w:val="006B6595"/>
    <w:rsid w:val="006C33A3"/>
    <w:rsid w:val="006C642A"/>
    <w:rsid w:val="006D0C14"/>
    <w:rsid w:val="006D1AD7"/>
    <w:rsid w:val="006D64E3"/>
    <w:rsid w:val="006E24E3"/>
    <w:rsid w:val="006E530D"/>
    <w:rsid w:val="006F451D"/>
    <w:rsid w:val="007108E9"/>
    <w:rsid w:val="00711C43"/>
    <w:rsid w:val="00712484"/>
    <w:rsid w:val="00716C8B"/>
    <w:rsid w:val="00722331"/>
    <w:rsid w:val="00724CE3"/>
    <w:rsid w:val="007253C8"/>
    <w:rsid w:val="00727E83"/>
    <w:rsid w:val="00730B92"/>
    <w:rsid w:val="007321FF"/>
    <w:rsid w:val="0073311A"/>
    <w:rsid w:val="0073487A"/>
    <w:rsid w:val="007431F5"/>
    <w:rsid w:val="00753B25"/>
    <w:rsid w:val="00754A61"/>
    <w:rsid w:val="00755B0D"/>
    <w:rsid w:val="00761C4D"/>
    <w:rsid w:val="00763DE0"/>
    <w:rsid w:val="007655B6"/>
    <w:rsid w:val="0077036C"/>
    <w:rsid w:val="007734EB"/>
    <w:rsid w:val="00783602"/>
    <w:rsid w:val="007932CB"/>
    <w:rsid w:val="007934D7"/>
    <w:rsid w:val="00796AD8"/>
    <w:rsid w:val="007A06D3"/>
    <w:rsid w:val="007A6260"/>
    <w:rsid w:val="007A7090"/>
    <w:rsid w:val="007B0A1B"/>
    <w:rsid w:val="007B4E96"/>
    <w:rsid w:val="007B6308"/>
    <w:rsid w:val="007C4AD1"/>
    <w:rsid w:val="007C4EE9"/>
    <w:rsid w:val="007C68A2"/>
    <w:rsid w:val="007C6EFE"/>
    <w:rsid w:val="007C7280"/>
    <w:rsid w:val="007D2D8A"/>
    <w:rsid w:val="007D4275"/>
    <w:rsid w:val="007D7057"/>
    <w:rsid w:val="007D70DA"/>
    <w:rsid w:val="007D7728"/>
    <w:rsid w:val="007D7911"/>
    <w:rsid w:val="007D7E3B"/>
    <w:rsid w:val="007E17DA"/>
    <w:rsid w:val="007E2FE0"/>
    <w:rsid w:val="007E5F69"/>
    <w:rsid w:val="007E6000"/>
    <w:rsid w:val="007F08D5"/>
    <w:rsid w:val="007F1D50"/>
    <w:rsid w:val="007F37B7"/>
    <w:rsid w:val="007F4707"/>
    <w:rsid w:val="0080023F"/>
    <w:rsid w:val="00801CFB"/>
    <w:rsid w:val="008040AC"/>
    <w:rsid w:val="008107C9"/>
    <w:rsid w:val="00812D7A"/>
    <w:rsid w:val="00821A16"/>
    <w:rsid w:val="0082323B"/>
    <w:rsid w:val="00827BC8"/>
    <w:rsid w:val="00830517"/>
    <w:rsid w:val="00834025"/>
    <w:rsid w:val="00836D7E"/>
    <w:rsid w:val="008370C6"/>
    <w:rsid w:val="00837B80"/>
    <w:rsid w:val="00841B2D"/>
    <w:rsid w:val="00847BF0"/>
    <w:rsid w:val="0085418C"/>
    <w:rsid w:val="008635C3"/>
    <w:rsid w:val="00870B90"/>
    <w:rsid w:val="00873D66"/>
    <w:rsid w:val="00880C1D"/>
    <w:rsid w:val="008853FB"/>
    <w:rsid w:val="0089243B"/>
    <w:rsid w:val="00892839"/>
    <w:rsid w:val="00893B02"/>
    <w:rsid w:val="008974A8"/>
    <w:rsid w:val="008A11E8"/>
    <w:rsid w:val="008A4082"/>
    <w:rsid w:val="008A6C10"/>
    <w:rsid w:val="008B16C8"/>
    <w:rsid w:val="008B2745"/>
    <w:rsid w:val="008C01B3"/>
    <w:rsid w:val="008C1196"/>
    <w:rsid w:val="008C286B"/>
    <w:rsid w:val="008C77FC"/>
    <w:rsid w:val="008E636F"/>
    <w:rsid w:val="008F410A"/>
    <w:rsid w:val="008F5D4B"/>
    <w:rsid w:val="008F6EB4"/>
    <w:rsid w:val="00902BF3"/>
    <w:rsid w:val="00904591"/>
    <w:rsid w:val="0090576A"/>
    <w:rsid w:val="00906529"/>
    <w:rsid w:val="00914C68"/>
    <w:rsid w:val="00920BD4"/>
    <w:rsid w:val="00921111"/>
    <w:rsid w:val="00923874"/>
    <w:rsid w:val="009310CD"/>
    <w:rsid w:val="00932491"/>
    <w:rsid w:val="00935A5E"/>
    <w:rsid w:val="00935C50"/>
    <w:rsid w:val="00937501"/>
    <w:rsid w:val="00952345"/>
    <w:rsid w:val="00954D90"/>
    <w:rsid w:val="00955231"/>
    <w:rsid w:val="0096145D"/>
    <w:rsid w:val="00962865"/>
    <w:rsid w:val="0097388E"/>
    <w:rsid w:val="00976852"/>
    <w:rsid w:val="009804F5"/>
    <w:rsid w:val="009805DE"/>
    <w:rsid w:val="00980A49"/>
    <w:rsid w:val="00982963"/>
    <w:rsid w:val="009853A0"/>
    <w:rsid w:val="00986C6A"/>
    <w:rsid w:val="00991121"/>
    <w:rsid w:val="009929B4"/>
    <w:rsid w:val="00995D42"/>
    <w:rsid w:val="009A1C5B"/>
    <w:rsid w:val="009A1F35"/>
    <w:rsid w:val="009A302E"/>
    <w:rsid w:val="009A4D10"/>
    <w:rsid w:val="009A6899"/>
    <w:rsid w:val="009A6BB3"/>
    <w:rsid w:val="009B00DE"/>
    <w:rsid w:val="009B2679"/>
    <w:rsid w:val="009B5234"/>
    <w:rsid w:val="009E1F8B"/>
    <w:rsid w:val="009E500D"/>
    <w:rsid w:val="009E7889"/>
    <w:rsid w:val="009F1C6A"/>
    <w:rsid w:val="00A0055D"/>
    <w:rsid w:val="00A03AE2"/>
    <w:rsid w:val="00A14FF2"/>
    <w:rsid w:val="00A17A13"/>
    <w:rsid w:val="00A254FE"/>
    <w:rsid w:val="00A315FF"/>
    <w:rsid w:val="00A348C4"/>
    <w:rsid w:val="00A3562C"/>
    <w:rsid w:val="00A3578F"/>
    <w:rsid w:val="00A35FFB"/>
    <w:rsid w:val="00A44352"/>
    <w:rsid w:val="00A45D55"/>
    <w:rsid w:val="00A46F03"/>
    <w:rsid w:val="00A51775"/>
    <w:rsid w:val="00A533F9"/>
    <w:rsid w:val="00A538E4"/>
    <w:rsid w:val="00A6624D"/>
    <w:rsid w:val="00A67008"/>
    <w:rsid w:val="00A7275F"/>
    <w:rsid w:val="00A77AE8"/>
    <w:rsid w:val="00A826A6"/>
    <w:rsid w:val="00A831CD"/>
    <w:rsid w:val="00A84EC3"/>
    <w:rsid w:val="00A86DE6"/>
    <w:rsid w:val="00A90133"/>
    <w:rsid w:val="00A905B4"/>
    <w:rsid w:val="00A92491"/>
    <w:rsid w:val="00AA157A"/>
    <w:rsid w:val="00AA5C53"/>
    <w:rsid w:val="00AB53B3"/>
    <w:rsid w:val="00AB58B7"/>
    <w:rsid w:val="00AB5CDA"/>
    <w:rsid w:val="00AC0D3B"/>
    <w:rsid w:val="00AC7F12"/>
    <w:rsid w:val="00AD3161"/>
    <w:rsid w:val="00AD3944"/>
    <w:rsid w:val="00AD4DE6"/>
    <w:rsid w:val="00AD72C4"/>
    <w:rsid w:val="00AE08D2"/>
    <w:rsid w:val="00AE3CFF"/>
    <w:rsid w:val="00AE50E4"/>
    <w:rsid w:val="00AE7AFA"/>
    <w:rsid w:val="00AF0636"/>
    <w:rsid w:val="00AF1F50"/>
    <w:rsid w:val="00AF27EB"/>
    <w:rsid w:val="00AF38CE"/>
    <w:rsid w:val="00AF751E"/>
    <w:rsid w:val="00AF797B"/>
    <w:rsid w:val="00AF7DB4"/>
    <w:rsid w:val="00B05D7D"/>
    <w:rsid w:val="00B13140"/>
    <w:rsid w:val="00B17270"/>
    <w:rsid w:val="00B205DC"/>
    <w:rsid w:val="00B21197"/>
    <w:rsid w:val="00B24889"/>
    <w:rsid w:val="00B27F42"/>
    <w:rsid w:val="00B333F3"/>
    <w:rsid w:val="00B33778"/>
    <w:rsid w:val="00B3768B"/>
    <w:rsid w:val="00B40A3F"/>
    <w:rsid w:val="00B41298"/>
    <w:rsid w:val="00B51A2E"/>
    <w:rsid w:val="00B51D3B"/>
    <w:rsid w:val="00B52C0D"/>
    <w:rsid w:val="00B5354E"/>
    <w:rsid w:val="00B54558"/>
    <w:rsid w:val="00B56A2C"/>
    <w:rsid w:val="00B57D04"/>
    <w:rsid w:val="00B6075D"/>
    <w:rsid w:val="00B621BB"/>
    <w:rsid w:val="00B638F8"/>
    <w:rsid w:val="00B6503B"/>
    <w:rsid w:val="00B653F4"/>
    <w:rsid w:val="00B67F30"/>
    <w:rsid w:val="00B71DF4"/>
    <w:rsid w:val="00B746A3"/>
    <w:rsid w:val="00B801B4"/>
    <w:rsid w:val="00B872E5"/>
    <w:rsid w:val="00B8762A"/>
    <w:rsid w:val="00B906D2"/>
    <w:rsid w:val="00B92075"/>
    <w:rsid w:val="00BA1E8A"/>
    <w:rsid w:val="00BA394C"/>
    <w:rsid w:val="00BA5E7D"/>
    <w:rsid w:val="00BC1759"/>
    <w:rsid w:val="00BC4D19"/>
    <w:rsid w:val="00BC532A"/>
    <w:rsid w:val="00BD3B9E"/>
    <w:rsid w:val="00BD47FF"/>
    <w:rsid w:val="00BD6C26"/>
    <w:rsid w:val="00BE0193"/>
    <w:rsid w:val="00BE0891"/>
    <w:rsid w:val="00BE231F"/>
    <w:rsid w:val="00BE49B4"/>
    <w:rsid w:val="00BE529F"/>
    <w:rsid w:val="00BE612D"/>
    <w:rsid w:val="00BE700C"/>
    <w:rsid w:val="00BE7759"/>
    <w:rsid w:val="00BE7E27"/>
    <w:rsid w:val="00BF336A"/>
    <w:rsid w:val="00BF3562"/>
    <w:rsid w:val="00BF701B"/>
    <w:rsid w:val="00BF7D76"/>
    <w:rsid w:val="00C00D41"/>
    <w:rsid w:val="00C10AB6"/>
    <w:rsid w:val="00C119DC"/>
    <w:rsid w:val="00C12DB4"/>
    <w:rsid w:val="00C14505"/>
    <w:rsid w:val="00C20C72"/>
    <w:rsid w:val="00C23030"/>
    <w:rsid w:val="00C36298"/>
    <w:rsid w:val="00C36AAE"/>
    <w:rsid w:val="00C3790E"/>
    <w:rsid w:val="00C40AF9"/>
    <w:rsid w:val="00C40D68"/>
    <w:rsid w:val="00C42533"/>
    <w:rsid w:val="00C42555"/>
    <w:rsid w:val="00C52BF0"/>
    <w:rsid w:val="00C52ED4"/>
    <w:rsid w:val="00C55B98"/>
    <w:rsid w:val="00C61DB6"/>
    <w:rsid w:val="00C63F88"/>
    <w:rsid w:val="00C72352"/>
    <w:rsid w:val="00C73088"/>
    <w:rsid w:val="00C76017"/>
    <w:rsid w:val="00C92D23"/>
    <w:rsid w:val="00C94825"/>
    <w:rsid w:val="00CA22E8"/>
    <w:rsid w:val="00CA43B5"/>
    <w:rsid w:val="00CA5718"/>
    <w:rsid w:val="00CA5D0A"/>
    <w:rsid w:val="00CA7A89"/>
    <w:rsid w:val="00CB322D"/>
    <w:rsid w:val="00CB49BB"/>
    <w:rsid w:val="00CB5FC1"/>
    <w:rsid w:val="00CB7B37"/>
    <w:rsid w:val="00CC0D05"/>
    <w:rsid w:val="00CC34C1"/>
    <w:rsid w:val="00CC5C1F"/>
    <w:rsid w:val="00CD1B78"/>
    <w:rsid w:val="00CD52D9"/>
    <w:rsid w:val="00CE0B92"/>
    <w:rsid w:val="00CE3972"/>
    <w:rsid w:val="00CE4DCD"/>
    <w:rsid w:val="00CE4F41"/>
    <w:rsid w:val="00CE589D"/>
    <w:rsid w:val="00CE7579"/>
    <w:rsid w:val="00CF0966"/>
    <w:rsid w:val="00CF2524"/>
    <w:rsid w:val="00CF2973"/>
    <w:rsid w:val="00CF3414"/>
    <w:rsid w:val="00CF52C1"/>
    <w:rsid w:val="00D00FFE"/>
    <w:rsid w:val="00D024A5"/>
    <w:rsid w:val="00D02FB1"/>
    <w:rsid w:val="00D064C7"/>
    <w:rsid w:val="00D07C89"/>
    <w:rsid w:val="00D10327"/>
    <w:rsid w:val="00D204E0"/>
    <w:rsid w:val="00D21AF7"/>
    <w:rsid w:val="00D229AD"/>
    <w:rsid w:val="00D22FAF"/>
    <w:rsid w:val="00D23E49"/>
    <w:rsid w:val="00D2413A"/>
    <w:rsid w:val="00D2639E"/>
    <w:rsid w:val="00D27593"/>
    <w:rsid w:val="00D3275B"/>
    <w:rsid w:val="00D35E24"/>
    <w:rsid w:val="00D40A7C"/>
    <w:rsid w:val="00D43783"/>
    <w:rsid w:val="00D44E98"/>
    <w:rsid w:val="00D4650E"/>
    <w:rsid w:val="00D50049"/>
    <w:rsid w:val="00D50962"/>
    <w:rsid w:val="00D5280F"/>
    <w:rsid w:val="00D543D4"/>
    <w:rsid w:val="00D54F34"/>
    <w:rsid w:val="00D55CBE"/>
    <w:rsid w:val="00D60202"/>
    <w:rsid w:val="00D61B50"/>
    <w:rsid w:val="00D65A9D"/>
    <w:rsid w:val="00D6627F"/>
    <w:rsid w:val="00D673CD"/>
    <w:rsid w:val="00D729DD"/>
    <w:rsid w:val="00D751FA"/>
    <w:rsid w:val="00D849BE"/>
    <w:rsid w:val="00D87AD2"/>
    <w:rsid w:val="00D914AD"/>
    <w:rsid w:val="00D95AAE"/>
    <w:rsid w:val="00DA17F8"/>
    <w:rsid w:val="00DA3EC6"/>
    <w:rsid w:val="00DA4B34"/>
    <w:rsid w:val="00DA7596"/>
    <w:rsid w:val="00DC7FEA"/>
    <w:rsid w:val="00DD2BC3"/>
    <w:rsid w:val="00DD4120"/>
    <w:rsid w:val="00DE11B5"/>
    <w:rsid w:val="00DE358D"/>
    <w:rsid w:val="00DE3654"/>
    <w:rsid w:val="00DF0261"/>
    <w:rsid w:val="00DF2C9B"/>
    <w:rsid w:val="00DF347F"/>
    <w:rsid w:val="00DF74DB"/>
    <w:rsid w:val="00E13478"/>
    <w:rsid w:val="00E1457F"/>
    <w:rsid w:val="00E24879"/>
    <w:rsid w:val="00E317F4"/>
    <w:rsid w:val="00E34E0D"/>
    <w:rsid w:val="00E36EED"/>
    <w:rsid w:val="00E36FC8"/>
    <w:rsid w:val="00E37798"/>
    <w:rsid w:val="00E40A62"/>
    <w:rsid w:val="00E40B2E"/>
    <w:rsid w:val="00E40B4D"/>
    <w:rsid w:val="00E43827"/>
    <w:rsid w:val="00E44C24"/>
    <w:rsid w:val="00E45CFD"/>
    <w:rsid w:val="00E46100"/>
    <w:rsid w:val="00E508F9"/>
    <w:rsid w:val="00E52103"/>
    <w:rsid w:val="00E5784E"/>
    <w:rsid w:val="00E6043E"/>
    <w:rsid w:val="00E63070"/>
    <w:rsid w:val="00E726DB"/>
    <w:rsid w:val="00E72A0E"/>
    <w:rsid w:val="00E73537"/>
    <w:rsid w:val="00E743F3"/>
    <w:rsid w:val="00EA31F3"/>
    <w:rsid w:val="00EA7E95"/>
    <w:rsid w:val="00EB03CC"/>
    <w:rsid w:val="00EB6531"/>
    <w:rsid w:val="00EB73A0"/>
    <w:rsid w:val="00ED4C73"/>
    <w:rsid w:val="00ED58C9"/>
    <w:rsid w:val="00ED6631"/>
    <w:rsid w:val="00EE0150"/>
    <w:rsid w:val="00EE32E4"/>
    <w:rsid w:val="00EE49B8"/>
    <w:rsid w:val="00EF1AB5"/>
    <w:rsid w:val="00EF64F3"/>
    <w:rsid w:val="00F03779"/>
    <w:rsid w:val="00F054F5"/>
    <w:rsid w:val="00F0587B"/>
    <w:rsid w:val="00F139C1"/>
    <w:rsid w:val="00F161A5"/>
    <w:rsid w:val="00F16223"/>
    <w:rsid w:val="00F2134A"/>
    <w:rsid w:val="00F27C0F"/>
    <w:rsid w:val="00F30F58"/>
    <w:rsid w:val="00F340B3"/>
    <w:rsid w:val="00F40A7B"/>
    <w:rsid w:val="00F42938"/>
    <w:rsid w:val="00F43D6B"/>
    <w:rsid w:val="00F45AE4"/>
    <w:rsid w:val="00F51DC7"/>
    <w:rsid w:val="00F53FA9"/>
    <w:rsid w:val="00F624F5"/>
    <w:rsid w:val="00F63892"/>
    <w:rsid w:val="00F66631"/>
    <w:rsid w:val="00F70702"/>
    <w:rsid w:val="00F7249D"/>
    <w:rsid w:val="00F74140"/>
    <w:rsid w:val="00F74CA0"/>
    <w:rsid w:val="00F90BE3"/>
    <w:rsid w:val="00F91A1C"/>
    <w:rsid w:val="00F941B0"/>
    <w:rsid w:val="00F94F01"/>
    <w:rsid w:val="00F96CA0"/>
    <w:rsid w:val="00FA0604"/>
    <w:rsid w:val="00FA2379"/>
    <w:rsid w:val="00FA5302"/>
    <w:rsid w:val="00FB4690"/>
    <w:rsid w:val="00FB5451"/>
    <w:rsid w:val="00FC1618"/>
    <w:rsid w:val="00FC55BB"/>
    <w:rsid w:val="00FD00C5"/>
    <w:rsid w:val="00FD62C9"/>
    <w:rsid w:val="00FD7D24"/>
    <w:rsid w:val="00FE09AE"/>
    <w:rsid w:val="00FE424B"/>
    <w:rsid w:val="00FE54CF"/>
    <w:rsid w:val="00FF09F7"/>
    <w:rsid w:val="00FF0EC7"/>
    <w:rsid w:val="00FF16CD"/>
    <w:rsid w:val="00FF5F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4DA7108"/>
  <w15:chartTrackingRefBased/>
  <w15:docId w15:val="{A7FACB2C-6C96-BE4F-8FAC-FFE353BF7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595"/>
    <w:rPr>
      <w:rFonts w:ascii="Times New Roman" w:eastAsia="Times New Roman" w:hAnsi="Times New Roman" w:cs="Times New Roman"/>
      <w:kern w:val="0"/>
      <w:lang w:val="en-US" w:eastAsia="tr-TR"/>
      <w14:ligatures w14:val="none"/>
    </w:rPr>
  </w:style>
  <w:style w:type="paragraph" w:styleId="Balk1">
    <w:name w:val="heading 1"/>
    <w:basedOn w:val="Normal"/>
    <w:next w:val="Normal"/>
    <w:link w:val="Balk1Char"/>
    <w:uiPriority w:val="9"/>
    <w:qFormat/>
    <w:rsid w:val="006B6595"/>
    <w:pPr>
      <w:keepNext/>
      <w:keepLines/>
      <w:spacing w:before="360" w:after="80"/>
      <w:outlineLvl w:val="0"/>
    </w:pPr>
    <w:rPr>
      <w:rFonts w:asciiTheme="majorHAnsi" w:eastAsiaTheme="majorEastAsia" w:hAnsiTheme="majorHAnsi" w:cstheme="majorBidi"/>
      <w:color w:val="0F4761" w:themeColor="accent1" w:themeShade="BF"/>
      <w:kern w:val="2"/>
      <w:sz w:val="40"/>
      <w:szCs w:val="40"/>
      <w:lang w:val="tr-TR" w:eastAsia="en-US"/>
      <w14:ligatures w14:val="standardContextual"/>
    </w:rPr>
  </w:style>
  <w:style w:type="paragraph" w:styleId="Balk2">
    <w:name w:val="heading 2"/>
    <w:basedOn w:val="Normal"/>
    <w:next w:val="Normal"/>
    <w:link w:val="Balk2Char"/>
    <w:uiPriority w:val="9"/>
    <w:unhideWhenUsed/>
    <w:qFormat/>
    <w:rsid w:val="006B6595"/>
    <w:pPr>
      <w:keepNext/>
      <w:keepLines/>
      <w:spacing w:before="160" w:after="80"/>
      <w:outlineLvl w:val="1"/>
    </w:pPr>
    <w:rPr>
      <w:rFonts w:asciiTheme="majorHAnsi" w:eastAsiaTheme="majorEastAsia" w:hAnsiTheme="majorHAnsi" w:cstheme="majorBidi"/>
      <w:color w:val="0F4761" w:themeColor="accent1" w:themeShade="BF"/>
      <w:kern w:val="2"/>
      <w:sz w:val="32"/>
      <w:szCs w:val="32"/>
      <w:lang w:val="tr-TR" w:eastAsia="en-US"/>
      <w14:ligatures w14:val="standardContextual"/>
    </w:rPr>
  </w:style>
  <w:style w:type="paragraph" w:styleId="Balk3">
    <w:name w:val="heading 3"/>
    <w:basedOn w:val="Normal"/>
    <w:next w:val="Normal"/>
    <w:link w:val="Balk3Char"/>
    <w:uiPriority w:val="9"/>
    <w:semiHidden/>
    <w:unhideWhenUsed/>
    <w:qFormat/>
    <w:rsid w:val="006B6595"/>
    <w:pPr>
      <w:keepNext/>
      <w:keepLines/>
      <w:spacing w:before="160" w:after="80"/>
      <w:outlineLvl w:val="2"/>
    </w:pPr>
    <w:rPr>
      <w:rFonts w:asciiTheme="minorHAnsi" w:eastAsiaTheme="majorEastAsia" w:hAnsiTheme="minorHAnsi" w:cstheme="majorBidi"/>
      <w:color w:val="0F4761" w:themeColor="accent1" w:themeShade="BF"/>
      <w:kern w:val="2"/>
      <w:sz w:val="28"/>
      <w:szCs w:val="28"/>
      <w:lang w:val="tr-TR" w:eastAsia="en-US"/>
      <w14:ligatures w14:val="standardContextual"/>
    </w:rPr>
  </w:style>
  <w:style w:type="paragraph" w:styleId="Balk4">
    <w:name w:val="heading 4"/>
    <w:basedOn w:val="Normal"/>
    <w:next w:val="Normal"/>
    <w:link w:val="Balk4Char"/>
    <w:uiPriority w:val="9"/>
    <w:semiHidden/>
    <w:unhideWhenUsed/>
    <w:qFormat/>
    <w:rsid w:val="006B6595"/>
    <w:pPr>
      <w:keepNext/>
      <w:keepLines/>
      <w:spacing w:before="80" w:after="40"/>
      <w:outlineLvl w:val="3"/>
    </w:pPr>
    <w:rPr>
      <w:rFonts w:asciiTheme="minorHAnsi" w:eastAsiaTheme="majorEastAsia" w:hAnsiTheme="minorHAnsi" w:cstheme="majorBidi"/>
      <w:i/>
      <w:iCs/>
      <w:color w:val="0F4761" w:themeColor="accent1" w:themeShade="BF"/>
      <w:kern w:val="2"/>
      <w:lang w:val="tr-TR" w:eastAsia="en-US"/>
      <w14:ligatures w14:val="standardContextual"/>
    </w:rPr>
  </w:style>
  <w:style w:type="paragraph" w:styleId="Balk5">
    <w:name w:val="heading 5"/>
    <w:basedOn w:val="Normal"/>
    <w:next w:val="Normal"/>
    <w:link w:val="Balk5Char"/>
    <w:uiPriority w:val="9"/>
    <w:semiHidden/>
    <w:unhideWhenUsed/>
    <w:qFormat/>
    <w:rsid w:val="006B6595"/>
    <w:pPr>
      <w:keepNext/>
      <w:keepLines/>
      <w:spacing w:before="80" w:after="40"/>
      <w:outlineLvl w:val="4"/>
    </w:pPr>
    <w:rPr>
      <w:rFonts w:asciiTheme="minorHAnsi" w:eastAsiaTheme="majorEastAsia" w:hAnsiTheme="minorHAnsi" w:cstheme="majorBidi"/>
      <w:color w:val="0F4761" w:themeColor="accent1" w:themeShade="BF"/>
      <w:kern w:val="2"/>
      <w:lang w:val="tr-TR" w:eastAsia="en-US"/>
      <w14:ligatures w14:val="standardContextual"/>
    </w:rPr>
  </w:style>
  <w:style w:type="paragraph" w:styleId="Balk6">
    <w:name w:val="heading 6"/>
    <w:basedOn w:val="Normal"/>
    <w:next w:val="Normal"/>
    <w:link w:val="Balk6Char"/>
    <w:uiPriority w:val="9"/>
    <w:semiHidden/>
    <w:unhideWhenUsed/>
    <w:qFormat/>
    <w:rsid w:val="006B6595"/>
    <w:pPr>
      <w:keepNext/>
      <w:keepLines/>
      <w:spacing w:before="40"/>
      <w:outlineLvl w:val="5"/>
    </w:pPr>
    <w:rPr>
      <w:rFonts w:asciiTheme="minorHAnsi" w:eastAsiaTheme="majorEastAsia" w:hAnsiTheme="minorHAnsi" w:cstheme="majorBidi"/>
      <w:i/>
      <w:iCs/>
      <w:color w:val="595959" w:themeColor="text1" w:themeTint="A6"/>
      <w:kern w:val="2"/>
      <w:lang w:val="tr-TR" w:eastAsia="en-US"/>
      <w14:ligatures w14:val="standardContextual"/>
    </w:rPr>
  </w:style>
  <w:style w:type="paragraph" w:styleId="Balk7">
    <w:name w:val="heading 7"/>
    <w:basedOn w:val="Normal"/>
    <w:next w:val="Normal"/>
    <w:link w:val="Balk7Char"/>
    <w:uiPriority w:val="9"/>
    <w:semiHidden/>
    <w:unhideWhenUsed/>
    <w:qFormat/>
    <w:rsid w:val="006B6595"/>
    <w:pPr>
      <w:keepNext/>
      <w:keepLines/>
      <w:spacing w:before="40"/>
      <w:outlineLvl w:val="6"/>
    </w:pPr>
    <w:rPr>
      <w:rFonts w:asciiTheme="minorHAnsi" w:eastAsiaTheme="majorEastAsia" w:hAnsiTheme="minorHAnsi" w:cstheme="majorBidi"/>
      <w:color w:val="595959" w:themeColor="text1" w:themeTint="A6"/>
      <w:kern w:val="2"/>
      <w:lang w:val="tr-TR" w:eastAsia="en-US"/>
      <w14:ligatures w14:val="standardContextual"/>
    </w:rPr>
  </w:style>
  <w:style w:type="paragraph" w:styleId="Balk8">
    <w:name w:val="heading 8"/>
    <w:basedOn w:val="Normal"/>
    <w:next w:val="Normal"/>
    <w:link w:val="Balk8Char"/>
    <w:uiPriority w:val="9"/>
    <w:semiHidden/>
    <w:unhideWhenUsed/>
    <w:qFormat/>
    <w:rsid w:val="006B6595"/>
    <w:pPr>
      <w:keepNext/>
      <w:keepLines/>
      <w:outlineLvl w:val="7"/>
    </w:pPr>
    <w:rPr>
      <w:rFonts w:asciiTheme="minorHAnsi" w:eastAsiaTheme="majorEastAsia" w:hAnsiTheme="minorHAnsi" w:cstheme="majorBidi"/>
      <w:i/>
      <w:iCs/>
      <w:color w:val="272727" w:themeColor="text1" w:themeTint="D8"/>
      <w:kern w:val="2"/>
      <w:lang w:val="tr-TR" w:eastAsia="en-US"/>
      <w14:ligatures w14:val="standardContextual"/>
    </w:rPr>
  </w:style>
  <w:style w:type="paragraph" w:styleId="Balk9">
    <w:name w:val="heading 9"/>
    <w:basedOn w:val="Normal"/>
    <w:next w:val="Normal"/>
    <w:link w:val="Balk9Char"/>
    <w:uiPriority w:val="9"/>
    <w:semiHidden/>
    <w:unhideWhenUsed/>
    <w:qFormat/>
    <w:rsid w:val="006B6595"/>
    <w:pPr>
      <w:keepNext/>
      <w:keepLines/>
      <w:outlineLvl w:val="8"/>
    </w:pPr>
    <w:rPr>
      <w:rFonts w:asciiTheme="minorHAnsi" w:eastAsiaTheme="majorEastAsia" w:hAnsiTheme="minorHAnsi" w:cstheme="majorBidi"/>
      <w:color w:val="272727" w:themeColor="text1" w:themeTint="D8"/>
      <w:kern w:val="2"/>
      <w:lang w:val="tr-TR" w:eastAsia="en-US"/>
      <w14:ligatures w14:val="standardContextual"/>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uiPriority w:val="39"/>
    <w:rsid w:val="00A45D55"/>
    <w:pPr>
      <w:tabs>
        <w:tab w:val="right" w:leader="dot" w:pos="8493"/>
      </w:tabs>
      <w:spacing w:before="240" w:after="240"/>
    </w:pPr>
    <w:rPr>
      <w:b/>
      <w:noProof/>
      <w:lang w:val="tr-TR"/>
    </w:rPr>
  </w:style>
  <w:style w:type="character" w:customStyle="1" w:styleId="Balk1Char">
    <w:name w:val="Başlık 1 Char"/>
    <w:basedOn w:val="VarsaylanParagrafYazTipi"/>
    <w:link w:val="Balk1"/>
    <w:uiPriority w:val="9"/>
    <w:rsid w:val="006B659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6B659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B659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B659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B659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B659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B659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B659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B6595"/>
    <w:rPr>
      <w:rFonts w:eastAsiaTheme="majorEastAsia" w:cstheme="majorBidi"/>
      <w:color w:val="272727" w:themeColor="text1" w:themeTint="D8"/>
    </w:rPr>
  </w:style>
  <w:style w:type="paragraph" w:styleId="KonuBal">
    <w:name w:val="Title"/>
    <w:basedOn w:val="Normal"/>
    <w:next w:val="Normal"/>
    <w:link w:val="KonuBalChar"/>
    <w:uiPriority w:val="10"/>
    <w:qFormat/>
    <w:rsid w:val="006B6595"/>
    <w:pPr>
      <w:spacing w:after="80"/>
      <w:contextualSpacing/>
    </w:pPr>
    <w:rPr>
      <w:rFonts w:asciiTheme="majorHAnsi" w:eastAsiaTheme="majorEastAsia" w:hAnsiTheme="majorHAnsi" w:cstheme="majorBidi"/>
      <w:spacing w:val="-10"/>
      <w:kern w:val="28"/>
      <w:sz w:val="56"/>
      <w:szCs w:val="56"/>
      <w:lang w:val="tr-TR" w:eastAsia="en-US"/>
      <w14:ligatures w14:val="standardContextual"/>
    </w:rPr>
  </w:style>
  <w:style w:type="character" w:customStyle="1" w:styleId="KonuBalChar">
    <w:name w:val="Konu Başlığı Char"/>
    <w:basedOn w:val="VarsaylanParagrafYazTipi"/>
    <w:link w:val="KonuBal"/>
    <w:uiPriority w:val="10"/>
    <w:rsid w:val="006B659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B6595"/>
    <w:pPr>
      <w:numPr>
        <w:ilvl w:val="1"/>
      </w:numPr>
      <w:spacing w:after="160"/>
    </w:pPr>
    <w:rPr>
      <w:rFonts w:asciiTheme="minorHAnsi" w:eastAsiaTheme="majorEastAsia" w:hAnsiTheme="minorHAnsi" w:cstheme="majorBidi"/>
      <w:color w:val="595959" w:themeColor="text1" w:themeTint="A6"/>
      <w:spacing w:val="15"/>
      <w:kern w:val="2"/>
      <w:sz w:val="28"/>
      <w:szCs w:val="28"/>
      <w:lang w:val="tr-TR" w:eastAsia="en-US"/>
      <w14:ligatures w14:val="standardContextual"/>
    </w:rPr>
  </w:style>
  <w:style w:type="character" w:customStyle="1" w:styleId="AltyazChar">
    <w:name w:val="Altyazı Char"/>
    <w:basedOn w:val="VarsaylanParagrafYazTipi"/>
    <w:link w:val="Altyaz"/>
    <w:uiPriority w:val="11"/>
    <w:rsid w:val="006B659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B6595"/>
    <w:pPr>
      <w:spacing w:before="160" w:after="160"/>
      <w:jc w:val="center"/>
    </w:pPr>
    <w:rPr>
      <w:rFonts w:asciiTheme="minorHAnsi" w:eastAsiaTheme="minorHAnsi" w:hAnsiTheme="minorHAnsi" w:cstheme="minorBidi"/>
      <w:i/>
      <w:iCs/>
      <w:color w:val="404040" w:themeColor="text1" w:themeTint="BF"/>
      <w:kern w:val="2"/>
      <w:lang w:val="tr-TR" w:eastAsia="en-US"/>
      <w14:ligatures w14:val="standardContextual"/>
    </w:rPr>
  </w:style>
  <w:style w:type="character" w:customStyle="1" w:styleId="AlntChar">
    <w:name w:val="Alıntı Char"/>
    <w:basedOn w:val="VarsaylanParagrafYazTipi"/>
    <w:link w:val="Alnt"/>
    <w:uiPriority w:val="29"/>
    <w:rsid w:val="006B6595"/>
    <w:rPr>
      <w:i/>
      <w:iCs/>
      <w:color w:val="404040" w:themeColor="text1" w:themeTint="BF"/>
    </w:rPr>
  </w:style>
  <w:style w:type="paragraph" w:styleId="ListeParagraf">
    <w:name w:val="List Paragraph"/>
    <w:basedOn w:val="Normal"/>
    <w:uiPriority w:val="34"/>
    <w:qFormat/>
    <w:rsid w:val="006B6595"/>
    <w:pPr>
      <w:ind w:left="720"/>
      <w:contextualSpacing/>
    </w:pPr>
    <w:rPr>
      <w:rFonts w:asciiTheme="minorHAnsi" w:eastAsiaTheme="minorHAnsi" w:hAnsiTheme="minorHAnsi" w:cstheme="minorBidi"/>
      <w:kern w:val="2"/>
      <w:lang w:val="tr-TR" w:eastAsia="en-US"/>
      <w14:ligatures w14:val="standardContextual"/>
    </w:rPr>
  </w:style>
  <w:style w:type="character" w:styleId="GlVurgulama">
    <w:name w:val="Intense Emphasis"/>
    <w:basedOn w:val="VarsaylanParagrafYazTipi"/>
    <w:uiPriority w:val="21"/>
    <w:qFormat/>
    <w:rsid w:val="006B6595"/>
    <w:rPr>
      <w:i/>
      <w:iCs/>
      <w:color w:val="0F4761" w:themeColor="accent1" w:themeShade="BF"/>
    </w:rPr>
  </w:style>
  <w:style w:type="paragraph" w:styleId="GlAlnt">
    <w:name w:val="Intense Quote"/>
    <w:basedOn w:val="Normal"/>
    <w:next w:val="Normal"/>
    <w:link w:val="GlAlntChar"/>
    <w:uiPriority w:val="30"/>
    <w:qFormat/>
    <w:rsid w:val="006B659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tr-TR" w:eastAsia="en-US"/>
      <w14:ligatures w14:val="standardContextual"/>
    </w:rPr>
  </w:style>
  <w:style w:type="character" w:customStyle="1" w:styleId="GlAlntChar">
    <w:name w:val="Güçlü Alıntı Char"/>
    <w:basedOn w:val="VarsaylanParagrafYazTipi"/>
    <w:link w:val="GlAlnt"/>
    <w:uiPriority w:val="30"/>
    <w:rsid w:val="006B6595"/>
    <w:rPr>
      <w:i/>
      <w:iCs/>
      <w:color w:val="0F4761" w:themeColor="accent1" w:themeShade="BF"/>
    </w:rPr>
  </w:style>
  <w:style w:type="character" w:styleId="GlBavuru">
    <w:name w:val="Intense Reference"/>
    <w:basedOn w:val="VarsaylanParagrafYazTipi"/>
    <w:uiPriority w:val="32"/>
    <w:qFormat/>
    <w:rsid w:val="006B6595"/>
    <w:rPr>
      <w:b/>
      <w:bCs/>
      <w:smallCaps/>
      <w:color w:val="0F4761" w:themeColor="accent1" w:themeShade="BF"/>
      <w:spacing w:val="5"/>
    </w:rPr>
  </w:style>
  <w:style w:type="paragraph" w:customStyle="1" w:styleId="Gop-DzYaz">
    <w:name w:val="Gop-Düz Yazı"/>
    <w:basedOn w:val="Normal"/>
    <w:link w:val="Gop-DzYazChar"/>
    <w:qFormat/>
    <w:rsid w:val="006B6595"/>
    <w:pPr>
      <w:spacing w:after="200" w:line="360" w:lineRule="auto"/>
      <w:ind w:firstLine="709"/>
      <w:jc w:val="both"/>
    </w:pPr>
    <w:rPr>
      <w:rFonts w:eastAsiaTheme="minorHAnsi"/>
      <w:szCs w:val="22"/>
      <w:lang w:eastAsia="en-US"/>
    </w:rPr>
  </w:style>
  <w:style w:type="character" w:customStyle="1" w:styleId="Gop-DzYazChar">
    <w:name w:val="Gop-Düz Yazı Char"/>
    <w:basedOn w:val="VarsaylanParagrafYazTipi"/>
    <w:link w:val="Gop-DzYaz"/>
    <w:rsid w:val="006B6595"/>
    <w:rPr>
      <w:rFonts w:ascii="Times New Roman" w:hAnsi="Times New Roman" w:cs="Times New Roman"/>
      <w:kern w:val="0"/>
      <w:szCs w:val="22"/>
      <w:lang w:val="en-US"/>
      <w14:ligatures w14:val="none"/>
    </w:rPr>
  </w:style>
  <w:style w:type="paragraph" w:customStyle="1" w:styleId="yazstili">
    <w:name w:val="yazı_stili"/>
    <w:basedOn w:val="Normal"/>
    <w:link w:val="yazstiliChar"/>
    <w:qFormat/>
    <w:rsid w:val="006B6595"/>
    <w:pPr>
      <w:snapToGrid w:val="0"/>
      <w:spacing w:after="160" w:line="360" w:lineRule="auto"/>
      <w:jc w:val="both"/>
    </w:pPr>
    <w:rPr>
      <w:rFonts w:eastAsiaTheme="minorHAnsi"/>
      <w:lang w:eastAsia="en-US"/>
    </w:rPr>
  </w:style>
  <w:style w:type="character" w:customStyle="1" w:styleId="yazstiliChar">
    <w:name w:val="yazı_stili Char"/>
    <w:basedOn w:val="VarsaylanParagrafYazTipi"/>
    <w:link w:val="yazstili"/>
    <w:rsid w:val="006B6595"/>
    <w:rPr>
      <w:rFonts w:ascii="Times New Roman" w:hAnsi="Times New Roman" w:cs="Times New Roman"/>
      <w:kern w:val="0"/>
      <w:lang w:val="en-US"/>
      <w14:ligatures w14:val="none"/>
    </w:rPr>
  </w:style>
  <w:style w:type="paragraph" w:customStyle="1" w:styleId="temelyazi">
    <w:name w:val="temel_yazi"/>
    <w:basedOn w:val="Normal"/>
    <w:link w:val="temelyaziChar"/>
    <w:qFormat/>
    <w:rsid w:val="006B6595"/>
    <w:pPr>
      <w:spacing w:line="360" w:lineRule="auto"/>
      <w:ind w:firstLine="709"/>
      <w:jc w:val="both"/>
    </w:pPr>
    <w:rPr>
      <w:lang w:eastAsia="ar-SA"/>
    </w:rPr>
  </w:style>
  <w:style w:type="character" w:customStyle="1" w:styleId="temelyaziChar">
    <w:name w:val="temel_yazi Char"/>
    <w:basedOn w:val="VarsaylanParagrafYazTipi"/>
    <w:link w:val="temelyazi"/>
    <w:rsid w:val="006B6595"/>
    <w:rPr>
      <w:rFonts w:ascii="Times New Roman" w:eastAsia="Times New Roman" w:hAnsi="Times New Roman" w:cs="Times New Roman"/>
      <w:kern w:val="0"/>
      <w:lang w:val="en-US" w:eastAsia="ar-SA"/>
      <w14:ligatures w14:val="none"/>
    </w:rPr>
  </w:style>
  <w:style w:type="table" w:styleId="TabloKlavuzu">
    <w:name w:val="Table Grid"/>
    <w:basedOn w:val="NormalTablo"/>
    <w:uiPriority w:val="39"/>
    <w:rsid w:val="006B659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6B6595"/>
    <w:rPr>
      <w:b/>
      <w:bCs/>
    </w:rPr>
  </w:style>
  <w:style w:type="character" w:customStyle="1" w:styleId="katex-mathml">
    <w:name w:val="katex-mathml"/>
    <w:basedOn w:val="VarsaylanParagrafYazTipi"/>
    <w:rsid w:val="006B6595"/>
  </w:style>
  <w:style w:type="character" w:customStyle="1" w:styleId="vlist-s">
    <w:name w:val="vlist-s"/>
    <w:basedOn w:val="VarsaylanParagrafYazTipi"/>
    <w:rsid w:val="006B6595"/>
  </w:style>
  <w:style w:type="paragraph" w:customStyle="1" w:styleId="EndNoteBibliographyTitle">
    <w:name w:val="EndNote Bibliography Title"/>
    <w:basedOn w:val="Normal"/>
    <w:link w:val="EndNoteBibliographyTitleChar"/>
    <w:rsid w:val="00295F86"/>
    <w:pPr>
      <w:jc w:val="center"/>
    </w:pPr>
    <w:rPr>
      <w:lang w:val="tr-TR"/>
    </w:rPr>
  </w:style>
  <w:style w:type="character" w:customStyle="1" w:styleId="EndNoteBibliographyTitleChar">
    <w:name w:val="EndNote Bibliography Title Char"/>
    <w:basedOn w:val="Balk1Char"/>
    <w:link w:val="EndNoteBibliographyTitle"/>
    <w:rsid w:val="00295F86"/>
    <w:rPr>
      <w:rFonts w:ascii="Times New Roman" w:eastAsia="Times New Roman" w:hAnsi="Times New Roman" w:cs="Times New Roman"/>
      <w:color w:val="0F4761" w:themeColor="accent1" w:themeShade="BF"/>
      <w:kern w:val="0"/>
      <w:sz w:val="40"/>
      <w:szCs w:val="40"/>
      <w:lang w:eastAsia="tr-TR"/>
      <w14:ligatures w14:val="none"/>
    </w:rPr>
  </w:style>
  <w:style w:type="paragraph" w:customStyle="1" w:styleId="EndNoteBibliography">
    <w:name w:val="EndNote Bibliography"/>
    <w:basedOn w:val="Normal"/>
    <w:link w:val="EndNoteBibliographyChar"/>
    <w:rsid w:val="00295F86"/>
    <w:rPr>
      <w:lang w:val="tr-TR"/>
    </w:rPr>
  </w:style>
  <w:style w:type="character" w:customStyle="1" w:styleId="EndNoteBibliographyChar">
    <w:name w:val="EndNote Bibliography Char"/>
    <w:basedOn w:val="Balk1Char"/>
    <w:link w:val="EndNoteBibliography"/>
    <w:rsid w:val="00295F86"/>
    <w:rPr>
      <w:rFonts w:ascii="Times New Roman" w:eastAsia="Times New Roman" w:hAnsi="Times New Roman" w:cs="Times New Roman"/>
      <w:color w:val="0F4761" w:themeColor="accent1" w:themeShade="BF"/>
      <w:kern w:val="0"/>
      <w:sz w:val="40"/>
      <w:szCs w:val="40"/>
      <w:lang w:eastAsia="tr-TR"/>
      <w14:ligatures w14:val="none"/>
    </w:rPr>
  </w:style>
  <w:style w:type="character" w:styleId="Kpr">
    <w:name w:val="Hyperlink"/>
    <w:basedOn w:val="VarsaylanParagrafYazTipi"/>
    <w:uiPriority w:val="99"/>
    <w:unhideWhenUsed/>
    <w:rsid w:val="00295F86"/>
    <w:rPr>
      <w:color w:val="467886" w:themeColor="hyperlink"/>
      <w:u w:val="single"/>
    </w:rPr>
  </w:style>
  <w:style w:type="character" w:styleId="zmlenmeyenBahsetme">
    <w:name w:val="Unresolved Mention"/>
    <w:basedOn w:val="VarsaylanParagrafYazTipi"/>
    <w:uiPriority w:val="99"/>
    <w:semiHidden/>
    <w:unhideWhenUsed/>
    <w:rsid w:val="00295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21/1.201629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8653/v1/2020.emnlp-main.2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dl.handle.net/1721.1/157169" TargetMode="External"/><Relationship Id="rId11" Type="http://schemas.openxmlformats.org/officeDocument/2006/relationships/hyperlink" Target="https://doi.org/10.1007/s10579-021-09537-5" TargetMode="External"/><Relationship Id="rId5" Type="http://schemas.openxmlformats.org/officeDocument/2006/relationships/hyperlink" Target="https://doi.org/10.3115/v1/W14-3348" TargetMode="External"/><Relationship Id="rId10" Type="http://schemas.openxmlformats.org/officeDocument/2006/relationships/hyperlink" Target="https://doi.org/10.1016/j.caeai.2024.100347" TargetMode="External"/><Relationship Id="rId4" Type="http://schemas.openxmlformats.org/officeDocument/2006/relationships/hyperlink" Target="https://doi.org/10.1016/j.jocs.2025.102571" TargetMode="External"/><Relationship Id="rId9" Type="http://schemas.openxmlformats.org/officeDocument/2006/relationships/hyperlink" Target="https://doi.org/10.1007/s11063-024-11710-0"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2923</Words>
  <Characters>16662</Characters>
  <Application>Microsoft Office Word</Application>
  <DocSecurity>0</DocSecurity>
  <Lines>138</Lines>
  <Paragraphs>39</Paragraphs>
  <ScaleCrop>false</ScaleCrop>
  <Company/>
  <LinksUpToDate>false</LinksUpToDate>
  <CharactersWithSpaces>19546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Özkal</dc:creator>
  <cp:keywords/>
  <dc:description/>
  <cp:lastModifiedBy>İbrahim Özkal</cp:lastModifiedBy>
  <cp:revision>3</cp:revision>
  <dcterms:created xsi:type="dcterms:W3CDTF">2025-12-20T04:41:00Z</dcterms:created>
  <dcterms:modified xsi:type="dcterms:W3CDTF">2025-12-20T05:30:00Z</dcterms:modified>
</cp:coreProperties>
</file>