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6C1" w:rsidRDefault="002B76C1" w:rsidP="002B76C1">
      <w:pPr>
        <w:jc w:val="center"/>
        <w:rPr>
          <w:rFonts w:ascii="Times New Roman" w:hAnsi="Times New Roman" w:cs="Times New Roman"/>
          <w:b/>
          <w:bCs/>
          <w:sz w:val="20"/>
          <w:szCs w:val="20"/>
          <w:lang w:val="en-US"/>
        </w:rPr>
      </w:pPr>
      <w:r>
        <w:rPr>
          <w:rFonts w:ascii="Times New Roman" w:hAnsi="Times New Roman" w:cs="Times New Roman"/>
          <w:b/>
          <w:bCs/>
          <w:noProof/>
          <w:sz w:val="20"/>
          <w:szCs w:val="20"/>
          <w:lang w:eastAsia="ru-RU"/>
        </w:rPr>
        <w:drawing>
          <wp:inline distT="0" distB="0" distL="0" distR="0">
            <wp:extent cx="6120765" cy="4917440"/>
            <wp:effectExtent l="19050" t="0" r="0" b="0"/>
            <wp:docPr id="1" name="Рисунок 0" descr="завантаже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png"/>
                    <pic:cNvPicPr/>
                  </pic:nvPicPr>
                  <pic:blipFill>
                    <a:blip r:embed="rId4" cstate="print"/>
                    <a:stretch>
                      <a:fillRect/>
                    </a:stretch>
                  </pic:blipFill>
                  <pic:spPr>
                    <a:xfrm>
                      <a:off x="0" y="0"/>
                      <a:ext cx="6120765" cy="4917440"/>
                    </a:xfrm>
                    <a:prstGeom prst="rect">
                      <a:avLst/>
                    </a:prstGeom>
                  </pic:spPr>
                </pic:pic>
              </a:graphicData>
            </a:graphic>
          </wp:inline>
        </w:drawing>
      </w:r>
    </w:p>
    <w:p w:rsidR="003E7311" w:rsidRPr="003E7311" w:rsidRDefault="003E7311" w:rsidP="003E7311">
      <w:pPr>
        <w:jc w:val="center"/>
        <w:rPr>
          <w:rFonts w:ascii="Times New Roman" w:hAnsi="Times New Roman" w:cs="Times New Roman"/>
          <w:b/>
          <w:bCs/>
          <w:sz w:val="20"/>
          <w:szCs w:val="20"/>
          <w:lang w:val="en-US"/>
        </w:rPr>
      </w:pPr>
      <w:r w:rsidRPr="003E7311">
        <w:rPr>
          <w:rFonts w:ascii="Times New Roman" w:hAnsi="Times New Roman" w:cs="Times New Roman"/>
          <w:b/>
          <w:bCs/>
          <w:sz w:val="20"/>
          <w:szCs w:val="20"/>
          <w:lang w:val="en-US"/>
        </w:rPr>
        <w:t>Figure S1. Dose-Response Curve for DPPH Radical Scavenging Activity</w:t>
      </w:r>
    </w:p>
    <w:p w:rsidR="009E3444" w:rsidRPr="00634EC8" w:rsidRDefault="009E3444" w:rsidP="002B76C1">
      <w:pPr>
        <w:jc w:val="center"/>
        <w:rPr>
          <w:rFonts w:ascii="Times New Roman" w:hAnsi="Times New Roman" w:cs="Times New Roman"/>
          <w:sz w:val="20"/>
          <w:szCs w:val="20"/>
          <w:lang w:val="en-US"/>
        </w:rPr>
      </w:pPr>
      <w:r w:rsidRPr="00634EC8">
        <w:rPr>
          <w:rFonts w:ascii="Times New Roman" w:hAnsi="Times New Roman" w:cs="Times New Roman"/>
          <w:b/>
          <w:bCs/>
          <w:sz w:val="20"/>
          <w:szCs w:val="20"/>
          <w:lang w:val="en-US"/>
        </w:rPr>
        <w:t>Molecular docking against Pneumonia-related targets</w:t>
      </w:r>
    </w:p>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sz w:val="20"/>
          <w:szCs w:val="20"/>
          <w:lang w:val="en-US"/>
        </w:rPr>
        <w:t xml:space="preserve">To further assess the therapeutic potential of bis-1,2,4-triazole derivatives, molecular docking simulations were conducted against two major virulence factors of </w:t>
      </w:r>
      <w:r w:rsidRPr="00634EC8">
        <w:rPr>
          <w:rFonts w:ascii="Times New Roman" w:hAnsi="Times New Roman" w:cs="Times New Roman"/>
          <w:i/>
          <w:iCs/>
          <w:sz w:val="20"/>
          <w:szCs w:val="20"/>
          <w:lang w:val="en-US"/>
        </w:rPr>
        <w:t xml:space="preserve">Streptococcus </w:t>
      </w:r>
      <w:proofErr w:type="spellStart"/>
      <w:r w:rsidRPr="00634EC8">
        <w:rPr>
          <w:rFonts w:ascii="Times New Roman" w:hAnsi="Times New Roman" w:cs="Times New Roman"/>
          <w:i/>
          <w:iCs/>
          <w:sz w:val="20"/>
          <w:szCs w:val="20"/>
          <w:lang w:val="en-US"/>
        </w:rPr>
        <w:t>pneumoniae</w:t>
      </w:r>
      <w:proofErr w:type="spellEnd"/>
      <w:r w:rsidRPr="00634EC8">
        <w:rPr>
          <w:rFonts w:ascii="Times New Roman" w:hAnsi="Times New Roman" w:cs="Times New Roman"/>
          <w:sz w:val="20"/>
          <w:szCs w:val="20"/>
          <w:lang w:val="en-US"/>
        </w:rPr>
        <w:t xml:space="preserve"> implicated in pneumonia pathogenesis: Neuraminidase A (</w:t>
      </w:r>
      <w:proofErr w:type="spellStart"/>
      <w:r w:rsidRPr="00634EC8">
        <w:rPr>
          <w:rFonts w:ascii="Times New Roman" w:hAnsi="Times New Roman" w:cs="Times New Roman"/>
          <w:sz w:val="20"/>
          <w:szCs w:val="20"/>
          <w:lang w:val="en-US"/>
        </w:rPr>
        <w:t>NanA</w:t>
      </w:r>
      <w:proofErr w:type="spellEnd"/>
      <w:r w:rsidRPr="00634EC8">
        <w:rPr>
          <w:rFonts w:ascii="Times New Roman" w:hAnsi="Times New Roman" w:cs="Times New Roman"/>
          <w:sz w:val="20"/>
          <w:szCs w:val="20"/>
          <w:lang w:val="en-US"/>
        </w:rPr>
        <w:t xml:space="preserve">, PDB ID: 2YA5) and </w:t>
      </w:r>
      <w:proofErr w:type="spellStart"/>
      <w:r w:rsidRPr="00634EC8">
        <w:rPr>
          <w:rFonts w:ascii="Times New Roman" w:hAnsi="Times New Roman" w:cs="Times New Roman"/>
          <w:sz w:val="20"/>
          <w:szCs w:val="20"/>
          <w:lang w:val="en-US"/>
        </w:rPr>
        <w:t>Pneumolysin</w:t>
      </w:r>
      <w:proofErr w:type="spellEnd"/>
      <w:r w:rsidRPr="00634EC8">
        <w:rPr>
          <w:rFonts w:ascii="Times New Roman" w:hAnsi="Times New Roman" w:cs="Times New Roman"/>
          <w:sz w:val="20"/>
          <w:szCs w:val="20"/>
          <w:lang w:val="en-US"/>
        </w:rPr>
        <w:t xml:space="preserve"> (Ply, PDB ID: 4QQA). These targets were selected based on their critical roles in bacterial colonization, immune system evasion, and tissue damage. Molecular docking offers predictive insight into the strength and nature of the interactions between the studied compounds and their biological targets. All docking studies were performed using </w:t>
      </w:r>
      <w:proofErr w:type="spellStart"/>
      <w:r w:rsidRPr="00634EC8">
        <w:rPr>
          <w:rFonts w:ascii="Times New Roman" w:hAnsi="Times New Roman" w:cs="Times New Roman"/>
          <w:sz w:val="20"/>
          <w:szCs w:val="20"/>
          <w:lang w:val="en-US"/>
        </w:rPr>
        <w:t>AutoDock</w:t>
      </w:r>
      <w:proofErr w:type="spellEnd"/>
      <w:r w:rsidRPr="00634EC8">
        <w:rPr>
          <w:rFonts w:ascii="Times New Roman" w:hAnsi="Times New Roman" w:cs="Times New Roman"/>
          <w:sz w:val="20"/>
          <w:szCs w:val="20"/>
          <w:lang w:val="en-US"/>
        </w:rPr>
        <w:t xml:space="preserve"> </w:t>
      </w:r>
      <w:proofErr w:type="spellStart"/>
      <w:r w:rsidRPr="00634EC8">
        <w:rPr>
          <w:rFonts w:ascii="Times New Roman" w:hAnsi="Times New Roman" w:cs="Times New Roman"/>
          <w:sz w:val="20"/>
          <w:szCs w:val="20"/>
          <w:lang w:val="en-US"/>
        </w:rPr>
        <w:t>Vina</w:t>
      </w:r>
      <w:proofErr w:type="spellEnd"/>
      <w:r w:rsidRPr="00634EC8">
        <w:rPr>
          <w:rFonts w:ascii="Times New Roman" w:hAnsi="Times New Roman" w:cs="Times New Roman"/>
          <w:sz w:val="20"/>
          <w:szCs w:val="20"/>
          <w:lang w:val="en-US"/>
        </w:rPr>
        <w:t>, and the binding affinities were reported in kcal/mol, where more negative values indicate stronger predicted binding.</w:t>
      </w:r>
      <w:r>
        <w:rPr>
          <w:rFonts w:ascii="Times New Roman" w:hAnsi="Times New Roman" w:cs="Times New Roman"/>
          <w:sz w:val="20"/>
          <w:szCs w:val="20"/>
          <w:lang w:val="en-US"/>
        </w:rPr>
        <w:t xml:space="preserve"> The results of the docking rungs are presented in Table </w:t>
      </w:r>
      <w:r w:rsidR="00D77FCE">
        <w:rPr>
          <w:rFonts w:ascii="Times New Roman" w:hAnsi="Times New Roman" w:cs="Times New Roman"/>
          <w:sz w:val="20"/>
          <w:szCs w:val="20"/>
          <w:lang w:val="en-US"/>
        </w:rPr>
        <w:t>S1</w:t>
      </w:r>
      <w:r>
        <w:rPr>
          <w:rFonts w:ascii="Times New Roman" w:hAnsi="Times New Roman" w:cs="Times New Roman"/>
          <w:sz w:val="20"/>
          <w:szCs w:val="20"/>
          <w:lang w:val="en-US"/>
        </w:rPr>
        <w:t>.</w:t>
      </w:r>
    </w:p>
    <w:p w:rsidR="009E3444" w:rsidRPr="00634EC8" w:rsidRDefault="009E3444" w:rsidP="009E3444">
      <w:pPr>
        <w:jc w:val="center"/>
        <w:rPr>
          <w:rFonts w:ascii="Times New Roman" w:hAnsi="Times New Roman" w:cs="Times New Roman"/>
          <w:sz w:val="20"/>
          <w:szCs w:val="20"/>
          <w:lang w:val="en-US"/>
        </w:rPr>
      </w:pPr>
      <w:r w:rsidRPr="00634EC8">
        <w:rPr>
          <w:rFonts w:ascii="Times New Roman" w:hAnsi="Times New Roman" w:cs="Times New Roman"/>
          <w:b/>
          <w:bCs/>
          <w:sz w:val="20"/>
          <w:szCs w:val="20"/>
          <w:lang w:val="en-US"/>
        </w:rPr>
        <w:t xml:space="preserve">Table </w:t>
      </w:r>
      <w:r w:rsidR="00D77FCE">
        <w:rPr>
          <w:rFonts w:ascii="Times New Roman" w:hAnsi="Times New Roman" w:cs="Times New Roman"/>
          <w:b/>
          <w:bCs/>
          <w:sz w:val="20"/>
          <w:szCs w:val="20"/>
          <w:lang w:val="en-US"/>
        </w:rPr>
        <w:t>S1</w:t>
      </w:r>
      <w:r w:rsidRPr="00634EC8">
        <w:rPr>
          <w:rFonts w:ascii="Times New Roman" w:hAnsi="Times New Roman" w:cs="Times New Roman"/>
          <w:b/>
          <w:bCs/>
          <w:sz w:val="20"/>
          <w:szCs w:val="20"/>
          <w:lang w:val="en-US"/>
        </w:rPr>
        <w:t>. Binding affinities of compounds 2and 6 against pneumonia-associated targets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709"/>
        <w:gridCol w:w="850"/>
        <w:gridCol w:w="425"/>
        <w:gridCol w:w="851"/>
        <w:gridCol w:w="2410"/>
        <w:gridCol w:w="3082"/>
      </w:tblGrid>
      <w:tr w:rsidR="002B76C1" w:rsidRPr="00634EC8" w:rsidTr="002344C4">
        <w:trPr>
          <w:cantSplit/>
          <w:trHeight w:val="1798"/>
          <w:jc w:val="center"/>
        </w:trPr>
        <w:tc>
          <w:tcPr>
            <w:tcW w:w="959" w:type="dxa"/>
            <w:noWrap/>
            <w:textDirection w:val="tbRl"/>
            <w:vAlign w:val="center"/>
            <w:hideMark/>
          </w:tcPr>
          <w:p w:rsidR="002B76C1" w:rsidRPr="002B76C1" w:rsidRDefault="002B76C1" w:rsidP="002344C4">
            <w:pPr>
              <w:spacing w:line="240" w:lineRule="auto"/>
              <w:jc w:val="center"/>
              <w:rPr>
                <w:rFonts w:ascii="Times New Roman" w:hAnsi="Times New Roman" w:cs="Times New Roman"/>
                <w:b/>
                <w:bCs/>
                <w:sz w:val="20"/>
                <w:szCs w:val="20"/>
              </w:rPr>
            </w:pPr>
            <w:proofErr w:type="spellStart"/>
            <w:r w:rsidRPr="002B76C1">
              <w:rPr>
                <w:rFonts w:ascii="Times New Roman" w:hAnsi="Times New Roman" w:cs="Times New Roman"/>
                <w:b/>
                <w:bCs/>
                <w:sz w:val="20"/>
                <w:szCs w:val="20"/>
              </w:rPr>
              <w:t>Protein</w:t>
            </w:r>
            <w:proofErr w:type="spellEnd"/>
          </w:p>
        </w:tc>
        <w:tc>
          <w:tcPr>
            <w:tcW w:w="709" w:type="dxa"/>
            <w:textDirection w:val="tbRl"/>
            <w:vAlign w:val="center"/>
          </w:tcPr>
          <w:p w:rsidR="002B76C1" w:rsidRPr="002B76C1" w:rsidRDefault="002B76C1" w:rsidP="002344C4">
            <w:pPr>
              <w:spacing w:line="240" w:lineRule="auto"/>
              <w:jc w:val="center"/>
              <w:rPr>
                <w:rFonts w:ascii="Times New Roman" w:hAnsi="Times New Roman" w:cs="Times New Roman"/>
                <w:b/>
                <w:bCs/>
                <w:sz w:val="20"/>
                <w:szCs w:val="20"/>
              </w:rPr>
            </w:pPr>
            <w:proofErr w:type="spellStart"/>
            <w:r w:rsidRPr="002B76C1">
              <w:rPr>
                <w:rFonts w:ascii="Times New Roman" w:hAnsi="Times New Roman" w:cs="Times New Roman"/>
                <w:b/>
                <w:bCs/>
                <w:sz w:val="20"/>
                <w:szCs w:val="20"/>
              </w:rPr>
              <w:t>Compound</w:t>
            </w:r>
            <w:proofErr w:type="spellEnd"/>
          </w:p>
        </w:tc>
        <w:tc>
          <w:tcPr>
            <w:tcW w:w="850" w:type="dxa"/>
            <w:noWrap/>
            <w:textDirection w:val="tbRl"/>
            <w:vAlign w:val="center"/>
            <w:hideMark/>
          </w:tcPr>
          <w:p w:rsidR="002B76C1" w:rsidRPr="002B76C1" w:rsidRDefault="002B76C1" w:rsidP="002344C4">
            <w:pPr>
              <w:spacing w:line="240" w:lineRule="auto"/>
              <w:jc w:val="center"/>
              <w:rPr>
                <w:rFonts w:ascii="Times New Roman" w:hAnsi="Times New Roman" w:cs="Times New Roman"/>
                <w:b/>
                <w:bCs/>
                <w:sz w:val="20"/>
                <w:szCs w:val="20"/>
              </w:rPr>
            </w:pPr>
            <w:proofErr w:type="spellStart"/>
            <w:r w:rsidRPr="002B76C1">
              <w:rPr>
                <w:rFonts w:ascii="Times New Roman" w:hAnsi="Times New Roman" w:cs="Times New Roman"/>
                <w:b/>
                <w:bCs/>
                <w:sz w:val="20"/>
                <w:szCs w:val="20"/>
              </w:rPr>
              <w:t>Best</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Affinity</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kcal</w:t>
            </w:r>
            <w:proofErr w:type="spellEnd"/>
            <w:r w:rsidRPr="002B76C1">
              <w:rPr>
                <w:rFonts w:ascii="Times New Roman" w:hAnsi="Times New Roman" w:cs="Times New Roman"/>
                <w:b/>
                <w:bCs/>
                <w:sz w:val="20"/>
                <w:szCs w:val="20"/>
              </w:rPr>
              <w:t>/</w:t>
            </w:r>
            <w:proofErr w:type="spellStart"/>
            <w:r w:rsidRPr="002B76C1">
              <w:rPr>
                <w:rFonts w:ascii="Times New Roman" w:hAnsi="Times New Roman" w:cs="Times New Roman"/>
                <w:b/>
                <w:bCs/>
                <w:sz w:val="20"/>
                <w:szCs w:val="20"/>
              </w:rPr>
              <w:t>mol</w:t>
            </w:r>
            <w:proofErr w:type="spellEnd"/>
            <w:r w:rsidRPr="002B76C1">
              <w:rPr>
                <w:rFonts w:ascii="Times New Roman" w:hAnsi="Times New Roman" w:cs="Times New Roman"/>
                <w:b/>
                <w:bCs/>
                <w:sz w:val="20"/>
                <w:szCs w:val="20"/>
              </w:rPr>
              <w:t>)</w:t>
            </w:r>
          </w:p>
        </w:tc>
        <w:tc>
          <w:tcPr>
            <w:tcW w:w="425" w:type="dxa"/>
            <w:noWrap/>
            <w:textDirection w:val="tbRl"/>
            <w:vAlign w:val="center"/>
            <w:hideMark/>
          </w:tcPr>
          <w:p w:rsidR="002B76C1" w:rsidRPr="002B76C1" w:rsidRDefault="002B76C1" w:rsidP="002344C4">
            <w:pPr>
              <w:spacing w:line="240" w:lineRule="auto"/>
              <w:jc w:val="center"/>
              <w:rPr>
                <w:rFonts w:ascii="Times New Roman" w:hAnsi="Times New Roman" w:cs="Times New Roman"/>
                <w:b/>
                <w:bCs/>
                <w:sz w:val="20"/>
                <w:szCs w:val="20"/>
              </w:rPr>
            </w:pPr>
            <w:proofErr w:type="spellStart"/>
            <w:r w:rsidRPr="002B76C1">
              <w:rPr>
                <w:rFonts w:ascii="Times New Roman" w:hAnsi="Times New Roman" w:cs="Times New Roman"/>
                <w:b/>
                <w:bCs/>
                <w:sz w:val="20"/>
                <w:szCs w:val="20"/>
              </w:rPr>
              <w:t>No</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of</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H-Bonds</w:t>
            </w:r>
            <w:proofErr w:type="spellEnd"/>
          </w:p>
        </w:tc>
        <w:tc>
          <w:tcPr>
            <w:tcW w:w="851" w:type="dxa"/>
            <w:noWrap/>
            <w:textDirection w:val="tbRl"/>
            <w:vAlign w:val="center"/>
            <w:hideMark/>
          </w:tcPr>
          <w:p w:rsidR="002B76C1" w:rsidRPr="002B76C1" w:rsidRDefault="002B76C1" w:rsidP="002344C4">
            <w:pPr>
              <w:spacing w:line="240" w:lineRule="auto"/>
              <w:jc w:val="center"/>
              <w:rPr>
                <w:rFonts w:ascii="Times New Roman" w:hAnsi="Times New Roman" w:cs="Times New Roman"/>
                <w:b/>
                <w:bCs/>
                <w:sz w:val="20"/>
                <w:szCs w:val="20"/>
              </w:rPr>
            </w:pPr>
            <w:proofErr w:type="spellStart"/>
            <w:r w:rsidRPr="002B76C1">
              <w:rPr>
                <w:rFonts w:ascii="Times New Roman" w:hAnsi="Times New Roman" w:cs="Times New Roman"/>
                <w:b/>
                <w:bCs/>
                <w:sz w:val="20"/>
                <w:szCs w:val="20"/>
              </w:rPr>
              <w:t>Pi</w:t>
            </w:r>
            <w:proofErr w:type="spellEnd"/>
            <w:r w:rsidRPr="002B76C1">
              <w:rPr>
                <w:rFonts w:ascii="Times New Roman" w:hAnsi="Times New Roman" w:cs="Times New Roman"/>
                <w:b/>
                <w:bCs/>
                <w:sz w:val="20"/>
                <w:szCs w:val="20"/>
              </w:rPr>
              <w:t xml:space="preserve"> / </w:t>
            </w:r>
            <w:proofErr w:type="spellStart"/>
            <w:r w:rsidRPr="002B76C1">
              <w:rPr>
                <w:rFonts w:ascii="Times New Roman" w:hAnsi="Times New Roman" w:cs="Times New Roman"/>
                <w:b/>
                <w:bCs/>
                <w:sz w:val="20"/>
                <w:szCs w:val="20"/>
              </w:rPr>
              <w:t>Hydrophobic</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Interactions</w:t>
            </w:r>
            <w:proofErr w:type="spellEnd"/>
          </w:p>
        </w:tc>
        <w:tc>
          <w:tcPr>
            <w:tcW w:w="2410" w:type="dxa"/>
            <w:noWrap/>
            <w:textDirection w:val="tbRl"/>
            <w:vAlign w:val="center"/>
            <w:hideMark/>
          </w:tcPr>
          <w:p w:rsidR="002B76C1" w:rsidRPr="002B76C1" w:rsidRDefault="002B76C1" w:rsidP="002344C4">
            <w:pPr>
              <w:spacing w:line="240" w:lineRule="auto"/>
              <w:jc w:val="center"/>
              <w:rPr>
                <w:rFonts w:ascii="Times New Roman" w:hAnsi="Times New Roman" w:cs="Times New Roman"/>
                <w:b/>
                <w:bCs/>
                <w:sz w:val="20"/>
                <w:szCs w:val="20"/>
              </w:rPr>
            </w:pPr>
            <w:proofErr w:type="spellStart"/>
            <w:r w:rsidRPr="002B76C1">
              <w:rPr>
                <w:rFonts w:ascii="Times New Roman" w:hAnsi="Times New Roman" w:cs="Times New Roman"/>
                <w:b/>
                <w:bCs/>
                <w:sz w:val="20"/>
                <w:szCs w:val="20"/>
              </w:rPr>
              <w:t>Unique</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Interactions</w:t>
            </w:r>
            <w:proofErr w:type="spellEnd"/>
          </w:p>
        </w:tc>
        <w:tc>
          <w:tcPr>
            <w:tcW w:w="3082" w:type="dxa"/>
            <w:noWrap/>
            <w:textDirection w:val="tbRl"/>
            <w:vAlign w:val="center"/>
            <w:hideMark/>
          </w:tcPr>
          <w:p w:rsidR="002B76C1" w:rsidRPr="002B76C1" w:rsidRDefault="002B76C1" w:rsidP="002344C4">
            <w:pPr>
              <w:spacing w:line="240" w:lineRule="auto"/>
              <w:jc w:val="center"/>
              <w:rPr>
                <w:rFonts w:ascii="Times New Roman" w:hAnsi="Times New Roman" w:cs="Times New Roman"/>
                <w:sz w:val="20"/>
                <w:szCs w:val="20"/>
              </w:rPr>
            </w:pPr>
            <w:proofErr w:type="spellStart"/>
            <w:r w:rsidRPr="002B76C1">
              <w:rPr>
                <w:rFonts w:ascii="Times New Roman" w:hAnsi="Times New Roman" w:cs="Times New Roman"/>
                <w:b/>
                <w:bCs/>
                <w:sz w:val="20"/>
                <w:szCs w:val="20"/>
              </w:rPr>
              <w:t>Key</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Hydrophobic</w:t>
            </w:r>
            <w:proofErr w:type="spellEnd"/>
            <w:r w:rsidRPr="002B76C1">
              <w:rPr>
                <w:rFonts w:ascii="Times New Roman" w:hAnsi="Times New Roman" w:cs="Times New Roman"/>
                <w:b/>
                <w:bCs/>
                <w:sz w:val="20"/>
                <w:szCs w:val="20"/>
              </w:rPr>
              <w:t xml:space="preserve"> </w:t>
            </w:r>
            <w:proofErr w:type="spellStart"/>
            <w:r w:rsidRPr="002B76C1">
              <w:rPr>
                <w:rFonts w:ascii="Times New Roman" w:hAnsi="Times New Roman" w:cs="Times New Roman"/>
                <w:b/>
                <w:bCs/>
                <w:sz w:val="20"/>
                <w:szCs w:val="20"/>
              </w:rPr>
              <w:t>Residues</w:t>
            </w:r>
            <w:proofErr w:type="spellEnd"/>
          </w:p>
        </w:tc>
      </w:tr>
      <w:tr w:rsidR="002B76C1" w:rsidRPr="00634EC8" w:rsidTr="002344C4">
        <w:trPr>
          <w:trHeight w:val="288"/>
          <w:jc w:val="center"/>
        </w:trPr>
        <w:tc>
          <w:tcPr>
            <w:tcW w:w="959"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2YA5</w:t>
            </w:r>
          </w:p>
        </w:tc>
        <w:tc>
          <w:tcPr>
            <w:tcW w:w="709" w:type="dxa"/>
            <w:vAlign w:val="center"/>
          </w:tcPr>
          <w:p w:rsidR="002B76C1" w:rsidRPr="002B76C1" w:rsidRDefault="002B76C1" w:rsidP="002344C4">
            <w:pPr>
              <w:spacing w:line="240" w:lineRule="auto"/>
              <w:jc w:val="center"/>
              <w:rPr>
                <w:rFonts w:ascii="Times New Roman" w:hAnsi="Times New Roman" w:cs="Times New Roman"/>
                <w:b/>
                <w:bCs/>
                <w:sz w:val="20"/>
                <w:szCs w:val="20"/>
              </w:rPr>
            </w:pPr>
            <w:r w:rsidRPr="002B76C1">
              <w:rPr>
                <w:rFonts w:ascii="Times New Roman" w:hAnsi="Times New Roman" w:cs="Times New Roman"/>
                <w:b/>
                <w:bCs/>
                <w:sz w:val="20"/>
                <w:szCs w:val="20"/>
              </w:rPr>
              <w:t>2</w:t>
            </w:r>
          </w:p>
        </w:tc>
        <w:tc>
          <w:tcPr>
            <w:tcW w:w="850"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-5.9</w:t>
            </w:r>
          </w:p>
        </w:tc>
        <w:tc>
          <w:tcPr>
            <w:tcW w:w="425"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5</w:t>
            </w:r>
          </w:p>
        </w:tc>
        <w:tc>
          <w:tcPr>
            <w:tcW w:w="851"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7</w:t>
            </w:r>
          </w:p>
        </w:tc>
        <w:tc>
          <w:tcPr>
            <w:tcW w:w="2410" w:type="dxa"/>
            <w:noWrap/>
            <w:vAlign w:val="center"/>
            <w:hideMark/>
          </w:tcPr>
          <w:p w:rsidR="002B76C1" w:rsidRPr="002B76C1" w:rsidRDefault="002B76C1" w:rsidP="002344C4">
            <w:pPr>
              <w:spacing w:line="240" w:lineRule="auto"/>
              <w:jc w:val="center"/>
              <w:rPr>
                <w:rFonts w:ascii="Times New Roman" w:hAnsi="Times New Roman" w:cs="Times New Roman"/>
                <w:sz w:val="20"/>
                <w:szCs w:val="20"/>
                <w:lang w:val="en-US"/>
              </w:rPr>
            </w:pPr>
            <w:r w:rsidRPr="002B76C1">
              <w:rPr>
                <w:rFonts w:ascii="Times New Roman" w:hAnsi="Times New Roman" w:cs="Times New Roman"/>
                <w:sz w:val="20"/>
                <w:szCs w:val="20"/>
                <w:lang w:val="en-US"/>
              </w:rPr>
              <w:t>Lys490, Asp538, Tyr446, Gln537, Arg461</w:t>
            </w:r>
          </w:p>
        </w:tc>
        <w:tc>
          <w:tcPr>
            <w:tcW w:w="3082"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Val480, Pro541, Ile460, Lys444</w:t>
            </w:r>
          </w:p>
        </w:tc>
      </w:tr>
      <w:tr w:rsidR="002B76C1" w:rsidRPr="004509AE" w:rsidTr="002344C4">
        <w:trPr>
          <w:trHeight w:val="288"/>
          <w:jc w:val="center"/>
        </w:trPr>
        <w:tc>
          <w:tcPr>
            <w:tcW w:w="959"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2YA5</w:t>
            </w:r>
          </w:p>
        </w:tc>
        <w:tc>
          <w:tcPr>
            <w:tcW w:w="709" w:type="dxa"/>
            <w:vAlign w:val="center"/>
          </w:tcPr>
          <w:p w:rsidR="002B76C1" w:rsidRPr="002B76C1" w:rsidRDefault="002B76C1" w:rsidP="002344C4">
            <w:pPr>
              <w:spacing w:line="240" w:lineRule="auto"/>
              <w:jc w:val="center"/>
              <w:rPr>
                <w:rFonts w:ascii="Times New Roman" w:hAnsi="Times New Roman" w:cs="Times New Roman"/>
                <w:b/>
                <w:bCs/>
                <w:sz w:val="20"/>
                <w:szCs w:val="20"/>
              </w:rPr>
            </w:pPr>
            <w:r w:rsidRPr="002B76C1">
              <w:rPr>
                <w:rFonts w:ascii="Times New Roman" w:hAnsi="Times New Roman" w:cs="Times New Roman"/>
                <w:b/>
                <w:bCs/>
                <w:sz w:val="20"/>
                <w:szCs w:val="20"/>
              </w:rPr>
              <w:t>6</w:t>
            </w:r>
          </w:p>
        </w:tc>
        <w:tc>
          <w:tcPr>
            <w:tcW w:w="850"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-8.1</w:t>
            </w:r>
          </w:p>
        </w:tc>
        <w:tc>
          <w:tcPr>
            <w:tcW w:w="425"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3</w:t>
            </w:r>
          </w:p>
        </w:tc>
        <w:tc>
          <w:tcPr>
            <w:tcW w:w="851"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9</w:t>
            </w:r>
          </w:p>
        </w:tc>
        <w:tc>
          <w:tcPr>
            <w:tcW w:w="2410" w:type="dxa"/>
            <w:noWrap/>
            <w:vAlign w:val="center"/>
            <w:hideMark/>
          </w:tcPr>
          <w:p w:rsidR="002B76C1" w:rsidRPr="002B76C1" w:rsidRDefault="002B76C1" w:rsidP="002344C4">
            <w:pPr>
              <w:spacing w:line="240" w:lineRule="auto"/>
              <w:jc w:val="center"/>
              <w:rPr>
                <w:rFonts w:ascii="Times New Roman" w:hAnsi="Times New Roman" w:cs="Times New Roman"/>
                <w:sz w:val="20"/>
                <w:szCs w:val="20"/>
                <w:lang w:val="en-US"/>
              </w:rPr>
            </w:pPr>
            <w:r w:rsidRPr="002B76C1">
              <w:rPr>
                <w:rFonts w:ascii="Times New Roman" w:hAnsi="Times New Roman" w:cs="Times New Roman"/>
                <w:sz w:val="20"/>
                <w:szCs w:val="20"/>
              </w:rPr>
              <w:t>Lys490, Tyr504, Asp538</w:t>
            </w:r>
            <w:r w:rsidRPr="002B76C1">
              <w:rPr>
                <w:rFonts w:ascii="Times New Roman" w:hAnsi="Times New Roman" w:cs="Times New Roman"/>
                <w:sz w:val="20"/>
                <w:szCs w:val="20"/>
                <w:lang w:val="en-US"/>
              </w:rPr>
              <w:t>, Thr445</w:t>
            </w:r>
          </w:p>
        </w:tc>
        <w:tc>
          <w:tcPr>
            <w:tcW w:w="3082" w:type="dxa"/>
            <w:noWrap/>
            <w:vAlign w:val="center"/>
            <w:hideMark/>
          </w:tcPr>
          <w:p w:rsidR="002B76C1" w:rsidRPr="002B76C1" w:rsidRDefault="002B76C1" w:rsidP="002344C4">
            <w:pPr>
              <w:spacing w:line="240" w:lineRule="auto"/>
              <w:jc w:val="center"/>
              <w:rPr>
                <w:rFonts w:ascii="Times New Roman" w:hAnsi="Times New Roman" w:cs="Times New Roman"/>
                <w:sz w:val="20"/>
                <w:szCs w:val="20"/>
                <w:lang w:val="en-US"/>
              </w:rPr>
            </w:pPr>
            <w:r w:rsidRPr="002B76C1">
              <w:rPr>
                <w:rFonts w:ascii="Times New Roman" w:hAnsi="Times New Roman" w:cs="Times New Roman"/>
                <w:sz w:val="20"/>
                <w:szCs w:val="20"/>
                <w:lang w:val="en-US"/>
              </w:rPr>
              <w:t>Val480, Pro541, Ile460, Met523, Tyr438</w:t>
            </w:r>
          </w:p>
        </w:tc>
      </w:tr>
      <w:tr w:rsidR="002B76C1" w:rsidRPr="00634EC8" w:rsidTr="002344C4">
        <w:trPr>
          <w:trHeight w:val="288"/>
          <w:jc w:val="center"/>
        </w:trPr>
        <w:tc>
          <w:tcPr>
            <w:tcW w:w="959"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4QQA</w:t>
            </w:r>
          </w:p>
        </w:tc>
        <w:tc>
          <w:tcPr>
            <w:tcW w:w="709" w:type="dxa"/>
            <w:vAlign w:val="center"/>
          </w:tcPr>
          <w:p w:rsidR="002B76C1" w:rsidRPr="002B76C1" w:rsidRDefault="002B76C1" w:rsidP="002344C4">
            <w:pPr>
              <w:spacing w:line="240" w:lineRule="auto"/>
              <w:jc w:val="center"/>
              <w:rPr>
                <w:rFonts w:ascii="Times New Roman" w:hAnsi="Times New Roman" w:cs="Times New Roman"/>
                <w:b/>
                <w:bCs/>
                <w:sz w:val="20"/>
                <w:szCs w:val="20"/>
              </w:rPr>
            </w:pPr>
            <w:r w:rsidRPr="002B76C1">
              <w:rPr>
                <w:rFonts w:ascii="Times New Roman" w:hAnsi="Times New Roman" w:cs="Times New Roman"/>
                <w:b/>
                <w:bCs/>
                <w:sz w:val="20"/>
                <w:szCs w:val="20"/>
              </w:rPr>
              <w:t>2</w:t>
            </w:r>
          </w:p>
        </w:tc>
        <w:tc>
          <w:tcPr>
            <w:tcW w:w="850"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-5.6</w:t>
            </w:r>
          </w:p>
        </w:tc>
        <w:tc>
          <w:tcPr>
            <w:tcW w:w="425"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2</w:t>
            </w:r>
          </w:p>
        </w:tc>
        <w:tc>
          <w:tcPr>
            <w:tcW w:w="851"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5</w:t>
            </w:r>
          </w:p>
        </w:tc>
        <w:tc>
          <w:tcPr>
            <w:tcW w:w="2410"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His156, Gln189</w:t>
            </w:r>
          </w:p>
        </w:tc>
        <w:tc>
          <w:tcPr>
            <w:tcW w:w="3082"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Thr154, Val259, Leu53, Ile153</w:t>
            </w:r>
          </w:p>
        </w:tc>
      </w:tr>
      <w:tr w:rsidR="002B76C1" w:rsidRPr="00634EC8" w:rsidTr="002344C4">
        <w:trPr>
          <w:trHeight w:val="288"/>
          <w:jc w:val="center"/>
        </w:trPr>
        <w:tc>
          <w:tcPr>
            <w:tcW w:w="959"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lastRenderedPageBreak/>
              <w:t>4QQA</w:t>
            </w:r>
          </w:p>
        </w:tc>
        <w:tc>
          <w:tcPr>
            <w:tcW w:w="709" w:type="dxa"/>
            <w:vAlign w:val="center"/>
          </w:tcPr>
          <w:p w:rsidR="002B76C1" w:rsidRPr="002B76C1" w:rsidRDefault="002B76C1" w:rsidP="002344C4">
            <w:pPr>
              <w:spacing w:line="240" w:lineRule="auto"/>
              <w:jc w:val="center"/>
              <w:rPr>
                <w:rFonts w:ascii="Times New Roman" w:hAnsi="Times New Roman" w:cs="Times New Roman"/>
                <w:b/>
                <w:bCs/>
                <w:sz w:val="20"/>
                <w:szCs w:val="20"/>
              </w:rPr>
            </w:pPr>
            <w:r w:rsidRPr="002B76C1">
              <w:rPr>
                <w:rFonts w:ascii="Times New Roman" w:hAnsi="Times New Roman" w:cs="Times New Roman"/>
                <w:b/>
                <w:bCs/>
                <w:sz w:val="20"/>
                <w:szCs w:val="20"/>
              </w:rPr>
              <w:t>6</w:t>
            </w:r>
          </w:p>
        </w:tc>
        <w:tc>
          <w:tcPr>
            <w:tcW w:w="850"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-6.8</w:t>
            </w:r>
          </w:p>
        </w:tc>
        <w:tc>
          <w:tcPr>
            <w:tcW w:w="425"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3</w:t>
            </w:r>
          </w:p>
        </w:tc>
        <w:tc>
          <w:tcPr>
            <w:tcW w:w="851"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9</w:t>
            </w:r>
          </w:p>
        </w:tc>
        <w:tc>
          <w:tcPr>
            <w:tcW w:w="2410"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Lys255, Ser256, Asn470</w:t>
            </w:r>
          </w:p>
        </w:tc>
        <w:tc>
          <w:tcPr>
            <w:tcW w:w="3082" w:type="dxa"/>
            <w:noWrap/>
            <w:vAlign w:val="center"/>
            <w:hideMark/>
          </w:tcPr>
          <w:p w:rsidR="002B76C1" w:rsidRPr="002B76C1" w:rsidRDefault="002B76C1" w:rsidP="002344C4">
            <w:pPr>
              <w:spacing w:line="240" w:lineRule="auto"/>
              <w:jc w:val="center"/>
              <w:rPr>
                <w:rFonts w:ascii="Times New Roman" w:hAnsi="Times New Roman" w:cs="Times New Roman"/>
                <w:sz w:val="20"/>
                <w:szCs w:val="20"/>
              </w:rPr>
            </w:pPr>
            <w:r w:rsidRPr="002B76C1">
              <w:rPr>
                <w:rFonts w:ascii="Times New Roman" w:hAnsi="Times New Roman" w:cs="Times New Roman"/>
                <w:sz w:val="20"/>
                <w:szCs w:val="20"/>
              </w:rPr>
              <w:t>Arg359, Leu447, Tyr358</w:t>
            </w:r>
          </w:p>
        </w:tc>
      </w:tr>
    </w:tbl>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sz w:val="20"/>
          <w:szCs w:val="20"/>
          <w:lang w:val="en-US"/>
        </w:rPr>
        <w:t xml:space="preserve">Molecular docking of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into the active site of </w:t>
      </w:r>
      <w:r w:rsidRPr="003B5946">
        <w:rPr>
          <w:rFonts w:ascii="Times New Roman" w:hAnsi="Times New Roman" w:cs="Times New Roman"/>
          <w:i/>
          <w:iCs/>
          <w:sz w:val="20"/>
          <w:szCs w:val="20"/>
          <w:lang w:val="en-US"/>
        </w:rPr>
        <w:t xml:space="preserve">Streptococcus </w:t>
      </w:r>
      <w:proofErr w:type="spellStart"/>
      <w:r w:rsidRPr="003B5946">
        <w:rPr>
          <w:rFonts w:ascii="Times New Roman" w:hAnsi="Times New Roman" w:cs="Times New Roman"/>
          <w:i/>
          <w:iCs/>
          <w:sz w:val="20"/>
          <w:szCs w:val="20"/>
          <w:lang w:val="en-US"/>
        </w:rPr>
        <w:t>pneumoniae</w:t>
      </w:r>
      <w:proofErr w:type="spellEnd"/>
      <w:r w:rsidRPr="00634EC8">
        <w:rPr>
          <w:rFonts w:ascii="Times New Roman" w:hAnsi="Times New Roman" w:cs="Times New Roman"/>
          <w:sz w:val="20"/>
          <w:szCs w:val="20"/>
          <w:lang w:val="en-US"/>
        </w:rPr>
        <w:t xml:space="preserve"> neuraminidase A (PDB: 2YA5) revealed a best-scoring pose (mode 1) with a binding affinity of –5.9 kcal/mol and essentially zero RMSD relative to itself. A second pose also scored –5.9 kcal/mol, though with an RMSD of approximately 29 Å (LB/U B ≈ 28.96/33.11 Å), indicating a markedly different orientation elsewhere in the binding cavity. Subsequent poses (modes 3–5) clustered at slightly lower affinities (–5.8 to –5.7 kcal/mol) and had RMSD values around 2.3–2.6 Å, reflecting minor conformational shifts around the same binding region. In the top-scoring orientation, five hydrogen bonds anchored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within the catalytic pocket. The most prominent interaction was a conventional hydrogen bond between the donor hydrogen of Lys490 and one of the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nitrogen atoms at a distance of 2.19 Å, effectively positioning the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core close to the enzyme’s conserved Lys490. Two carbon–hydrogen bonds were also observed: Tyr446 donating a weak C–H hydrogen to the same nitrogen acceptor (distance ≈ 3.52 Å) and Gln537 </w:t>
      </w:r>
      <w:proofErr w:type="gramStart"/>
      <w:r w:rsidRPr="00634EC8">
        <w:rPr>
          <w:rFonts w:ascii="Times New Roman" w:hAnsi="Times New Roman" w:cs="Times New Roman"/>
          <w:sz w:val="20"/>
          <w:szCs w:val="20"/>
          <w:lang w:val="en-US"/>
        </w:rPr>
        <w:t>similarly donating</w:t>
      </w:r>
      <w:proofErr w:type="gramEnd"/>
      <w:r w:rsidRPr="00634EC8">
        <w:rPr>
          <w:rFonts w:ascii="Times New Roman" w:hAnsi="Times New Roman" w:cs="Times New Roman"/>
          <w:sz w:val="20"/>
          <w:szCs w:val="20"/>
          <w:lang w:val="en-US"/>
        </w:rPr>
        <w:t xml:space="preserve"> a C–H hydrogen at roughly 3.69 Å to the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ring. Additionally, a carbon–hydrogen bond between one of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’s sp</w:t>
      </w:r>
      <w:r w:rsidRPr="00634EC8">
        <w:rPr>
          <w:rFonts w:ascii="Times New Roman" w:hAnsi="Times New Roman" w:cs="Times New Roman"/>
          <w:sz w:val="20"/>
          <w:szCs w:val="20"/>
          <w:vertAlign w:val="superscript"/>
          <w:lang w:val="en-US"/>
        </w:rPr>
        <w:t>2</w:t>
      </w:r>
      <w:r w:rsidRPr="00634EC8">
        <w:rPr>
          <w:rFonts w:ascii="Times New Roman" w:hAnsi="Times New Roman" w:cs="Times New Roman"/>
          <w:sz w:val="20"/>
          <w:szCs w:val="20"/>
          <w:lang w:val="en-US"/>
        </w:rPr>
        <w:t xml:space="preserve"> carbons and the backbone carbonyl oxygen of Arg461 at 3.61 Å served to further stabilize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orientation deep in the pocket. A fifth hydrogen bond, classified as a pi-donor type, formed between the backbone amide hydrogen of Asp538 and the aromatic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 xml:space="preserve">-system of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at 2.65 Å, suggesting that Asp538 helps anchor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aromatic ring. Beyond these polar contacts, a network of hydrophobic interactions contributed to overall stabilization. Two distinct alkyl–alkyl contacts between Val480 and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aliphatic </w:t>
      </w:r>
      <w:proofErr w:type="spellStart"/>
      <w:r w:rsidRPr="00634EC8">
        <w:rPr>
          <w:rFonts w:ascii="Times New Roman" w:hAnsi="Times New Roman" w:cs="Times New Roman"/>
          <w:sz w:val="20"/>
          <w:szCs w:val="20"/>
          <w:lang w:val="en-US"/>
        </w:rPr>
        <w:t>pentyl</w:t>
      </w:r>
      <w:proofErr w:type="spellEnd"/>
      <w:r w:rsidRPr="00634EC8">
        <w:rPr>
          <w:rFonts w:ascii="Times New Roman" w:hAnsi="Times New Roman" w:cs="Times New Roman"/>
          <w:sz w:val="20"/>
          <w:szCs w:val="20"/>
          <w:lang w:val="en-US"/>
        </w:rPr>
        <w:t xml:space="preserve"> chain occurred at 5.33 Å and 4.09 Å, indicating that Val480 cradles the alkyl spacer in a hydrophobic </w:t>
      </w:r>
      <w:proofErr w:type="spellStart"/>
      <w:r w:rsidRPr="00634EC8">
        <w:rPr>
          <w:rFonts w:ascii="Times New Roman" w:hAnsi="Times New Roman" w:cs="Times New Roman"/>
          <w:sz w:val="20"/>
          <w:szCs w:val="20"/>
          <w:lang w:val="en-US"/>
        </w:rPr>
        <w:t>subpocket</w:t>
      </w:r>
      <w:proofErr w:type="spellEnd"/>
      <w:r w:rsidRPr="00634EC8">
        <w:rPr>
          <w:rFonts w:ascii="Times New Roman" w:hAnsi="Times New Roman" w:cs="Times New Roman"/>
          <w:sz w:val="20"/>
          <w:szCs w:val="20"/>
          <w:lang w:val="en-US"/>
        </w:rPr>
        <w:t xml:space="preserve">. A similar alkyl stacking with Pro541 at 4.79 Å further buttressed the hydrophobic tail. Ile460 engaged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via both pure alkyl (distance ≈ 5.49 Å) and pi–alkyl interactions (≈ 4.97 Å), suggesting that the extended alkyl chain of compound </w:t>
      </w:r>
      <w:r w:rsidRPr="00DE5551">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lies against Ile460’s side chain. Last, another aliphatic contact occurred between Lys444 and one of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carbons at 5.07 Å. Taken together, these contacts explain why compound </w:t>
      </w:r>
      <w:r w:rsidRPr="00DE5551">
        <w:rPr>
          <w:rFonts w:ascii="Times New Roman" w:hAnsi="Times New Roman" w:cs="Times New Roman"/>
          <w:b/>
          <w:bCs/>
          <w:sz w:val="20"/>
          <w:szCs w:val="20"/>
          <w:lang w:val="en-US"/>
        </w:rPr>
        <w:t xml:space="preserve">2 </w:t>
      </w:r>
      <w:r w:rsidRPr="00634EC8">
        <w:rPr>
          <w:rFonts w:ascii="Times New Roman" w:hAnsi="Times New Roman" w:cs="Times New Roman"/>
          <w:sz w:val="20"/>
          <w:szCs w:val="20"/>
          <w:lang w:val="en-US"/>
        </w:rPr>
        <w:t>exhibits moderate affinity (–5.9 kcal/mol), with a balance of polar anchoring to Lys490 and Asp538 and hydrophobic support from Val480, Ile460, Pro541, and Lys444.</w:t>
      </w:r>
    </w:p>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noProof/>
          <w:sz w:val="20"/>
          <w:szCs w:val="20"/>
          <w:lang w:eastAsia="ru-RU"/>
        </w:rPr>
        <w:drawing>
          <wp:inline distT="0" distB="0" distL="0" distR="0">
            <wp:extent cx="5826865" cy="31470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ya5_1.png"/>
                    <pic:cNvPicPr/>
                  </pic:nvPicPr>
                  <pic:blipFill rotWithShape="1">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8325"/>
                    <a:stretch/>
                  </pic:blipFill>
                  <pic:spPr bwMode="auto">
                    <a:xfrm>
                      <a:off x="0" y="0"/>
                      <a:ext cx="5880335" cy="317593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E3444" w:rsidRPr="00634EC8" w:rsidRDefault="009E3444" w:rsidP="009E3444">
      <w:pPr>
        <w:jc w:val="center"/>
        <w:rPr>
          <w:rFonts w:ascii="Times New Roman" w:hAnsi="Times New Roman" w:cs="Times New Roman"/>
          <w:sz w:val="20"/>
          <w:szCs w:val="20"/>
          <w:lang w:val="en-US"/>
        </w:rPr>
      </w:pPr>
      <w:r w:rsidRPr="00634EC8">
        <w:rPr>
          <w:rFonts w:ascii="Times New Roman" w:hAnsi="Times New Roman" w:cs="Times New Roman"/>
          <w:noProof/>
          <w:sz w:val="20"/>
          <w:szCs w:val="20"/>
          <w:lang w:eastAsia="ru-RU"/>
        </w:rPr>
        <w:lastRenderedPageBreak/>
        <w:drawing>
          <wp:inline distT="0" distB="0" distL="0" distR="0">
            <wp:extent cx="3901440" cy="378091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ya5-out_ligand_1.png"/>
                    <pic:cNvPicPr/>
                  </pic:nvPicPr>
                  <pic:blipFill rotWithShape="1">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269" b="1078"/>
                    <a:stretch/>
                  </pic:blipFill>
                  <pic:spPr bwMode="auto">
                    <a:xfrm>
                      <a:off x="0" y="0"/>
                      <a:ext cx="3914871" cy="379392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b/>
          <w:bCs/>
          <w:sz w:val="20"/>
          <w:szCs w:val="20"/>
          <w:lang w:val="en-US"/>
        </w:rPr>
        <w:t>Figure</w:t>
      </w:r>
      <w:r w:rsidR="00D77FCE">
        <w:rPr>
          <w:rFonts w:ascii="Times New Roman" w:hAnsi="Times New Roman" w:cs="Times New Roman"/>
          <w:b/>
          <w:bCs/>
          <w:sz w:val="20"/>
          <w:szCs w:val="20"/>
          <w:lang w:val="en-US"/>
        </w:rPr>
        <w:t xml:space="preserve"> S2</w:t>
      </w:r>
      <w:r w:rsidRPr="00634EC8">
        <w:rPr>
          <w:rFonts w:ascii="Times New Roman" w:hAnsi="Times New Roman" w:cs="Times New Roman"/>
          <w:sz w:val="20"/>
          <w:szCs w:val="20"/>
          <w:lang w:val="en-US"/>
        </w:rPr>
        <w:t xml:space="preserve">. </w:t>
      </w:r>
      <w:proofErr w:type="gramStart"/>
      <w:r w:rsidRPr="00634EC8">
        <w:rPr>
          <w:rFonts w:ascii="Times New Roman" w:hAnsi="Times New Roman" w:cs="Times New Roman"/>
          <w:sz w:val="20"/>
          <w:szCs w:val="20"/>
          <w:lang w:val="en-US"/>
        </w:rPr>
        <w:t xml:space="preserve">Non-bond interactions between </w:t>
      </w:r>
      <w:proofErr w:type="spellStart"/>
      <w:r w:rsidRPr="00634EC8">
        <w:rPr>
          <w:rFonts w:ascii="Times New Roman" w:hAnsi="Times New Roman" w:cs="Times New Roman"/>
          <w:sz w:val="20"/>
          <w:szCs w:val="20"/>
          <w:lang w:val="en-US"/>
        </w:rPr>
        <w:t>NanA</w:t>
      </w:r>
      <w:proofErr w:type="spellEnd"/>
      <w:r w:rsidRPr="00634EC8">
        <w:rPr>
          <w:rFonts w:ascii="Times New Roman" w:hAnsi="Times New Roman" w:cs="Times New Roman"/>
          <w:sz w:val="20"/>
          <w:szCs w:val="20"/>
          <w:lang w:val="en-US"/>
        </w:rPr>
        <w:t xml:space="preserve"> and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in 3D (above) and 2D (below) representation.</w:t>
      </w:r>
      <w:proofErr w:type="gramEnd"/>
    </w:p>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sz w:val="20"/>
          <w:szCs w:val="20"/>
          <w:lang w:val="en-US"/>
        </w:rPr>
        <w:t xml:space="preserve">Docking of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into the same </w:t>
      </w:r>
      <w:proofErr w:type="spellStart"/>
      <w:r w:rsidRPr="00634EC8">
        <w:rPr>
          <w:rFonts w:ascii="Times New Roman" w:hAnsi="Times New Roman" w:cs="Times New Roman"/>
          <w:sz w:val="20"/>
          <w:szCs w:val="20"/>
          <w:lang w:val="en-US"/>
        </w:rPr>
        <w:t>NanA</w:t>
      </w:r>
      <w:proofErr w:type="spellEnd"/>
      <w:r w:rsidRPr="00634EC8">
        <w:rPr>
          <w:rFonts w:ascii="Times New Roman" w:hAnsi="Times New Roman" w:cs="Times New Roman"/>
          <w:sz w:val="20"/>
          <w:szCs w:val="20"/>
          <w:lang w:val="en-US"/>
        </w:rPr>
        <w:t xml:space="preserve"> active site yielded a markedly stronger best-scoring pose (mode 1, affinity –8.1 kcal/mol, RMSD = 0.00 Å). Two additional poses (modes 2 and 3) both scored </w:t>
      </w:r>
      <w:proofErr w:type="gramStart"/>
      <w:r w:rsidRPr="00634EC8">
        <w:rPr>
          <w:rFonts w:ascii="Times New Roman" w:hAnsi="Times New Roman" w:cs="Times New Roman"/>
          <w:sz w:val="20"/>
          <w:szCs w:val="20"/>
          <w:lang w:val="en-US"/>
        </w:rPr>
        <w:t>–7.8 kcal/mol, showing slight RMSD deviations of 1.20 Å and 1.08 Å, respectively, indicating similar binding orientations to the top pose</w:t>
      </w:r>
      <w:proofErr w:type="gramEnd"/>
      <w:r w:rsidRPr="00634EC8">
        <w:rPr>
          <w:rFonts w:ascii="Times New Roman" w:hAnsi="Times New Roman" w:cs="Times New Roman"/>
          <w:sz w:val="20"/>
          <w:szCs w:val="20"/>
          <w:lang w:val="en-US"/>
        </w:rPr>
        <w:t xml:space="preserve">. Subsequent poses (modes 4–9, affinities –7.7 </w:t>
      </w:r>
      <w:proofErr w:type="gramStart"/>
      <w:r w:rsidRPr="00634EC8">
        <w:rPr>
          <w:rFonts w:ascii="Times New Roman" w:hAnsi="Times New Roman" w:cs="Times New Roman"/>
          <w:sz w:val="20"/>
          <w:szCs w:val="20"/>
          <w:lang w:val="en-US"/>
        </w:rPr>
        <w:t>to –7.6 kcal/mol</w:t>
      </w:r>
      <w:proofErr w:type="gramEnd"/>
      <w:r w:rsidRPr="00634EC8">
        <w:rPr>
          <w:rFonts w:ascii="Times New Roman" w:hAnsi="Times New Roman" w:cs="Times New Roman"/>
          <w:sz w:val="20"/>
          <w:szCs w:val="20"/>
          <w:lang w:val="en-US"/>
        </w:rPr>
        <w:t xml:space="preserve">) either clustered within 1.5–3.3 Å RMSD around the same region or appeared as outliers (RMSD &gt; 19 Å). In the most favorable orientation, three strong conventional hydrogen bonds pinned down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The first was between the </w:t>
      </w:r>
      <w:r w:rsidRPr="00634EC8">
        <w:rPr>
          <w:rFonts w:ascii="Times New Roman" w:hAnsi="Times New Roman" w:cs="Times New Roman"/>
          <w:sz w:val="20"/>
          <w:szCs w:val="20"/>
        </w:rPr>
        <w:t>ε</w:t>
      </w:r>
      <w:r w:rsidRPr="00634EC8">
        <w:rPr>
          <w:rFonts w:ascii="Times New Roman" w:hAnsi="Times New Roman" w:cs="Times New Roman"/>
          <w:sz w:val="20"/>
          <w:szCs w:val="20"/>
          <w:lang w:val="en-US"/>
        </w:rPr>
        <w:t xml:space="preserve">-amino hydrogen of Lys490 and a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carbonyl oxygen at 2.30 Å, anchoring the </w:t>
      </w:r>
      <w:proofErr w:type="spellStart"/>
      <w:r w:rsidRPr="00634EC8">
        <w:rPr>
          <w:rFonts w:ascii="Times New Roman" w:hAnsi="Times New Roman" w:cs="Times New Roman"/>
          <w:sz w:val="20"/>
          <w:szCs w:val="20"/>
          <w:lang w:val="en-US"/>
        </w:rPr>
        <w:t>nitrophenyl–triazole</w:t>
      </w:r>
      <w:proofErr w:type="spellEnd"/>
      <w:r w:rsidRPr="00634EC8">
        <w:rPr>
          <w:rFonts w:ascii="Times New Roman" w:hAnsi="Times New Roman" w:cs="Times New Roman"/>
          <w:sz w:val="20"/>
          <w:szCs w:val="20"/>
          <w:lang w:val="en-US"/>
        </w:rPr>
        <w:t xml:space="preserve"> </w:t>
      </w:r>
      <w:proofErr w:type="spellStart"/>
      <w:r w:rsidRPr="00634EC8">
        <w:rPr>
          <w:rFonts w:ascii="Times New Roman" w:hAnsi="Times New Roman" w:cs="Times New Roman"/>
          <w:sz w:val="20"/>
          <w:szCs w:val="20"/>
          <w:lang w:val="en-US"/>
        </w:rPr>
        <w:t>bicyclic</w:t>
      </w:r>
      <w:proofErr w:type="spellEnd"/>
      <w:r w:rsidRPr="00634EC8">
        <w:rPr>
          <w:rFonts w:ascii="Times New Roman" w:hAnsi="Times New Roman" w:cs="Times New Roman"/>
          <w:sz w:val="20"/>
          <w:szCs w:val="20"/>
          <w:lang w:val="en-US"/>
        </w:rPr>
        <w:t xml:space="preserve"> core. A second H-bond formed between the </w:t>
      </w:r>
      <w:proofErr w:type="spellStart"/>
      <w:r w:rsidRPr="00634EC8">
        <w:rPr>
          <w:rFonts w:ascii="Times New Roman" w:hAnsi="Times New Roman" w:cs="Times New Roman"/>
          <w:sz w:val="20"/>
          <w:szCs w:val="20"/>
          <w:lang w:val="en-US"/>
        </w:rPr>
        <w:t>phenolic</w:t>
      </w:r>
      <w:proofErr w:type="spellEnd"/>
      <w:r w:rsidRPr="00634EC8">
        <w:rPr>
          <w:rFonts w:ascii="Times New Roman" w:hAnsi="Times New Roman" w:cs="Times New Roman"/>
          <w:sz w:val="20"/>
          <w:szCs w:val="20"/>
          <w:lang w:val="en-US"/>
        </w:rPr>
        <w:t xml:space="preserve"> hydroxyl hydrogen of Tyr504 and the same carbonyl oxygen at just 2.11 Å, reinforcing this polar interaction. A third H-bond connected the backbone amide hydrogen of Asp538 to a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nitrogen at 2.06 Å, securing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unit near the C-terminal loop. In addition to these polar interactions, multiple pi–sigma and hydrophobic contacts further stabilized the molecule. Val480’s </w:t>
      </w:r>
      <w:r w:rsidRPr="00634EC8">
        <w:rPr>
          <w:rFonts w:ascii="Times New Roman" w:hAnsi="Times New Roman" w:cs="Times New Roman"/>
          <w:sz w:val="20"/>
          <w:szCs w:val="20"/>
        </w:rPr>
        <w:t>γ</w:t>
      </w:r>
      <w:r w:rsidRPr="00634EC8">
        <w:rPr>
          <w:rFonts w:ascii="Times New Roman" w:hAnsi="Times New Roman" w:cs="Times New Roman"/>
          <w:sz w:val="20"/>
          <w:szCs w:val="20"/>
          <w:lang w:val="en-US"/>
        </w:rPr>
        <w:t xml:space="preserve">-methyl group engaged the aromatic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 xml:space="preserve">-system of compound </w:t>
      </w:r>
      <w:r w:rsidRPr="00DE5551">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in a pi–sigma interaction at 3.76 Å, suggesting that Val480’s side chain sits directly beneath the aromatic ring. </w:t>
      </w:r>
      <w:proofErr w:type="spellStart"/>
      <w:r w:rsidRPr="00634EC8">
        <w:rPr>
          <w:rFonts w:ascii="Times New Roman" w:hAnsi="Times New Roman" w:cs="Times New Roman"/>
          <w:sz w:val="20"/>
          <w:szCs w:val="20"/>
          <w:lang w:val="en-US"/>
        </w:rPr>
        <w:t>Intramolecular</w:t>
      </w:r>
      <w:proofErr w:type="spellEnd"/>
      <w:r w:rsidRPr="00634EC8">
        <w:rPr>
          <w:rFonts w:ascii="Times New Roman" w:hAnsi="Times New Roman" w:cs="Times New Roman"/>
          <w:sz w:val="20"/>
          <w:szCs w:val="20"/>
          <w:lang w:val="en-US"/>
        </w:rPr>
        <w:t xml:space="preserve"> stacking within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itself was evident from three pi–sigma distances between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carbons and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own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w:t>
      </w:r>
      <w:proofErr w:type="spellStart"/>
      <w:r w:rsidRPr="00634EC8">
        <w:rPr>
          <w:rFonts w:ascii="Times New Roman" w:hAnsi="Times New Roman" w:cs="Times New Roman"/>
          <w:sz w:val="20"/>
          <w:szCs w:val="20"/>
          <w:lang w:val="en-US"/>
        </w:rPr>
        <w:t>orbitals</w:t>
      </w:r>
      <w:proofErr w:type="spellEnd"/>
      <w:r w:rsidRPr="00634EC8">
        <w:rPr>
          <w:rFonts w:ascii="Times New Roman" w:hAnsi="Times New Roman" w:cs="Times New Roman"/>
          <w:sz w:val="20"/>
          <w:szCs w:val="20"/>
          <w:lang w:val="en-US"/>
        </w:rPr>
        <w:t xml:space="preserve"> (3.70 Å, 3.89 Å, and 3.86 Å), indicating a folded conformation that maximizes internal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 xml:space="preserve"> interactions. A separate alkyl contact between Val480 and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aliphatic moiety (distance ≈ 4.23 Å) supported the hydrophobic </w:t>
      </w:r>
      <w:proofErr w:type="spellStart"/>
      <w:r w:rsidRPr="00634EC8">
        <w:rPr>
          <w:rFonts w:ascii="Times New Roman" w:hAnsi="Times New Roman" w:cs="Times New Roman"/>
          <w:sz w:val="20"/>
          <w:szCs w:val="20"/>
          <w:lang w:val="en-US"/>
        </w:rPr>
        <w:t>nitrophenyl</w:t>
      </w:r>
      <w:proofErr w:type="spellEnd"/>
      <w:r w:rsidRPr="00634EC8">
        <w:rPr>
          <w:rFonts w:ascii="Times New Roman" w:hAnsi="Times New Roman" w:cs="Times New Roman"/>
          <w:sz w:val="20"/>
          <w:szCs w:val="20"/>
          <w:lang w:val="en-US"/>
        </w:rPr>
        <w:t xml:space="preserve"> group. Pro541 contributed with an alkyl–alkyl contact at 5.47 Å, while Met523 contacted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aromatic system at 5.39 Å via an alkyl interaction. Ile460 participated through a pi–alkyl contact (distance ≈ 4.67 Å), placing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aromatic ring above Ile460’s side chain. A second pi–alkyl contact between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and Pro541 at 5.21 Å reinforced </w:t>
      </w:r>
      <w:r w:rsidR="002B76C1">
        <w:rPr>
          <w:rFonts w:ascii="Times New Roman" w:hAnsi="Times New Roman" w:cs="Times New Roman"/>
          <w:sz w:val="20"/>
          <w:szCs w:val="20"/>
          <w:lang w:val="en-US"/>
        </w:rPr>
        <w:t>the hydrophobic packing (Figure</w:t>
      </w:r>
      <w:r w:rsidR="00D77FCE">
        <w:rPr>
          <w:rFonts w:ascii="Times New Roman" w:hAnsi="Times New Roman" w:cs="Times New Roman"/>
          <w:sz w:val="20"/>
          <w:szCs w:val="20"/>
          <w:lang w:val="en-US"/>
        </w:rPr>
        <w:t xml:space="preserve"> S2</w:t>
      </w:r>
      <w:r w:rsidRPr="00634EC8">
        <w:rPr>
          <w:rFonts w:ascii="Times New Roman" w:hAnsi="Times New Roman" w:cs="Times New Roman"/>
          <w:sz w:val="20"/>
          <w:szCs w:val="20"/>
          <w:lang w:val="en-US"/>
        </w:rPr>
        <w:t xml:space="preserve">). Thus,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’s affinity of –8.1 kcal/mol stems from three strong hydrogen bonds (Lys490, Tyr504, </w:t>
      </w:r>
      <w:proofErr w:type="gramStart"/>
      <w:r w:rsidRPr="00634EC8">
        <w:rPr>
          <w:rFonts w:ascii="Times New Roman" w:hAnsi="Times New Roman" w:cs="Times New Roman"/>
          <w:sz w:val="20"/>
          <w:szCs w:val="20"/>
          <w:lang w:val="en-US"/>
        </w:rPr>
        <w:t>Asp538</w:t>
      </w:r>
      <w:proofErr w:type="gramEnd"/>
      <w:r w:rsidRPr="00634EC8">
        <w:rPr>
          <w:rFonts w:ascii="Times New Roman" w:hAnsi="Times New Roman" w:cs="Times New Roman"/>
          <w:sz w:val="20"/>
          <w:szCs w:val="20"/>
          <w:lang w:val="en-US"/>
        </w:rPr>
        <w:t xml:space="preserve">) combined with extensive hydrophobic and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 xml:space="preserve"> interactions involving Val480, Pro541, Met523, and Ile460—explaining why its binding energy is roughly 2.2 kcal/mol more favorable than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w:t>
      </w:r>
    </w:p>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sz w:val="20"/>
          <w:szCs w:val="20"/>
          <w:lang w:val="en-US"/>
        </w:rPr>
        <w:t xml:space="preserve">Docking into </w:t>
      </w:r>
      <w:proofErr w:type="spellStart"/>
      <w:r w:rsidRPr="00634EC8">
        <w:rPr>
          <w:rFonts w:ascii="Times New Roman" w:hAnsi="Times New Roman" w:cs="Times New Roman"/>
          <w:sz w:val="20"/>
          <w:szCs w:val="20"/>
          <w:lang w:val="en-US"/>
        </w:rPr>
        <w:t>Pneumolysin</w:t>
      </w:r>
      <w:proofErr w:type="spellEnd"/>
      <w:r w:rsidRPr="00634EC8">
        <w:rPr>
          <w:rFonts w:ascii="Times New Roman" w:hAnsi="Times New Roman" w:cs="Times New Roman"/>
          <w:sz w:val="20"/>
          <w:szCs w:val="20"/>
          <w:lang w:val="en-US"/>
        </w:rPr>
        <w:t xml:space="preserve"> (Ply; PDB: 4QQA) revealed further distinctions. When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was docked into Ply, the top mode exhibited a binding energy </w:t>
      </w:r>
      <w:proofErr w:type="gramStart"/>
      <w:r w:rsidRPr="00634EC8">
        <w:rPr>
          <w:rFonts w:ascii="Times New Roman" w:hAnsi="Times New Roman" w:cs="Times New Roman"/>
          <w:sz w:val="20"/>
          <w:szCs w:val="20"/>
          <w:lang w:val="en-US"/>
        </w:rPr>
        <w:t>of –5.6 kcal/mol with zero RMSD relative to itself</w:t>
      </w:r>
      <w:proofErr w:type="gramEnd"/>
      <w:r w:rsidRPr="00634EC8">
        <w:rPr>
          <w:rFonts w:ascii="Times New Roman" w:hAnsi="Times New Roman" w:cs="Times New Roman"/>
          <w:sz w:val="20"/>
          <w:szCs w:val="20"/>
          <w:lang w:val="en-US"/>
        </w:rPr>
        <w:t xml:space="preserve">. The second pose scored –4.9 kcal/mol (RMSD ≈ 17.88 Å), clearly occupying a different region. A cluster of poses (modes 5, 8, 9) with affinities –4.7 to –4.6 kcal/mol and low RMSDs (≈ 1.73–1.82 Å) suggested that small adjustments in orientation occurred within the same pocket. In the best pose, two conventional hydrogen bonds stood out. One formed between the hydrogen of His156 and a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nitrogen at 2.63 Å, anchoring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to the central </w:t>
      </w:r>
      <w:r w:rsidRPr="00634EC8">
        <w:rPr>
          <w:rFonts w:ascii="Times New Roman" w:hAnsi="Times New Roman" w:cs="Times New Roman"/>
          <w:sz w:val="20"/>
          <w:szCs w:val="20"/>
        </w:rPr>
        <w:t>β</w:t>
      </w:r>
      <w:r w:rsidRPr="00634EC8">
        <w:rPr>
          <w:rFonts w:ascii="Times New Roman" w:hAnsi="Times New Roman" w:cs="Times New Roman"/>
          <w:sz w:val="20"/>
          <w:szCs w:val="20"/>
          <w:lang w:val="en-US"/>
        </w:rPr>
        <w:t xml:space="preserve">-strand region of domain 1. The second H-bond connected the hydrogen of Gln189 to the same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nitrogen at 2.53 Å, creating a snug fit between two polar residues and the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moiety. Surrounding hydrophobic contacts included a pi–sigma interaction between Thr154’s methyl and the </w:t>
      </w:r>
      <w:proofErr w:type="spellStart"/>
      <w:r w:rsidRPr="00634EC8">
        <w:rPr>
          <w:rFonts w:ascii="Times New Roman" w:hAnsi="Times New Roman" w:cs="Times New Roman"/>
          <w:sz w:val="20"/>
          <w:szCs w:val="20"/>
          <w:lang w:val="en-US"/>
        </w:rPr>
        <w:t>triazole</w:t>
      </w:r>
      <w:proofErr w:type="spellEnd"/>
      <w:r w:rsidRPr="00634EC8">
        <w:rPr>
          <w:rFonts w:ascii="Times New Roman" w:hAnsi="Times New Roman" w:cs="Times New Roman"/>
          <w:sz w:val="20"/>
          <w:szCs w:val="20"/>
          <w:lang w:val="en-US"/>
        </w:rPr>
        <w:t xml:space="preserve"> ring at 3.86 Å, indicating that Thr154 underlies the aromatic core. A 4.83 Å alkyl–alkyl contact with Val259 suggested that the aliphatic trunk of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protrudes into a hydrophobic groove. Further alkyl–alkyl interactions with Leu53 (4.65 Å) and Ile153 (5.43 Å) indicated that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w:t>
      </w:r>
      <w:proofErr w:type="spellStart"/>
      <w:r w:rsidRPr="00634EC8">
        <w:rPr>
          <w:rFonts w:ascii="Times New Roman" w:hAnsi="Times New Roman" w:cs="Times New Roman"/>
          <w:sz w:val="20"/>
          <w:szCs w:val="20"/>
          <w:lang w:val="en-US"/>
        </w:rPr>
        <w:t>hexyl</w:t>
      </w:r>
      <w:proofErr w:type="spellEnd"/>
      <w:r w:rsidRPr="00634EC8">
        <w:rPr>
          <w:rFonts w:ascii="Times New Roman" w:hAnsi="Times New Roman" w:cs="Times New Roman"/>
          <w:sz w:val="20"/>
          <w:szCs w:val="20"/>
          <w:lang w:val="en-US"/>
        </w:rPr>
        <w:t xml:space="preserve"> chain lies in proximity to a cluster of </w:t>
      </w:r>
      <w:proofErr w:type="spellStart"/>
      <w:r w:rsidRPr="00634EC8">
        <w:rPr>
          <w:rFonts w:ascii="Times New Roman" w:hAnsi="Times New Roman" w:cs="Times New Roman"/>
          <w:sz w:val="20"/>
          <w:szCs w:val="20"/>
          <w:lang w:val="en-US"/>
        </w:rPr>
        <w:t>nonpolar</w:t>
      </w:r>
      <w:proofErr w:type="spellEnd"/>
      <w:r w:rsidRPr="00634EC8">
        <w:rPr>
          <w:rFonts w:ascii="Times New Roman" w:hAnsi="Times New Roman" w:cs="Times New Roman"/>
          <w:sz w:val="20"/>
          <w:szCs w:val="20"/>
          <w:lang w:val="en-US"/>
        </w:rPr>
        <w:t xml:space="preserve"> residues. A pi–alkyl interaction between His156’s aromatic ring and the alkyl tail (4.46 Å) hinted </w:t>
      </w:r>
      <w:r w:rsidRPr="00634EC8">
        <w:rPr>
          <w:rFonts w:ascii="Times New Roman" w:hAnsi="Times New Roman" w:cs="Times New Roman"/>
          <w:sz w:val="20"/>
          <w:szCs w:val="20"/>
          <w:lang w:val="en-US"/>
        </w:rPr>
        <w:lastRenderedPageBreak/>
        <w:t xml:space="preserve">that His156 both polar-anchors and pi-interacts with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Finally, additional pi–alkyl contacts with Leu53 at 5.21 Å and 5.43 Å underscored how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shape conforms to the pocket near the F-loop region. These interactions suggest that compound </w:t>
      </w:r>
      <w:r w:rsidRPr="00DE5551">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occupies a hydrophobic latch near the </w:t>
      </w:r>
      <w:proofErr w:type="spellStart"/>
      <w:r w:rsidRPr="00634EC8">
        <w:rPr>
          <w:rFonts w:ascii="Times New Roman" w:hAnsi="Times New Roman" w:cs="Times New Roman"/>
          <w:sz w:val="20"/>
          <w:szCs w:val="20"/>
          <w:lang w:val="en-US"/>
        </w:rPr>
        <w:t>oligomerization</w:t>
      </w:r>
      <w:proofErr w:type="spellEnd"/>
      <w:r w:rsidRPr="00634EC8">
        <w:rPr>
          <w:rFonts w:ascii="Times New Roman" w:hAnsi="Times New Roman" w:cs="Times New Roman"/>
          <w:sz w:val="20"/>
          <w:szCs w:val="20"/>
          <w:lang w:val="en-US"/>
        </w:rPr>
        <w:t xml:space="preserve"> interface of Ply, with moderate affinity (–5.6 kcal/mol) driven by two H-bonds and a cluster of hydrophobic contacts that likely impede subunit–subunit assembly.</w:t>
      </w:r>
    </w:p>
    <w:p w:rsidR="009E3444" w:rsidRPr="00634EC8" w:rsidRDefault="009E3444" w:rsidP="009E3444">
      <w:pPr>
        <w:jc w:val="both"/>
        <w:rPr>
          <w:rFonts w:ascii="Times New Roman" w:hAnsi="Times New Roman" w:cs="Times New Roman"/>
          <w:sz w:val="20"/>
          <w:szCs w:val="20"/>
          <w:lang w:val="en-US"/>
        </w:rPr>
      </w:pPr>
      <w:r w:rsidRPr="00634EC8">
        <w:rPr>
          <w:rFonts w:ascii="Times New Roman" w:hAnsi="Times New Roman" w:cs="Times New Roman"/>
          <w:sz w:val="20"/>
          <w:szCs w:val="20"/>
          <w:lang w:val="en-US"/>
        </w:rPr>
        <w:t xml:space="preserve">By contrast,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docked into Ply achieved a best-scoring pose with affinity –6.8 kcal/mol (mode 1, RMSD = 0 Å). A second pose at –6.6 kcal/mol (RMSD ≈ 19.79 Å) again highlighted a distant, noncompetitive orientation, while modes 4–8 (affinities –6.4 to –6.3 kcal/mol, RMSDs ≈ 1.33–3.28 Å) formed a cluster near the principal binding locus. Three conventional H-bonds anchored compound 6: Lys255’s backbone amide hydrogen donated to a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carbonyl at 2.78 Å; Ser256’s backbone amide similarly bonded to the same carbonyl at 2.23 Å; and Asn470’s side-chain amide hydrogen donated to </w:t>
      </w:r>
      <w:proofErr w:type="gramStart"/>
      <w:r w:rsidRPr="00634EC8">
        <w:rPr>
          <w:rFonts w:ascii="Times New Roman" w:hAnsi="Times New Roman" w:cs="Times New Roman"/>
          <w:sz w:val="20"/>
          <w:szCs w:val="20"/>
          <w:lang w:val="en-US"/>
        </w:rPr>
        <w:t xml:space="preserve">a </w:t>
      </w:r>
      <w:proofErr w:type="spellStart"/>
      <w:r w:rsidRPr="00634EC8">
        <w:rPr>
          <w:rFonts w:ascii="Times New Roman" w:hAnsi="Times New Roman" w:cs="Times New Roman"/>
          <w:sz w:val="20"/>
          <w:szCs w:val="20"/>
          <w:lang w:val="en-US"/>
        </w:rPr>
        <w:t>triazole</w:t>
      </w:r>
      <w:proofErr w:type="spellEnd"/>
      <w:proofErr w:type="gramEnd"/>
      <w:r w:rsidRPr="00634EC8">
        <w:rPr>
          <w:rFonts w:ascii="Times New Roman" w:hAnsi="Times New Roman" w:cs="Times New Roman"/>
          <w:sz w:val="20"/>
          <w:szCs w:val="20"/>
          <w:lang w:val="en-US"/>
        </w:rPr>
        <w:t xml:space="preserve"> nitrogen at 2.86 Å, collectively locking the </w:t>
      </w:r>
      <w:proofErr w:type="spellStart"/>
      <w:r w:rsidRPr="00634EC8">
        <w:rPr>
          <w:rFonts w:ascii="Times New Roman" w:hAnsi="Times New Roman" w:cs="Times New Roman"/>
          <w:sz w:val="20"/>
          <w:szCs w:val="20"/>
          <w:lang w:val="en-US"/>
        </w:rPr>
        <w:t>triazole–nitrophenyl</w:t>
      </w:r>
      <w:proofErr w:type="spellEnd"/>
      <w:r w:rsidRPr="00634EC8">
        <w:rPr>
          <w:rFonts w:ascii="Times New Roman" w:hAnsi="Times New Roman" w:cs="Times New Roman"/>
          <w:sz w:val="20"/>
          <w:szCs w:val="20"/>
          <w:lang w:val="en-US"/>
        </w:rPr>
        <w:t xml:space="preserve"> </w:t>
      </w:r>
      <w:proofErr w:type="spellStart"/>
      <w:r w:rsidRPr="00634EC8">
        <w:rPr>
          <w:rFonts w:ascii="Times New Roman" w:hAnsi="Times New Roman" w:cs="Times New Roman"/>
          <w:sz w:val="20"/>
          <w:szCs w:val="20"/>
          <w:lang w:val="en-US"/>
        </w:rPr>
        <w:t>bicyclic</w:t>
      </w:r>
      <w:proofErr w:type="spellEnd"/>
      <w:r w:rsidRPr="00634EC8">
        <w:rPr>
          <w:rFonts w:ascii="Times New Roman" w:hAnsi="Times New Roman" w:cs="Times New Roman"/>
          <w:sz w:val="20"/>
          <w:szCs w:val="20"/>
          <w:lang w:val="en-US"/>
        </w:rPr>
        <w:t xml:space="preserve"> core into a crevice near the membrane-binding domain. A pi–</w:t>
      </w:r>
      <w:proofErr w:type="spellStart"/>
      <w:r w:rsidRPr="00634EC8">
        <w:rPr>
          <w:rFonts w:ascii="Times New Roman" w:hAnsi="Times New Roman" w:cs="Times New Roman"/>
          <w:sz w:val="20"/>
          <w:szCs w:val="20"/>
          <w:lang w:val="en-US"/>
        </w:rPr>
        <w:t>cation</w:t>
      </w:r>
      <w:proofErr w:type="spellEnd"/>
      <w:r w:rsidRPr="00634EC8">
        <w:rPr>
          <w:rFonts w:ascii="Times New Roman" w:hAnsi="Times New Roman" w:cs="Times New Roman"/>
          <w:sz w:val="20"/>
          <w:szCs w:val="20"/>
          <w:lang w:val="en-US"/>
        </w:rPr>
        <w:t xml:space="preserve"> interaction between Arg359’s </w:t>
      </w:r>
      <w:proofErr w:type="spellStart"/>
      <w:r w:rsidRPr="00634EC8">
        <w:rPr>
          <w:rFonts w:ascii="Times New Roman" w:hAnsi="Times New Roman" w:cs="Times New Roman"/>
          <w:sz w:val="20"/>
          <w:szCs w:val="20"/>
          <w:lang w:val="en-US"/>
        </w:rPr>
        <w:t>guanidinium</w:t>
      </w:r>
      <w:proofErr w:type="spellEnd"/>
      <w:r w:rsidRPr="00634EC8">
        <w:rPr>
          <w:rFonts w:ascii="Times New Roman" w:hAnsi="Times New Roman" w:cs="Times New Roman"/>
          <w:sz w:val="20"/>
          <w:szCs w:val="20"/>
          <w:lang w:val="en-US"/>
        </w:rPr>
        <w:t xml:space="preserve"> NH₂ and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aromatic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 xml:space="preserve">-system at 3.41 Å further intensified polar contribution. Weaker hydrogen bonding included a carbon–hydrogen bond from Ser256 to the carbonyl oxygen (3.55 Å). </w:t>
      </w:r>
      <w:proofErr w:type="spellStart"/>
      <w:r w:rsidRPr="00634EC8">
        <w:rPr>
          <w:rFonts w:ascii="Times New Roman" w:hAnsi="Times New Roman" w:cs="Times New Roman"/>
          <w:sz w:val="20"/>
          <w:szCs w:val="20"/>
          <w:lang w:val="en-US"/>
        </w:rPr>
        <w:t>Intramolecular</w:t>
      </w:r>
      <w:proofErr w:type="spellEnd"/>
      <w:r w:rsidRPr="00634EC8">
        <w:rPr>
          <w:rFonts w:ascii="Times New Roman" w:hAnsi="Times New Roman" w:cs="Times New Roman"/>
          <w:sz w:val="20"/>
          <w:szCs w:val="20"/>
          <w:lang w:val="en-US"/>
        </w:rPr>
        <w:t xml:space="preserve"> stacking in the </w:t>
      </w:r>
      <w:proofErr w:type="spellStart"/>
      <w:r w:rsidRPr="00634EC8">
        <w:rPr>
          <w:rFonts w:ascii="Times New Roman" w:hAnsi="Times New Roman" w:cs="Times New Roman"/>
          <w:sz w:val="20"/>
          <w:szCs w:val="20"/>
          <w:lang w:val="en-US"/>
        </w:rPr>
        <w:t>ligand</w:t>
      </w:r>
      <w:proofErr w:type="spellEnd"/>
      <w:r w:rsidRPr="00634EC8">
        <w:rPr>
          <w:rFonts w:ascii="Times New Roman" w:hAnsi="Times New Roman" w:cs="Times New Roman"/>
          <w:sz w:val="20"/>
          <w:szCs w:val="20"/>
          <w:lang w:val="en-US"/>
        </w:rPr>
        <w:t xml:space="preserve"> was again observed via pi–sigma (3.69 Å) and pi–pi T-shaped (4.85 Å) contacts within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suggesting that it adopts a folded conformation maximizing </w:t>
      </w:r>
      <w:r w:rsidRPr="00634EC8">
        <w:rPr>
          <w:rFonts w:ascii="Times New Roman" w:hAnsi="Times New Roman" w:cs="Times New Roman"/>
          <w:sz w:val="20"/>
          <w:szCs w:val="20"/>
        </w:rPr>
        <w:t>π</w:t>
      </w:r>
      <w:r w:rsidRPr="00634EC8">
        <w:rPr>
          <w:rFonts w:ascii="Times New Roman" w:hAnsi="Times New Roman" w:cs="Times New Roman"/>
          <w:sz w:val="20"/>
          <w:szCs w:val="20"/>
          <w:lang w:val="en-US"/>
        </w:rPr>
        <w:t xml:space="preserve"> overlap. Hydrophobic (alkyl) contacts extended to Arg359 (5.39 Å), Leu447 (5.36 Å and 4.30 Å), Ile447’s side chain, and Tyr358 via a pi–alkyl interaction at 4.80 Å. Arg359 also contributed two additional pi–alkyl contacts at 3.96 Å and 5.26 Å, effectively wrapping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w:t>
      </w:r>
      <w:proofErr w:type="spellStart"/>
      <w:r w:rsidRPr="00634EC8">
        <w:rPr>
          <w:rFonts w:ascii="Times New Roman" w:hAnsi="Times New Roman" w:cs="Times New Roman"/>
          <w:sz w:val="20"/>
          <w:szCs w:val="20"/>
          <w:lang w:val="en-US"/>
        </w:rPr>
        <w:t>bicyclic</w:t>
      </w:r>
      <w:proofErr w:type="spellEnd"/>
      <w:r w:rsidRPr="00634EC8">
        <w:rPr>
          <w:rFonts w:ascii="Times New Roman" w:hAnsi="Times New Roman" w:cs="Times New Roman"/>
          <w:sz w:val="20"/>
          <w:szCs w:val="20"/>
          <w:lang w:val="en-US"/>
        </w:rPr>
        <w:t xml:space="preserve"> core. Collectively, these interactions explain why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binds Ply more strongly (–6.8 kcal/mol) than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The three robust hydrogen bonds, one pi–</w:t>
      </w:r>
      <w:proofErr w:type="spellStart"/>
      <w:r w:rsidRPr="00634EC8">
        <w:rPr>
          <w:rFonts w:ascii="Times New Roman" w:hAnsi="Times New Roman" w:cs="Times New Roman"/>
          <w:sz w:val="20"/>
          <w:szCs w:val="20"/>
          <w:lang w:val="en-US"/>
        </w:rPr>
        <w:t>cation</w:t>
      </w:r>
      <w:proofErr w:type="spellEnd"/>
      <w:r w:rsidRPr="00634EC8">
        <w:rPr>
          <w:rFonts w:ascii="Times New Roman" w:hAnsi="Times New Roman" w:cs="Times New Roman"/>
          <w:sz w:val="20"/>
          <w:szCs w:val="20"/>
          <w:lang w:val="en-US"/>
        </w:rPr>
        <w:t xml:space="preserve"> interaction, and extensive hydrophobic envelope around the </w:t>
      </w:r>
      <w:proofErr w:type="spellStart"/>
      <w:r w:rsidRPr="00634EC8">
        <w:rPr>
          <w:rFonts w:ascii="Times New Roman" w:hAnsi="Times New Roman" w:cs="Times New Roman"/>
          <w:sz w:val="20"/>
          <w:szCs w:val="20"/>
          <w:lang w:val="en-US"/>
        </w:rPr>
        <w:t>nitrophenyl</w:t>
      </w:r>
      <w:proofErr w:type="spellEnd"/>
      <w:r w:rsidRPr="00634EC8">
        <w:rPr>
          <w:rFonts w:ascii="Times New Roman" w:hAnsi="Times New Roman" w:cs="Times New Roman"/>
          <w:sz w:val="20"/>
          <w:szCs w:val="20"/>
          <w:lang w:val="en-US"/>
        </w:rPr>
        <w:t xml:space="preserve"> ring all work in concert to impede Ply’s ability to </w:t>
      </w:r>
      <w:proofErr w:type="spellStart"/>
      <w:r w:rsidRPr="00634EC8">
        <w:rPr>
          <w:rFonts w:ascii="Times New Roman" w:hAnsi="Times New Roman" w:cs="Times New Roman"/>
          <w:sz w:val="20"/>
          <w:szCs w:val="20"/>
          <w:lang w:val="en-US"/>
        </w:rPr>
        <w:t>oligomerize</w:t>
      </w:r>
      <w:proofErr w:type="spellEnd"/>
      <w:r w:rsidRPr="00634EC8">
        <w:rPr>
          <w:rFonts w:ascii="Times New Roman" w:hAnsi="Times New Roman" w:cs="Times New Roman"/>
          <w:sz w:val="20"/>
          <w:szCs w:val="20"/>
          <w:lang w:val="en-US"/>
        </w:rPr>
        <w:t xml:space="preserve"> and form membrane pores.</w:t>
      </w:r>
    </w:p>
    <w:p w:rsidR="009E3444" w:rsidRDefault="009E3444" w:rsidP="009E3444">
      <w:pPr>
        <w:jc w:val="both"/>
        <w:rPr>
          <w:rFonts w:ascii="Times New Roman" w:hAnsi="Times New Roman" w:cs="Times New Roman"/>
          <w:sz w:val="20"/>
          <w:szCs w:val="20"/>
          <w:lang w:val="en-US"/>
        </w:rPr>
      </w:pPr>
      <w:r w:rsidRPr="00634EC8">
        <w:rPr>
          <w:rFonts w:ascii="Times New Roman" w:hAnsi="Times New Roman" w:cs="Times New Roman"/>
          <w:sz w:val="20"/>
          <w:szCs w:val="20"/>
          <w:lang w:val="en-US"/>
        </w:rPr>
        <w:t xml:space="preserve">Comparatively,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outperforms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across both targets. In </w:t>
      </w:r>
      <w:proofErr w:type="spellStart"/>
      <w:r w:rsidRPr="00634EC8">
        <w:rPr>
          <w:rFonts w:ascii="Times New Roman" w:hAnsi="Times New Roman" w:cs="Times New Roman"/>
          <w:sz w:val="20"/>
          <w:szCs w:val="20"/>
          <w:lang w:val="en-US"/>
        </w:rPr>
        <w:t>NanA</w:t>
      </w:r>
      <w:proofErr w:type="spellEnd"/>
      <w:r w:rsidRPr="00634EC8">
        <w:rPr>
          <w:rFonts w:ascii="Times New Roman" w:hAnsi="Times New Roman" w:cs="Times New Roman"/>
          <w:sz w:val="20"/>
          <w:szCs w:val="20"/>
          <w:lang w:val="en-US"/>
        </w:rPr>
        <w:t xml:space="preserve">,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’s –8.1 kcal/mol affinity is about 2.2 kcal/mol better than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’s –5.9 kcal/mol affinity—a difference attributable to an extra H-bond from Tyr504 to the </w:t>
      </w:r>
      <w:proofErr w:type="spellStart"/>
      <w:r w:rsidRPr="00634EC8">
        <w:rPr>
          <w:rFonts w:ascii="Times New Roman" w:hAnsi="Times New Roman" w:cs="Times New Roman"/>
          <w:sz w:val="20"/>
          <w:szCs w:val="20"/>
          <w:lang w:val="en-US"/>
        </w:rPr>
        <w:t>ligand’s</w:t>
      </w:r>
      <w:proofErr w:type="spellEnd"/>
      <w:r w:rsidRPr="00634EC8">
        <w:rPr>
          <w:rFonts w:ascii="Times New Roman" w:hAnsi="Times New Roman" w:cs="Times New Roman"/>
          <w:sz w:val="20"/>
          <w:szCs w:val="20"/>
          <w:lang w:val="en-US"/>
        </w:rPr>
        <w:t xml:space="preserve"> carbonyl and strengthened hydrophobic packing around the </w:t>
      </w:r>
      <w:proofErr w:type="spellStart"/>
      <w:r w:rsidRPr="00634EC8">
        <w:rPr>
          <w:rFonts w:ascii="Times New Roman" w:hAnsi="Times New Roman" w:cs="Times New Roman"/>
          <w:sz w:val="20"/>
          <w:szCs w:val="20"/>
          <w:lang w:val="en-US"/>
        </w:rPr>
        <w:t>nitrophenyl</w:t>
      </w:r>
      <w:proofErr w:type="spellEnd"/>
      <w:r w:rsidRPr="00634EC8">
        <w:rPr>
          <w:rFonts w:ascii="Times New Roman" w:hAnsi="Times New Roman" w:cs="Times New Roman"/>
          <w:sz w:val="20"/>
          <w:szCs w:val="20"/>
          <w:lang w:val="en-US"/>
        </w:rPr>
        <w:t xml:space="preserve"> core. In </w:t>
      </w:r>
      <w:proofErr w:type="spellStart"/>
      <w:r w:rsidRPr="00634EC8">
        <w:rPr>
          <w:rFonts w:ascii="Times New Roman" w:hAnsi="Times New Roman" w:cs="Times New Roman"/>
          <w:sz w:val="20"/>
          <w:szCs w:val="20"/>
          <w:lang w:val="en-US"/>
        </w:rPr>
        <w:t>Pneumolysin</w:t>
      </w:r>
      <w:proofErr w:type="spellEnd"/>
      <w:r w:rsidRPr="00634EC8">
        <w:rPr>
          <w:rFonts w:ascii="Times New Roman" w:hAnsi="Times New Roman" w:cs="Times New Roman"/>
          <w:sz w:val="20"/>
          <w:szCs w:val="20"/>
          <w:lang w:val="en-US"/>
        </w:rPr>
        <w:t xml:space="preserve">,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’s –6.8 kcal/mol is 1.2 kcal/mol better than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’s –5.6 kcal/mol, thanks to an additional conventional H-bond from Ser256 and a pi–</w:t>
      </w:r>
      <w:proofErr w:type="spellStart"/>
      <w:r w:rsidRPr="00634EC8">
        <w:rPr>
          <w:rFonts w:ascii="Times New Roman" w:hAnsi="Times New Roman" w:cs="Times New Roman"/>
          <w:sz w:val="20"/>
          <w:szCs w:val="20"/>
          <w:lang w:val="en-US"/>
        </w:rPr>
        <w:t>cation</w:t>
      </w:r>
      <w:proofErr w:type="spellEnd"/>
      <w:r w:rsidRPr="00634EC8">
        <w:rPr>
          <w:rFonts w:ascii="Times New Roman" w:hAnsi="Times New Roman" w:cs="Times New Roman"/>
          <w:sz w:val="20"/>
          <w:szCs w:val="20"/>
          <w:lang w:val="en-US"/>
        </w:rPr>
        <w:t xml:space="preserve"> interaction with Arg359 that reinforce binding at a key interface. In each case,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leverages its </w:t>
      </w:r>
      <w:proofErr w:type="spellStart"/>
      <w:r w:rsidRPr="00634EC8">
        <w:rPr>
          <w:rFonts w:ascii="Times New Roman" w:hAnsi="Times New Roman" w:cs="Times New Roman"/>
          <w:sz w:val="20"/>
          <w:szCs w:val="20"/>
          <w:lang w:val="en-US"/>
        </w:rPr>
        <w:t>para-nitrophenyl</w:t>
      </w:r>
      <w:proofErr w:type="spellEnd"/>
      <w:r w:rsidRPr="00634EC8">
        <w:rPr>
          <w:rFonts w:ascii="Times New Roman" w:hAnsi="Times New Roman" w:cs="Times New Roman"/>
          <w:sz w:val="20"/>
          <w:szCs w:val="20"/>
          <w:lang w:val="en-US"/>
        </w:rPr>
        <w:t xml:space="preserve"> substituent to form stronger polar interactions without sacrificing hydrophobic engagement, while compound </w:t>
      </w:r>
      <w:r w:rsidRPr="00634EC8">
        <w:rPr>
          <w:rFonts w:ascii="Times New Roman" w:hAnsi="Times New Roman" w:cs="Times New Roman"/>
          <w:b/>
          <w:bCs/>
          <w:sz w:val="20"/>
          <w:szCs w:val="20"/>
          <w:lang w:val="en-US"/>
        </w:rPr>
        <w:t>2</w:t>
      </w:r>
      <w:r w:rsidRPr="00634EC8">
        <w:rPr>
          <w:rFonts w:ascii="Times New Roman" w:hAnsi="Times New Roman" w:cs="Times New Roman"/>
          <w:sz w:val="20"/>
          <w:szCs w:val="20"/>
          <w:lang w:val="en-US"/>
        </w:rPr>
        <w:t xml:space="preserve"> relies more heavily on its </w:t>
      </w:r>
      <w:proofErr w:type="spellStart"/>
      <w:r w:rsidRPr="00634EC8">
        <w:rPr>
          <w:rFonts w:ascii="Times New Roman" w:hAnsi="Times New Roman" w:cs="Times New Roman"/>
          <w:sz w:val="20"/>
          <w:szCs w:val="20"/>
          <w:lang w:val="en-US"/>
        </w:rPr>
        <w:t>hexyl</w:t>
      </w:r>
      <w:proofErr w:type="spellEnd"/>
      <w:r w:rsidRPr="00634EC8">
        <w:rPr>
          <w:rFonts w:ascii="Times New Roman" w:hAnsi="Times New Roman" w:cs="Times New Roman"/>
          <w:sz w:val="20"/>
          <w:szCs w:val="20"/>
          <w:lang w:val="en-US"/>
        </w:rPr>
        <w:t xml:space="preserve"> chain for an extended but less polar fit. These docking results suggest that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 is the superior </w:t>
      </w:r>
      <w:proofErr w:type="spellStart"/>
      <w:r w:rsidRPr="00634EC8">
        <w:rPr>
          <w:rFonts w:ascii="Times New Roman" w:hAnsi="Times New Roman" w:cs="Times New Roman"/>
          <w:sz w:val="20"/>
          <w:szCs w:val="20"/>
          <w:lang w:val="en-US"/>
        </w:rPr>
        <w:t>bis-triazole</w:t>
      </w:r>
      <w:proofErr w:type="spellEnd"/>
      <w:r w:rsidRPr="00634EC8">
        <w:rPr>
          <w:rFonts w:ascii="Times New Roman" w:hAnsi="Times New Roman" w:cs="Times New Roman"/>
          <w:sz w:val="20"/>
          <w:szCs w:val="20"/>
          <w:lang w:val="en-US"/>
        </w:rPr>
        <w:t xml:space="preserve"> derivative for dual inhibition of Neuraminidase A and </w:t>
      </w:r>
      <w:proofErr w:type="spellStart"/>
      <w:r w:rsidRPr="00634EC8">
        <w:rPr>
          <w:rFonts w:ascii="Times New Roman" w:hAnsi="Times New Roman" w:cs="Times New Roman"/>
          <w:sz w:val="20"/>
          <w:szCs w:val="20"/>
          <w:lang w:val="en-US"/>
        </w:rPr>
        <w:t>Pneumolysin</w:t>
      </w:r>
      <w:proofErr w:type="spellEnd"/>
      <w:r w:rsidRPr="00634EC8">
        <w:rPr>
          <w:rFonts w:ascii="Times New Roman" w:hAnsi="Times New Roman" w:cs="Times New Roman"/>
          <w:sz w:val="20"/>
          <w:szCs w:val="20"/>
          <w:lang w:val="en-US"/>
        </w:rPr>
        <w:t xml:space="preserve"> in </w:t>
      </w:r>
      <w:r w:rsidRPr="003B5946">
        <w:rPr>
          <w:rFonts w:ascii="Times New Roman" w:hAnsi="Times New Roman" w:cs="Times New Roman"/>
          <w:i/>
          <w:iCs/>
          <w:sz w:val="20"/>
          <w:szCs w:val="20"/>
          <w:lang w:val="en-US"/>
        </w:rPr>
        <w:t xml:space="preserve">Streptococcus </w:t>
      </w:r>
      <w:proofErr w:type="spellStart"/>
      <w:r w:rsidRPr="003B5946">
        <w:rPr>
          <w:rFonts w:ascii="Times New Roman" w:hAnsi="Times New Roman" w:cs="Times New Roman"/>
          <w:i/>
          <w:iCs/>
          <w:sz w:val="20"/>
          <w:szCs w:val="20"/>
          <w:lang w:val="en-US"/>
        </w:rPr>
        <w:t>pneumoniae</w:t>
      </w:r>
      <w:proofErr w:type="spellEnd"/>
      <w:r w:rsidRPr="00634EC8">
        <w:rPr>
          <w:rFonts w:ascii="Times New Roman" w:hAnsi="Times New Roman" w:cs="Times New Roman"/>
          <w:sz w:val="20"/>
          <w:szCs w:val="20"/>
          <w:lang w:val="en-US"/>
        </w:rPr>
        <w:t xml:space="preserve">, as it clearly engages more catalytic and </w:t>
      </w:r>
      <w:proofErr w:type="spellStart"/>
      <w:r w:rsidRPr="00634EC8">
        <w:rPr>
          <w:rFonts w:ascii="Times New Roman" w:hAnsi="Times New Roman" w:cs="Times New Roman"/>
          <w:sz w:val="20"/>
          <w:szCs w:val="20"/>
          <w:lang w:val="en-US"/>
        </w:rPr>
        <w:t>oligomerization</w:t>
      </w:r>
      <w:proofErr w:type="spellEnd"/>
      <w:r w:rsidRPr="00634EC8">
        <w:rPr>
          <w:rFonts w:ascii="Times New Roman" w:hAnsi="Times New Roman" w:cs="Times New Roman"/>
          <w:sz w:val="20"/>
          <w:szCs w:val="20"/>
          <w:lang w:val="en-US"/>
        </w:rPr>
        <w:t xml:space="preserve">-critical residues with higher affinities. Development efforts should therefore focus on further optimizing compound </w:t>
      </w:r>
      <w:r w:rsidRPr="00634EC8">
        <w:rPr>
          <w:rFonts w:ascii="Times New Roman" w:hAnsi="Times New Roman" w:cs="Times New Roman"/>
          <w:b/>
          <w:bCs/>
          <w:sz w:val="20"/>
          <w:szCs w:val="20"/>
          <w:lang w:val="en-US"/>
        </w:rPr>
        <w:t>6</w:t>
      </w:r>
      <w:r w:rsidRPr="00634EC8">
        <w:rPr>
          <w:rFonts w:ascii="Times New Roman" w:hAnsi="Times New Roman" w:cs="Times New Roman"/>
          <w:sz w:val="20"/>
          <w:szCs w:val="20"/>
          <w:lang w:val="en-US"/>
        </w:rPr>
        <w:t xml:space="preserve">’s physicochemical properties, while </w:t>
      </w:r>
      <w:r w:rsidRPr="00634EC8">
        <w:rPr>
          <w:rFonts w:ascii="Times New Roman" w:hAnsi="Times New Roman" w:cs="Times New Roman"/>
          <w:i/>
          <w:iCs/>
          <w:sz w:val="20"/>
          <w:szCs w:val="20"/>
          <w:lang w:val="en-US"/>
        </w:rPr>
        <w:t>in vitro</w:t>
      </w:r>
      <w:r w:rsidRPr="00634EC8">
        <w:rPr>
          <w:rFonts w:ascii="Times New Roman" w:hAnsi="Times New Roman" w:cs="Times New Roman"/>
          <w:sz w:val="20"/>
          <w:szCs w:val="20"/>
          <w:lang w:val="en-US"/>
        </w:rPr>
        <w:t xml:space="preserve"> and </w:t>
      </w:r>
      <w:r w:rsidRPr="00634EC8">
        <w:rPr>
          <w:rFonts w:ascii="Times New Roman" w:hAnsi="Times New Roman" w:cs="Times New Roman"/>
          <w:i/>
          <w:iCs/>
          <w:sz w:val="20"/>
          <w:szCs w:val="20"/>
          <w:lang w:val="en-US"/>
        </w:rPr>
        <w:t>in vivo</w:t>
      </w:r>
      <w:r w:rsidRPr="00634EC8">
        <w:rPr>
          <w:rFonts w:ascii="Times New Roman" w:hAnsi="Times New Roman" w:cs="Times New Roman"/>
          <w:sz w:val="20"/>
          <w:szCs w:val="20"/>
          <w:lang w:val="en-US"/>
        </w:rPr>
        <w:t xml:space="preserve"> studies can validate its capacity to attenuate both enzymatic virulence and pore-forming </w:t>
      </w:r>
      <w:proofErr w:type="spellStart"/>
      <w:r w:rsidRPr="00634EC8">
        <w:rPr>
          <w:rFonts w:ascii="Times New Roman" w:hAnsi="Times New Roman" w:cs="Times New Roman"/>
          <w:sz w:val="20"/>
          <w:szCs w:val="20"/>
          <w:lang w:val="en-US"/>
        </w:rPr>
        <w:t>cytotoxicity</w:t>
      </w:r>
      <w:proofErr w:type="spellEnd"/>
      <w:r w:rsidRPr="00634EC8">
        <w:rPr>
          <w:rFonts w:ascii="Times New Roman" w:hAnsi="Times New Roman" w:cs="Times New Roman"/>
          <w:sz w:val="20"/>
          <w:szCs w:val="20"/>
          <w:lang w:val="en-US"/>
        </w:rPr>
        <w:t>.</w:t>
      </w:r>
    </w:p>
    <w:p w:rsidR="008161FC" w:rsidRDefault="008161FC" w:rsidP="008161FC">
      <w:pPr>
        <w:jc w:val="center"/>
        <w:rPr>
          <w:rFonts w:ascii="Times New Roman" w:hAnsi="Times New Roman" w:cs="Times New Roman"/>
          <w:sz w:val="20"/>
          <w:szCs w:val="20"/>
          <w:lang w:val="en-US"/>
        </w:rPr>
      </w:pPr>
      <w:r w:rsidRPr="008161FC">
        <w:rPr>
          <w:rFonts w:ascii="Times New Roman" w:hAnsi="Times New Roman" w:cs="Times New Roman"/>
          <w:b/>
          <w:bCs/>
          <w:sz w:val="20"/>
          <w:szCs w:val="20"/>
          <w:lang w:val="en-US"/>
        </w:rPr>
        <w:t>ADMET</w:t>
      </w:r>
      <w:r>
        <w:rPr>
          <w:rFonts w:ascii="Times New Roman" w:hAnsi="Times New Roman" w:cs="Times New Roman"/>
          <w:b/>
          <w:bCs/>
          <w:sz w:val="20"/>
          <w:szCs w:val="20"/>
          <w:lang w:val="en-US"/>
        </w:rPr>
        <w:t xml:space="preserve"> results</w:t>
      </w:r>
    </w:p>
    <w:p w:rsidR="004A6876" w:rsidRPr="008161FC" w:rsidRDefault="008161FC" w:rsidP="009E3444">
      <w:pPr>
        <w:jc w:val="both"/>
        <w:rPr>
          <w:rFonts w:ascii="Times New Roman" w:hAnsi="Times New Roman" w:cs="Times New Roman"/>
          <w:sz w:val="20"/>
          <w:szCs w:val="20"/>
          <w:lang w:val="en-US"/>
        </w:rPr>
      </w:pPr>
      <w:r w:rsidRPr="008161FC">
        <w:rPr>
          <w:rFonts w:ascii="Times New Roman" w:hAnsi="Times New Roman" w:cs="Times New Roman"/>
          <w:sz w:val="20"/>
          <w:szCs w:val="20"/>
          <w:lang w:val="en-US"/>
        </w:rPr>
        <w:t xml:space="preserve">This section provides the comprehensive raw data from the </w:t>
      </w:r>
      <w:r w:rsidRPr="008161FC">
        <w:rPr>
          <w:rFonts w:ascii="Times New Roman" w:hAnsi="Times New Roman" w:cs="Times New Roman"/>
          <w:i/>
          <w:iCs/>
          <w:sz w:val="20"/>
          <w:szCs w:val="20"/>
          <w:lang w:val="en-US"/>
        </w:rPr>
        <w:t xml:space="preserve">in </w:t>
      </w:r>
      <w:proofErr w:type="spellStart"/>
      <w:r w:rsidRPr="008161FC">
        <w:rPr>
          <w:rFonts w:ascii="Times New Roman" w:hAnsi="Times New Roman" w:cs="Times New Roman"/>
          <w:i/>
          <w:iCs/>
          <w:sz w:val="20"/>
          <w:szCs w:val="20"/>
          <w:lang w:val="en-US"/>
        </w:rPr>
        <w:t>silico</w:t>
      </w:r>
      <w:proofErr w:type="spellEnd"/>
      <w:r w:rsidRPr="008161FC">
        <w:rPr>
          <w:rFonts w:ascii="Times New Roman" w:hAnsi="Times New Roman" w:cs="Times New Roman"/>
          <w:sz w:val="20"/>
          <w:szCs w:val="20"/>
          <w:lang w:val="en-US"/>
        </w:rPr>
        <w:t xml:space="preserve"> Absorption, Distribution, Metabolism, Excretion, and Toxicity (</w:t>
      </w:r>
      <w:r w:rsidRPr="008161FC">
        <w:rPr>
          <w:rFonts w:ascii="Times New Roman" w:hAnsi="Times New Roman" w:cs="Times New Roman"/>
          <w:b/>
          <w:bCs/>
          <w:sz w:val="20"/>
          <w:szCs w:val="20"/>
          <w:lang w:val="en-US"/>
        </w:rPr>
        <w:t>ADMET</w:t>
      </w:r>
      <w:r w:rsidRPr="008161FC">
        <w:rPr>
          <w:rFonts w:ascii="Times New Roman" w:hAnsi="Times New Roman" w:cs="Times New Roman"/>
          <w:sz w:val="20"/>
          <w:szCs w:val="20"/>
          <w:lang w:val="en-US"/>
        </w:rPr>
        <w:t xml:space="preserve">) analysis and </w:t>
      </w:r>
      <w:r w:rsidRPr="008161FC">
        <w:rPr>
          <w:rFonts w:ascii="Times New Roman" w:hAnsi="Times New Roman" w:cs="Times New Roman"/>
          <w:b/>
          <w:bCs/>
          <w:sz w:val="20"/>
          <w:szCs w:val="20"/>
          <w:lang w:val="en-US"/>
        </w:rPr>
        <w:t>physicochemical property</w:t>
      </w:r>
      <w:r w:rsidRPr="008161FC">
        <w:rPr>
          <w:rFonts w:ascii="Times New Roman" w:hAnsi="Times New Roman" w:cs="Times New Roman"/>
          <w:sz w:val="20"/>
          <w:szCs w:val="20"/>
          <w:lang w:val="en-US"/>
        </w:rPr>
        <w:t xml:space="preserve"> predictions for all synthesized bis-1</w:t>
      </w:r>
      <w:proofErr w:type="gramStart"/>
      <w:r w:rsidRPr="008161FC">
        <w:rPr>
          <w:rFonts w:ascii="Times New Roman" w:hAnsi="Times New Roman" w:cs="Times New Roman"/>
          <w:sz w:val="20"/>
          <w:szCs w:val="20"/>
          <w:lang w:val="en-US"/>
        </w:rPr>
        <w:t>,2,4</w:t>
      </w:r>
      <w:proofErr w:type="gramEnd"/>
      <w:r w:rsidRPr="008161FC">
        <w:rPr>
          <w:rFonts w:ascii="Times New Roman" w:hAnsi="Times New Roman" w:cs="Times New Roman"/>
          <w:sz w:val="20"/>
          <w:szCs w:val="20"/>
          <w:lang w:val="en-US"/>
        </w:rPr>
        <w:t>-triazole derivatives (</w:t>
      </w:r>
      <w:r w:rsidRPr="008161FC">
        <w:rPr>
          <w:rFonts w:ascii="Times New Roman" w:hAnsi="Times New Roman" w:cs="Times New Roman"/>
          <w:b/>
          <w:bCs/>
          <w:sz w:val="20"/>
          <w:szCs w:val="20"/>
          <w:lang w:val="en-US"/>
        </w:rPr>
        <w:t>1–6</w:t>
      </w:r>
      <w:r w:rsidRPr="008161FC">
        <w:rPr>
          <w:rFonts w:ascii="Times New Roman" w:hAnsi="Times New Roman" w:cs="Times New Roman"/>
          <w:sz w:val="20"/>
          <w:szCs w:val="20"/>
          <w:lang w:val="en-US"/>
        </w:rPr>
        <w:t xml:space="preserve">). All data were generated using the publicly available </w:t>
      </w:r>
      <w:proofErr w:type="spellStart"/>
      <w:r w:rsidRPr="008161FC">
        <w:rPr>
          <w:rFonts w:ascii="Times New Roman" w:hAnsi="Times New Roman" w:cs="Times New Roman"/>
          <w:b/>
          <w:bCs/>
          <w:sz w:val="20"/>
          <w:szCs w:val="20"/>
          <w:lang w:val="en-US"/>
        </w:rPr>
        <w:t>SwissADME</w:t>
      </w:r>
      <w:proofErr w:type="spellEnd"/>
      <w:r w:rsidRPr="008161FC">
        <w:rPr>
          <w:rFonts w:ascii="Times New Roman" w:hAnsi="Times New Roman" w:cs="Times New Roman"/>
          <w:sz w:val="20"/>
          <w:szCs w:val="20"/>
          <w:lang w:val="en-US"/>
        </w:rPr>
        <w:t xml:space="preserve"> web platform.</w:t>
      </w:r>
    </w:p>
    <w:p w:rsidR="004A6876" w:rsidRPr="004A6876" w:rsidRDefault="004A6876" w:rsidP="004A6876">
      <w:pPr>
        <w:jc w:val="center"/>
        <w:rPr>
          <w:rFonts w:ascii="Times New Roman" w:hAnsi="Times New Roman" w:cs="Times New Roman"/>
          <w:sz w:val="20"/>
          <w:szCs w:val="20"/>
          <w:lang w:val="en-US"/>
        </w:rPr>
      </w:pPr>
      <w:r w:rsidRPr="004A6876">
        <w:rPr>
          <w:rFonts w:ascii="Times New Roman" w:hAnsi="Times New Roman" w:cs="Times New Roman"/>
          <w:b/>
          <w:sz w:val="20"/>
          <w:szCs w:val="20"/>
          <w:lang w:val="en-US"/>
        </w:rPr>
        <w:t>Table S2.</w:t>
      </w:r>
      <w:r w:rsidRPr="004A6876">
        <w:rPr>
          <w:rFonts w:ascii="Times New Roman" w:hAnsi="Times New Roman" w:cs="Times New Roman"/>
          <w:sz w:val="20"/>
          <w:szCs w:val="20"/>
          <w:lang w:val="en-US"/>
        </w:rPr>
        <w:t xml:space="preserve"> Detailed Physicochemical Properties of Bis-1</w:t>
      </w:r>
      <w:proofErr w:type="gramStart"/>
      <w:r w:rsidRPr="004A6876">
        <w:rPr>
          <w:rFonts w:ascii="Times New Roman" w:hAnsi="Times New Roman" w:cs="Times New Roman"/>
          <w:sz w:val="20"/>
          <w:szCs w:val="20"/>
          <w:lang w:val="en-US"/>
        </w:rPr>
        <w:t>,2,4</w:t>
      </w:r>
      <w:proofErr w:type="gramEnd"/>
      <w:r w:rsidRPr="004A6876">
        <w:rPr>
          <w:rFonts w:ascii="Times New Roman" w:hAnsi="Times New Roman" w:cs="Times New Roman"/>
          <w:sz w:val="20"/>
          <w:szCs w:val="20"/>
          <w:lang w:val="en-US"/>
        </w:rPr>
        <w:t>-triazole Derivatives (</w:t>
      </w:r>
      <w:r w:rsidRPr="004A6876">
        <w:rPr>
          <w:rFonts w:ascii="Times New Roman" w:hAnsi="Times New Roman" w:cs="Times New Roman"/>
          <w:b/>
          <w:sz w:val="20"/>
          <w:szCs w:val="20"/>
          <w:lang w:val="en-US"/>
        </w:rPr>
        <w:t>1–6</w:t>
      </w:r>
      <w:r w:rsidRPr="004A6876">
        <w:rPr>
          <w:rFonts w:ascii="Times New Roman" w:hAnsi="Times New Roman" w:cs="Times New Roman"/>
          <w:sz w:val="20"/>
          <w:szCs w:val="20"/>
          <w:lang w:val="en-US"/>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172"/>
        <w:gridCol w:w="539"/>
        <w:gridCol w:w="966"/>
        <w:gridCol w:w="966"/>
        <w:gridCol w:w="966"/>
        <w:gridCol w:w="966"/>
        <w:gridCol w:w="966"/>
        <w:gridCol w:w="1170"/>
      </w:tblGrid>
      <w:tr w:rsidR="004A6876" w:rsidRPr="004A6876" w:rsidTr="004A6876">
        <w:trPr>
          <w:trHeight w:val="252"/>
        </w:trPr>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Property</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Unit</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1</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2</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3</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4</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5</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6</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Formula</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C₂₀H₄₂N₆S₂</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C₂₉H₅₀N₆S₂</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C₃₁H₅₄N₆S₂</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C₃₃H₅₈N₆S₂</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C₂₉H₃₄N₆S₂</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C₃₀H₃₄N₈O₄S₂</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Molecular</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Weight</w:t>
            </w:r>
            <w:proofErr w:type="spellEnd"/>
            <w:r w:rsidRPr="004A6876">
              <w:rPr>
                <w:rFonts w:ascii="Times New Roman" w:hAnsi="Times New Roman" w:cs="Times New Roman"/>
                <w:sz w:val="20"/>
                <w:szCs w:val="20"/>
              </w:rPr>
              <w:t xml:space="preserve"> (MW)</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g</w:t>
            </w:r>
            <w:proofErr w:type="spellEnd"/>
            <w:r w:rsidRPr="004A6876">
              <w:rPr>
                <w:rFonts w:ascii="Times New Roman" w:hAnsi="Times New Roman" w:cs="Times New Roman"/>
                <w:sz w:val="20"/>
                <w:szCs w:val="20"/>
              </w:rPr>
              <w:t>/</w:t>
            </w:r>
            <w:proofErr w:type="spellStart"/>
            <w:r w:rsidRPr="004A6876">
              <w:rPr>
                <w:rFonts w:ascii="Times New Roman" w:hAnsi="Times New Roman" w:cs="Times New Roman"/>
                <w:sz w:val="20"/>
                <w:szCs w:val="20"/>
              </w:rPr>
              <w:t>mol</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430.72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546.88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574.93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602.98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530.75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634.77</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Num</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Heavy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Atoms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44</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Num</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Arom</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Heavy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Atoms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22</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Fraction</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Csp</w:t>
            </w:r>
            <w:proofErr w:type="spellEnd"/>
            <w:r w:rsidRPr="004A6876">
              <w:rPr>
                <w:rFonts w:ascii="Times New Roman" w:hAnsi="Times New Roman" w:cs="Times New Roman"/>
                <w:sz w:val="20"/>
                <w:szCs w:val="20"/>
              </w:rPr>
              <w:t>³</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0.90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0.72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0.74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0.76</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0.31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0.33</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Num</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Rotatable</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Bonds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15</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Num</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H-Bond</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Acceptors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Num</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H-Bond</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Donors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Molar</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Refractivity</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149.22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164.21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173.83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183.44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156.29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178.74</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lang w:val="en-US"/>
              </w:rPr>
            </w:pPr>
            <w:r w:rsidRPr="004A6876">
              <w:rPr>
                <w:rFonts w:ascii="Times New Roman" w:hAnsi="Times New Roman" w:cs="Times New Roman"/>
                <w:sz w:val="20"/>
                <w:szCs w:val="20"/>
                <w:lang w:val="en-US"/>
              </w:rPr>
              <w:lastRenderedPageBreak/>
              <w:t>TPSA (Topological Polar Surface Area)</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Å²</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105.20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112.02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112.02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112.02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112.02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203.66</w:t>
            </w:r>
          </w:p>
        </w:tc>
      </w:tr>
    </w:tbl>
    <w:p w:rsidR="004A6876" w:rsidRDefault="004A6876" w:rsidP="004A6876">
      <w:pPr>
        <w:jc w:val="center"/>
        <w:rPr>
          <w:rFonts w:ascii="Times New Roman" w:hAnsi="Times New Roman" w:cs="Times New Roman"/>
          <w:b/>
          <w:sz w:val="20"/>
          <w:lang w:val="en-US"/>
        </w:rPr>
      </w:pPr>
    </w:p>
    <w:p w:rsidR="004A6876" w:rsidRPr="004A6876" w:rsidRDefault="004A6876" w:rsidP="004A6876">
      <w:pPr>
        <w:jc w:val="center"/>
        <w:rPr>
          <w:rFonts w:ascii="Times New Roman" w:hAnsi="Times New Roman" w:cs="Times New Roman"/>
          <w:sz w:val="20"/>
          <w:lang w:val="en-US"/>
        </w:rPr>
      </w:pPr>
      <w:r w:rsidRPr="004A6876">
        <w:rPr>
          <w:rFonts w:ascii="Times New Roman" w:hAnsi="Times New Roman" w:cs="Times New Roman"/>
          <w:b/>
          <w:sz w:val="20"/>
          <w:lang w:val="en-US"/>
        </w:rPr>
        <w:t>Table S3.</w:t>
      </w:r>
      <w:r w:rsidRPr="004A6876">
        <w:rPr>
          <w:rFonts w:ascii="Times New Roman" w:hAnsi="Times New Roman" w:cs="Times New Roman"/>
          <w:sz w:val="20"/>
          <w:lang w:val="en-US"/>
        </w:rPr>
        <w:t xml:space="preserve"> Predicted </w:t>
      </w:r>
      <w:proofErr w:type="spellStart"/>
      <w:r w:rsidRPr="004A6876">
        <w:rPr>
          <w:rFonts w:ascii="Times New Roman" w:hAnsi="Times New Roman" w:cs="Times New Roman"/>
          <w:sz w:val="20"/>
          <w:lang w:val="en-US"/>
        </w:rPr>
        <w:t>Lipophilicity</w:t>
      </w:r>
      <w:proofErr w:type="spellEnd"/>
      <w:r w:rsidRPr="004A6876">
        <w:rPr>
          <w:rFonts w:ascii="Times New Roman" w:hAnsi="Times New Roman" w:cs="Times New Roman"/>
          <w:sz w:val="20"/>
          <w:lang w:val="en-US"/>
        </w:rPr>
        <w:t xml:space="preserve"> and Aqueous Solubility of Bis-1</w:t>
      </w:r>
      <w:proofErr w:type="gramStart"/>
      <w:r w:rsidRPr="004A6876">
        <w:rPr>
          <w:rFonts w:ascii="Times New Roman" w:hAnsi="Times New Roman" w:cs="Times New Roman"/>
          <w:sz w:val="20"/>
          <w:lang w:val="en-US"/>
        </w:rPr>
        <w:t>,2,4</w:t>
      </w:r>
      <w:proofErr w:type="gramEnd"/>
      <w:r w:rsidRPr="004A6876">
        <w:rPr>
          <w:rFonts w:ascii="Times New Roman" w:hAnsi="Times New Roman" w:cs="Times New Roman"/>
          <w:sz w:val="20"/>
          <w:lang w:val="en-US"/>
        </w:rPr>
        <w:t>-triazole Derivatives (</w:t>
      </w:r>
      <w:r w:rsidRPr="004A6876">
        <w:rPr>
          <w:rFonts w:ascii="Times New Roman" w:hAnsi="Times New Roman" w:cs="Times New Roman"/>
          <w:b/>
          <w:sz w:val="20"/>
          <w:lang w:val="en-US"/>
        </w:rPr>
        <w:t>1–6</w:t>
      </w:r>
      <w:r w:rsidRPr="004A6876">
        <w:rPr>
          <w:rFonts w:ascii="Times New Roman" w:hAnsi="Times New Roman" w:cs="Times New Roman"/>
          <w:sz w:val="20"/>
          <w:lang w:val="en-US"/>
        </w:rPr>
        <w:t>).</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53"/>
        <w:gridCol w:w="1019"/>
        <w:gridCol w:w="450"/>
        <w:gridCol w:w="1409"/>
        <w:gridCol w:w="1036"/>
        <w:gridCol w:w="1036"/>
        <w:gridCol w:w="1036"/>
        <w:gridCol w:w="1036"/>
        <w:gridCol w:w="1036"/>
      </w:tblGrid>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Property</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Method</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Unit</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1</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2</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3</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4</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5</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6</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iLOGP</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4.74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5.93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6.63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6.63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5.50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4.30</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XLOGP3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5.28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8.80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9.88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10.97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7.58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7.60</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WLOGP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01.04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8.32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9.10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9.88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7.14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8.39</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MLOGP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3.80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5.27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5.65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06.02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5.77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4.15</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SILICOS-IT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1.91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8.18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09.03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9.89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6.21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3.17</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Consensus</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P</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3.35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7.30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08.06</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8.68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6.44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5.52</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S</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ESOL</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-5.04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-7.65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-8.37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-9.09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-7.55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-7.94</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S</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Ali</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-7.24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-11.04</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-12.16</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-13.29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-9.77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-11.71</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Log</w:t>
            </w:r>
            <w:proofErr w:type="spellEnd"/>
            <w:r w:rsidRPr="004A6876">
              <w:rPr>
                <w:rFonts w:ascii="Times New Roman" w:hAnsi="Times New Roman" w:cs="Times New Roman"/>
                <w:sz w:val="20"/>
                <w:szCs w:val="20"/>
              </w:rPr>
              <w:t xml:space="preserve"> S</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SILICOS-IT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-4.35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-8.76</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-9.53</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-10.30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-8.99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-8.98</w:t>
            </w:r>
          </w:p>
        </w:tc>
      </w:tr>
      <w:tr w:rsidR="004A6876" w:rsidRPr="004A6876" w:rsidTr="004A6876">
        <w:trPr>
          <w:trHeight w:val="252"/>
          <w:jc w:val="center"/>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Solubility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Class</w:t>
            </w:r>
            <w:proofErr w:type="spellEnd"/>
            <w:r w:rsidRPr="004A6876">
              <w:rPr>
                <w:rFonts w:ascii="Times New Roman" w:hAnsi="Times New Roman" w:cs="Times New Roman"/>
                <w:sz w:val="20"/>
                <w:szCs w:val="20"/>
              </w:rPr>
              <w:t xml:space="preserve"> (ESOL)</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Moderately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soluble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Poorly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soluble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Poorly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soluble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Poorly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soluble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Poorly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soluble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Poorly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soluble</w:t>
            </w:r>
            <w:proofErr w:type="spellEnd"/>
          </w:p>
        </w:tc>
      </w:tr>
    </w:tbl>
    <w:p w:rsidR="004A6876" w:rsidRPr="004A6876" w:rsidRDefault="004A6876" w:rsidP="004A6876">
      <w:pPr>
        <w:jc w:val="center"/>
        <w:rPr>
          <w:rFonts w:ascii="Times New Roman" w:hAnsi="Times New Roman" w:cs="Times New Roman"/>
          <w:sz w:val="20"/>
          <w:lang w:val="en-US"/>
        </w:rPr>
      </w:pPr>
    </w:p>
    <w:p w:rsidR="004A6876" w:rsidRPr="004509AE" w:rsidRDefault="004A6876" w:rsidP="004A6876">
      <w:pPr>
        <w:jc w:val="center"/>
        <w:rPr>
          <w:rFonts w:ascii="Times New Roman" w:hAnsi="Times New Roman" w:cs="Times New Roman"/>
          <w:sz w:val="20"/>
          <w:lang w:val="en-US"/>
        </w:rPr>
      </w:pPr>
      <w:r w:rsidRPr="004A6876">
        <w:rPr>
          <w:rFonts w:ascii="Times New Roman" w:hAnsi="Times New Roman" w:cs="Times New Roman"/>
          <w:b/>
          <w:bCs/>
          <w:sz w:val="20"/>
          <w:lang w:val="en-US"/>
        </w:rPr>
        <w:t>Table S</w:t>
      </w:r>
      <w:r w:rsidR="004509AE">
        <w:rPr>
          <w:rFonts w:ascii="Times New Roman" w:hAnsi="Times New Roman" w:cs="Times New Roman"/>
          <w:b/>
          <w:bCs/>
          <w:sz w:val="20"/>
          <w:lang w:val="uk-UA"/>
        </w:rPr>
        <w:t>4</w:t>
      </w:r>
      <w:r w:rsidRPr="004A6876">
        <w:rPr>
          <w:rFonts w:ascii="Times New Roman" w:hAnsi="Times New Roman" w:cs="Times New Roman"/>
          <w:b/>
          <w:bCs/>
          <w:sz w:val="20"/>
          <w:lang w:val="en-US"/>
        </w:rPr>
        <w:t xml:space="preserve">. </w:t>
      </w:r>
      <w:r w:rsidRPr="004A6876">
        <w:rPr>
          <w:rFonts w:ascii="Times New Roman" w:hAnsi="Times New Roman" w:cs="Times New Roman"/>
          <w:bCs/>
          <w:sz w:val="20"/>
          <w:lang w:val="en-US"/>
        </w:rPr>
        <w:t xml:space="preserve">Predicted Pharmacokinetic, </w:t>
      </w:r>
      <w:proofErr w:type="spellStart"/>
      <w:r w:rsidRPr="004A6876">
        <w:rPr>
          <w:rFonts w:ascii="Times New Roman" w:hAnsi="Times New Roman" w:cs="Times New Roman"/>
          <w:bCs/>
          <w:sz w:val="20"/>
          <w:lang w:val="en-US"/>
        </w:rPr>
        <w:t>Druglikeness</w:t>
      </w:r>
      <w:proofErr w:type="spellEnd"/>
      <w:r w:rsidRPr="004A6876">
        <w:rPr>
          <w:rFonts w:ascii="Times New Roman" w:hAnsi="Times New Roman" w:cs="Times New Roman"/>
          <w:bCs/>
          <w:sz w:val="20"/>
          <w:lang w:val="en-US"/>
        </w:rPr>
        <w:t>, and Medicinal Chemistry Alerts</w:t>
      </w:r>
      <w:r w:rsidRPr="004A6876">
        <w:rPr>
          <w:rFonts w:ascii="Times New Roman" w:hAnsi="Times New Roman" w:cs="Times New Roman"/>
          <w:b/>
          <w:bCs/>
          <w:sz w:val="20"/>
          <w:lang w:val="en-US"/>
        </w:rPr>
        <w:t xml:space="preserve"> (1–6).</w:t>
      </w:r>
      <w:r w:rsidRPr="004A6876">
        <w:rPr>
          <w:rFonts w:ascii="Times New Roman" w:hAnsi="Times New Roman" w:cs="Times New Roman"/>
          <w:sz w:val="20"/>
          <w:lang w:val="en-US"/>
        </w:rPr>
        <w:t xml:space="preserve"> </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21"/>
        <w:gridCol w:w="926"/>
        <w:gridCol w:w="1289"/>
        <w:gridCol w:w="1289"/>
        <w:gridCol w:w="1289"/>
        <w:gridCol w:w="1289"/>
        <w:gridCol w:w="1289"/>
        <w:gridCol w:w="1219"/>
      </w:tblGrid>
      <w:tr w:rsidR="004A6876" w:rsidRPr="004A6876" w:rsidTr="004A6876">
        <w:trPr>
          <w:trHeight w:val="252"/>
        </w:trPr>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Property</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Rule</w:t>
            </w:r>
            <w:proofErr w:type="spellEnd"/>
            <w:r w:rsidRPr="004509AE">
              <w:rPr>
                <w:rFonts w:ascii="Times New Roman" w:hAnsi="Times New Roman" w:cs="Times New Roman"/>
                <w:b/>
                <w:sz w:val="20"/>
                <w:szCs w:val="20"/>
              </w:rPr>
              <w:t xml:space="preserve"> / </w:t>
            </w:r>
            <w:proofErr w:type="spellStart"/>
            <w:r w:rsidRPr="004509AE">
              <w:rPr>
                <w:rFonts w:ascii="Times New Roman" w:hAnsi="Times New Roman" w:cs="Times New Roman"/>
                <w:b/>
                <w:sz w:val="20"/>
                <w:szCs w:val="20"/>
              </w:rPr>
              <w:t>Method</w:t>
            </w:r>
            <w:proofErr w:type="spellEnd"/>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1</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2</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3</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4</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5</w:t>
            </w:r>
          </w:p>
        </w:tc>
        <w:tc>
          <w:tcPr>
            <w:tcW w:w="0" w:type="auto"/>
            <w:tcMar>
              <w:top w:w="24" w:type="dxa"/>
              <w:left w:w="36" w:type="dxa"/>
              <w:bottom w:w="24" w:type="dxa"/>
              <w:right w:w="36" w:type="dxa"/>
            </w:tcMar>
            <w:vAlign w:val="center"/>
            <w:hideMark/>
          </w:tcPr>
          <w:p w:rsidR="004A6876" w:rsidRPr="004509AE" w:rsidRDefault="004A6876" w:rsidP="004A6876">
            <w:pPr>
              <w:jc w:val="center"/>
              <w:rPr>
                <w:rFonts w:ascii="Times New Roman" w:hAnsi="Times New Roman" w:cs="Times New Roman"/>
                <w:b/>
                <w:sz w:val="20"/>
                <w:szCs w:val="20"/>
              </w:rPr>
            </w:pPr>
            <w:proofErr w:type="spellStart"/>
            <w:r w:rsidRPr="004509AE">
              <w:rPr>
                <w:rFonts w:ascii="Times New Roman" w:hAnsi="Times New Roman" w:cs="Times New Roman"/>
                <w:b/>
                <w:sz w:val="20"/>
                <w:szCs w:val="20"/>
              </w:rPr>
              <w:t>Cmpd</w:t>
            </w:r>
            <w:proofErr w:type="spellEnd"/>
            <w:r w:rsidRPr="004509AE">
              <w:rPr>
                <w:rFonts w:ascii="Times New Roman" w:hAnsi="Times New Roman" w:cs="Times New Roman"/>
                <w:b/>
                <w:sz w:val="20"/>
                <w:szCs w:val="20"/>
              </w:rPr>
              <w:t xml:space="preserve"> 6</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GI </w:t>
            </w:r>
            <w:proofErr w:type="spellStart"/>
            <w:r w:rsidRPr="004A6876">
              <w:rPr>
                <w:rFonts w:ascii="Times New Roman" w:hAnsi="Times New Roman" w:cs="Times New Roman"/>
                <w:sz w:val="20"/>
                <w:szCs w:val="20"/>
              </w:rPr>
              <w:t>Absorption</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High</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Low</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Low</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Low</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Low</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Low</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BBB </w:t>
            </w:r>
            <w:proofErr w:type="spellStart"/>
            <w:r w:rsidRPr="004A6876">
              <w:rPr>
                <w:rFonts w:ascii="Times New Roman" w:hAnsi="Times New Roman" w:cs="Times New Roman"/>
                <w:sz w:val="20"/>
                <w:szCs w:val="20"/>
              </w:rPr>
              <w:t>Permeant</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P-gp</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Substrate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CYP1A2 </w:t>
            </w:r>
            <w:proofErr w:type="spellStart"/>
            <w:r w:rsidRPr="004A6876">
              <w:rPr>
                <w:rFonts w:ascii="Times New Roman" w:hAnsi="Times New Roman" w:cs="Times New Roman"/>
                <w:sz w:val="20"/>
                <w:szCs w:val="20"/>
              </w:rPr>
              <w:t>Inhibitor</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CYP2C19 </w:t>
            </w:r>
            <w:proofErr w:type="spellStart"/>
            <w:r w:rsidRPr="004A6876">
              <w:rPr>
                <w:rFonts w:ascii="Times New Roman" w:hAnsi="Times New Roman" w:cs="Times New Roman"/>
                <w:sz w:val="20"/>
                <w:szCs w:val="20"/>
              </w:rPr>
              <w:t>Inhibitor</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CYP2C9 </w:t>
            </w:r>
            <w:proofErr w:type="spellStart"/>
            <w:r w:rsidRPr="004A6876">
              <w:rPr>
                <w:rFonts w:ascii="Times New Roman" w:hAnsi="Times New Roman" w:cs="Times New Roman"/>
                <w:sz w:val="20"/>
                <w:szCs w:val="20"/>
              </w:rPr>
              <w:t>Inhibitor</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CYP2D6 </w:t>
            </w:r>
            <w:proofErr w:type="spellStart"/>
            <w:r w:rsidRPr="004A6876">
              <w:rPr>
                <w:rFonts w:ascii="Times New Roman" w:hAnsi="Times New Roman" w:cs="Times New Roman"/>
                <w:sz w:val="20"/>
                <w:szCs w:val="20"/>
              </w:rPr>
              <w:t>Inhibitor</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CYP3A4 </w:t>
            </w:r>
            <w:proofErr w:type="spellStart"/>
            <w:r w:rsidRPr="004A6876">
              <w:rPr>
                <w:rFonts w:ascii="Times New Roman" w:hAnsi="Times New Roman" w:cs="Times New Roman"/>
                <w:sz w:val="20"/>
                <w:szCs w:val="20"/>
              </w:rPr>
              <w:t>Inhibitor</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lastRenderedPageBreak/>
              <w:t>Log</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Kp</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Skin</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Perm</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cm</w:t>
            </w:r>
            <w:proofErr w:type="spellEnd"/>
            <w:r w:rsidRPr="004A6876">
              <w:rPr>
                <w:rFonts w:ascii="Times New Roman" w:hAnsi="Times New Roman" w:cs="Times New Roman"/>
                <w:sz w:val="20"/>
                <w:szCs w:val="20"/>
              </w:rPr>
              <w:t>/</w:t>
            </w:r>
            <w:proofErr w:type="spellStart"/>
            <w:r w:rsidRPr="004A6876">
              <w:rPr>
                <w:rFonts w:ascii="Times New Roman" w:hAnsi="Times New Roman" w:cs="Times New Roman"/>
                <w:sz w:val="20"/>
                <w:szCs w:val="20"/>
              </w:rPr>
              <w:t>s</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-5.18</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-3.39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-2.79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-2.19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-4.16</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-4.78</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Lipinski</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Rule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roofErr w:type="spellStart"/>
            <w:r w:rsidRPr="004A6876">
              <w:rPr>
                <w:rFonts w:ascii="Times New Roman" w:hAnsi="Times New Roman" w:cs="Times New Roman"/>
                <w:sz w:val="20"/>
                <w:szCs w:val="20"/>
              </w:rPr>
              <w:t>Violations</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Yes</w:t>
            </w:r>
            <w:proofErr w:type="spellEnd"/>
            <w:r w:rsidRPr="004A6876">
              <w:rPr>
                <w:rFonts w:ascii="Times New Roman" w:hAnsi="Times New Roman" w:cs="Times New Roman"/>
                <w:sz w:val="20"/>
                <w:szCs w:val="20"/>
              </w:rPr>
              <w:t xml:space="preserve"> (0)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(2)</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(2)</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Veber</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Rule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roofErr w:type="spellStart"/>
            <w:r w:rsidRPr="004A6876">
              <w:rPr>
                <w:rFonts w:ascii="Times New Roman" w:hAnsi="Times New Roman" w:cs="Times New Roman"/>
                <w:sz w:val="20"/>
                <w:szCs w:val="20"/>
              </w:rPr>
              <w:t>Violations</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No</w:t>
            </w:r>
            <w:proofErr w:type="spellEnd"/>
            <w:r w:rsidRPr="004A6876">
              <w:rPr>
                <w:rFonts w:ascii="Times New Roman" w:hAnsi="Times New Roman" w:cs="Times New Roman"/>
                <w:sz w:val="20"/>
                <w:szCs w:val="20"/>
              </w:rPr>
              <w:t xml:space="preserve"> (2)</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Bioavailability</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Score</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0.55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0.17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0.17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0.17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0.17</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0.17</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 xml:space="preserve">PAINS </w:t>
            </w:r>
            <w:proofErr w:type="spellStart"/>
            <w:r w:rsidRPr="004A6876">
              <w:rPr>
                <w:rFonts w:ascii="Times New Roman" w:hAnsi="Times New Roman" w:cs="Times New Roman"/>
                <w:sz w:val="20"/>
                <w:szCs w:val="20"/>
              </w:rPr>
              <w:t>Alert</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0</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Brenk</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Alert</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 (</w:t>
            </w:r>
            <w:proofErr w:type="spellStart"/>
            <w:r w:rsidRPr="004A6876">
              <w:rPr>
                <w:rFonts w:ascii="Times New Roman" w:hAnsi="Times New Roman" w:cs="Times New Roman"/>
                <w:sz w:val="20"/>
                <w:szCs w:val="20"/>
              </w:rPr>
              <w:t>isolated_alkene</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 (</w:t>
            </w:r>
            <w:proofErr w:type="spellStart"/>
            <w:r w:rsidRPr="004A6876">
              <w:rPr>
                <w:rFonts w:ascii="Times New Roman" w:hAnsi="Times New Roman" w:cs="Times New Roman"/>
                <w:sz w:val="20"/>
                <w:szCs w:val="20"/>
              </w:rPr>
              <w:t>isolated_alkene</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 (</w:t>
            </w:r>
            <w:proofErr w:type="spellStart"/>
            <w:r w:rsidRPr="004A6876">
              <w:rPr>
                <w:rFonts w:ascii="Times New Roman" w:hAnsi="Times New Roman" w:cs="Times New Roman"/>
                <w:sz w:val="20"/>
                <w:szCs w:val="20"/>
              </w:rPr>
              <w:t>isolated_alkene</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 (</w:t>
            </w:r>
            <w:proofErr w:type="spellStart"/>
            <w:r w:rsidRPr="004A6876">
              <w:rPr>
                <w:rFonts w:ascii="Times New Roman" w:hAnsi="Times New Roman" w:cs="Times New Roman"/>
                <w:sz w:val="20"/>
                <w:szCs w:val="20"/>
              </w:rPr>
              <w:t>isolated_alkene</w:t>
            </w:r>
            <w:proofErr w:type="spellEnd"/>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1 (</w:t>
            </w:r>
            <w:proofErr w:type="spellStart"/>
            <w:r w:rsidRPr="004A6876">
              <w:rPr>
                <w:rFonts w:ascii="Times New Roman" w:hAnsi="Times New Roman" w:cs="Times New Roman"/>
                <w:sz w:val="20"/>
                <w:szCs w:val="20"/>
              </w:rPr>
              <w:t>isolated_alkene</w:t>
            </w:r>
            <w:proofErr w:type="spellEnd"/>
            <w:r w:rsidRPr="004A6876">
              <w:rPr>
                <w:rFonts w:ascii="Times New Roman" w:hAnsi="Times New Roman" w:cs="Times New Roman"/>
                <w:sz w:val="20"/>
                <w:szCs w:val="20"/>
              </w:rPr>
              <w:t>)</w:t>
            </w:r>
          </w:p>
        </w:tc>
        <w:tc>
          <w:tcPr>
            <w:tcW w:w="0" w:type="auto"/>
            <w:tcMar>
              <w:top w:w="24" w:type="dxa"/>
              <w:left w:w="0" w:type="dxa"/>
              <w:bottom w:w="24" w:type="dxa"/>
              <w:right w:w="0"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2 (</w:t>
            </w:r>
            <w:proofErr w:type="spellStart"/>
            <w:r w:rsidRPr="004A6876">
              <w:rPr>
                <w:rFonts w:ascii="Times New Roman" w:hAnsi="Times New Roman" w:cs="Times New Roman"/>
                <w:sz w:val="20"/>
                <w:szCs w:val="20"/>
              </w:rPr>
              <w:t>isolated_alkene</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nitro_group</w:t>
            </w:r>
            <w:proofErr w:type="spellEnd"/>
            <w:r w:rsidRPr="004A6876">
              <w:rPr>
                <w:rFonts w:ascii="Times New Roman" w:hAnsi="Times New Roman" w:cs="Times New Roman"/>
                <w:sz w:val="20"/>
                <w:szCs w:val="20"/>
              </w:rPr>
              <w:t>)</w:t>
            </w:r>
          </w:p>
        </w:tc>
      </w:tr>
      <w:tr w:rsidR="004A6876" w:rsidRPr="004A6876" w:rsidTr="004A6876">
        <w:trPr>
          <w:trHeight w:val="252"/>
        </w:trPr>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proofErr w:type="spellStart"/>
            <w:r w:rsidRPr="004A6876">
              <w:rPr>
                <w:rFonts w:ascii="Times New Roman" w:hAnsi="Times New Roman" w:cs="Times New Roman"/>
                <w:sz w:val="20"/>
                <w:szCs w:val="20"/>
              </w:rPr>
              <w:t>Synthetic</w:t>
            </w:r>
            <w:proofErr w:type="spellEnd"/>
            <w:r w:rsidRPr="004A6876">
              <w:rPr>
                <w:rFonts w:ascii="Times New Roman" w:hAnsi="Times New Roman" w:cs="Times New Roman"/>
                <w:sz w:val="20"/>
                <w:szCs w:val="20"/>
              </w:rPr>
              <w:t xml:space="preserve"> </w:t>
            </w:r>
            <w:proofErr w:type="spellStart"/>
            <w:r w:rsidRPr="004A6876">
              <w:rPr>
                <w:rFonts w:ascii="Times New Roman" w:hAnsi="Times New Roman" w:cs="Times New Roman"/>
                <w:sz w:val="20"/>
                <w:szCs w:val="20"/>
              </w:rPr>
              <w:t>Accessibility</w:t>
            </w:r>
            <w:proofErr w:type="spellEnd"/>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5.89</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5.00</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5.25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5.51</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4.35</w:t>
            </w:r>
          </w:p>
        </w:tc>
        <w:tc>
          <w:tcPr>
            <w:tcW w:w="0" w:type="auto"/>
            <w:tcMar>
              <w:top w:w="24" w:type="dxa"/>
              <w:left w:w="36" w:type="dxa"/>
              <w:bottom w:w="24" w:type="dxa"/>
              <w:right w:w="36" w:type="dxa"/>
            </w:tcMar>
            <w:vAlign w:val="center"/>
            <w:hideMark/>
          </w:tcPr>
          <w:p w:rsidR="004A6876" w:rsidRPr="004A6876" w:rsidRDefault="004A6876" w:rsidP="004A6876">
            <w:pPr>
              <w:jc w:val="center"/>
              <w:rPr>
                <w:rFonts w:ascii="Times New Roman" w:hAnsi="Times New Roman" w:cs="Times New Roman"/>
                <w:sz w:val="20"/>
                <w:szCs w:val="20"/>
              </w:rPr>
            </w:pPr>
            <w:r w:rsidRPr="004A6876">
              <w:rPr>
                <w:rFonts w:ascii="Times New Roman" w:hAnsi="Times New Roman" w:cs="Times New Roman"/>
                <w:sz w:val="20"/>
                <w:szCs w:val="20"/>
              </w:rPr>
              <w:t>4.63</w:t>
            </w:r>
          </w:p>
        </w:tc>
      </w:tr>
    </w:tbl>
    <w:p w:rsidR="004A6876" w:rsidRDefault="004A6876">
      <w:pPr>
        <w:rPr>
          <w:lang w:val="en-US"/>
        </w:rPr>
      </w:pPr>
    </w:p>
    <w:sectPr w:rsidR="004A6876" w:rsidSect="008438F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4CAA"/>
    <w:rsid w:val="002344C4"/>
    <w:rsid w:val="002B76C1"/>
    <w:rsid w:val="003E7311"/>
    <w:rsid w:val="004509AE"/>
    <w:rsid w:val="004A6876"/>
    <w:rsid w:val="008161FC"/>
    <w:rsid w:val="008438F1"/>
    <w:rsid w:val="00952FE9"/>
    <w:rsid w:val="009E3444"/>
    <w:rsid w:val="00B92918"/>
    <w:rsid w:val="00C928B2"/>
    <w:rsid w:val="00D77FCE"/>
    <w:rsid w:val="00FF4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444"/>
  </w:style>
  <w:style w:type="paragraph" w:styleId="1">
    <w:name w:val="heading 1"/>
    <w:basedOn w:val="a"/>
    <w:next w:val="a"/>
    <w:link w:val="10"/>
    <w:uiPriority w:val="9"/>
    <w:qFormat/>
    <w:rsid w:val="00FF4C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F4C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F4C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F4C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F4C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F4C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F4C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4C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F4C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C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F4C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4C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F4C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F4C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F4C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4CAA"/>
    <w:rPr>
      <w:rFonts w:eastAsiaTheme="majorEastAsia" w:cstheme="majorBidi"/>
      <w:color w:val="595959" w:themeColor="text1" w:themeTint="A6"/>
    </w:rPr>
  </w:style>
  <w:style w:type="character" w:customStyle="1" w:styleId="80">
    <w:name w:val="Заголовок 8 Знак"/>
    <w:basedOn w:val="a0"/>
    <w:link w:val="8"/>
    <w:uiPriority w:val="9"/>
    <w:semiHidden/>
    <w:rsid w:val="00FF4C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4CAA"/>
    <w:rPr>
      <w:rFonts w:eastAsiaTheme="majorEastAsia" w:cstheme="majorBidi"/>
      <w:color w:val="272727" w:themeColor="text1" w:themeTint="D8"/>
    </w:rPr>
  </w:style>
  <w:style w:type="paragraph" w:styleId="a3">
    <w:name w:val="Title"/>
    <w:basedOn w:val="a"/>
    <w:next w:val="a"/>
    <w:link w:val="a4"/>
    <w:uiPriority w:val="10"/>
    <w:qFormat/>
    <w:rsid w:val="00FF4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F4C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4C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F4C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F4CAA"/>
    <w:pPr>
      <w:spacing w:before="160"/>
      <w:jc w:val="center"/>
    </w:pPr>
    <w:rPr>
      <w:i/>
      <w:iCs/>
      <w:color w:val="404040" w:themeColor="text1" w:themeTint="BF"/>
    </w:rPr>
  </w:style>
  <w:style w:type="character" w:customStyle="1" w:styleId="22">
    <w:name w:val="Цитата 2 Знак"/>
    <w:basedOn w:val="a0"/>
    <w:link w:val="21"/>
    <w:uiPriority w:val="29"/>
    <w:rsid w:val="00FF4CAA"/>
    <w:rPr>
      <w:i/>
      <w:iCs/>
      <w:color w:val="404040" w:themeColor="text1" w:themeTint="BF"/>
    </w:rPr>
  </w:style>
  <w:style w:type="paragraph" w:styleId="a7">
    <w:name w:val="List Paragraph"/>
    <w:basedOn w:val="a"/>
    <w:uiPriority w:val="34"/>
    <w:qFormat/>
    <w:rsid w:val="00FF4CAA"/>
    <w:pPr>
      <w:ind w:left="720"/>
      <w:contextualSpacing/>
    </w:pPr>
  </w:style>
  <w:style w:type="character" w:styleId="a8">
    <w:name w:val="Intense Emphasis"/>
    <w:basedOn w:val="a0"/>
    <w:uiPriority w:val="21"/>
    <w:qFormat/>
    <w:rsid w:val="00FF4CAA"/>
    <w:rPr>
      <w:i/>
      <w:iCs/>
      <w:color w:val="2F5496" w:themeColor="accent1" w:themeShade="BF"/>
    </w:rPr>
  </w:style>
  <w:style w:type="paragraph" w:styleId="a9">
    <w:name w:val="Intense Quote"/>
    <w:basedOn w:val="a"/>
    <w:next w:val="a"/>
    <w:link w:val="aa"/>
    <w:uiPriority w:val="30"/>
    <w:qFormat/>
    <w:rsid w:val="00FF4C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F4CAA"/>
    <w:rPr>
      <w:i/>
      <w:iCs/>
      <w:color w:val="2F5496" w:themeColor="accent1" w:themeShade="BF"/>
    </w:rPr>
  </w:style>
  <w:style w:type="character" w:styleId="ab">
    <w:name w:val="Intense Reference"/>
    <w:basedOn w:val="a0"/>
    <w:uiPriority w:val="32"/>
    <w:qFormat/>
    <w:rsid w:val="00FF4CAA"/>
    <w:rPr>
      <w:b/>
      <w:bCs/>
      <w:smallCaps/>
      <w:color w:val="2F5496" w:themeColor="accent1" w:themeShade="BF"/>
      <w:spacing w:val="5"/>
    </w:rPr>
  </w:style>
  <w:style w:type="paragraph" w:styleId="ac">
    <w:name w:val="Balloon Text"/>
    <w:basedOn w:val="a"/>
    <w:link w:val="ad"/>
    <w:uiPriority w:val="99"/>
    <w:semiHidden/>
    <w:unhideWhenUsed/>
    <w:rsid w:val="002B76C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B76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151760">
      <w:bodyDiv w:val="1"/>
      <w:marLeft w:val="0"/>
      <w:marRight w:val="0"/>
      <w:marTop w:val="0"/>
      <w:marBottom w:val="0"/>
      <w:divBdr>
        <w:top w:val="none" w:sz="0" w:space="0" w:color="auto"/>
        <w:left w:val="none" w:sz="0" w:space="0" w:color="auto"/>
        <w:bottom w:val="none" w:sz="0" w:space="0" w:color="auto"/>
        <w:right w:val="none" w:sz="0" w:space="0" w:color="auto"/>
      </w:divBdr>
    </w:div>
    <w:div w:id="485125246">
      <w:bodyDiv w:val="1"/>
      <w:marLeft w:val="0"/>
      <w:marRight w:val="0"/>
      <w:marTop w:val="0"/>
      <w:marBottom w:val="0"/>
      <w:divBdr>
        <w:top w:val="none" w:sz="0" w:space="0" w:color="auto"/>
        <w:left w:val="none" w:sz="0" w:space="0" w:color="auto"/>
        <w:bottom w:val="none" w:sz="0" w:space="0" w:color="auto"/>
        <w:right w:val="none" w:sz="0" w:space="0" w:color="auto"/>
      </w:divBdr>
    </w:div>
    <w:div w:id="627126718">
      <w:bodyDiv w:val="1"/>
      <w:marLeft w:val="0"/>
      <w:marRight w:val="0"/>
      <w:marTop w:val="0"/>
      <w:marBottom w:val="0"/>
      <w:divBdr>
        <w:top w:val="none" w:sz="0" w:space="0" w:color="auto"/>
        <w:left w:val="none" w:sz="0" w:space="0" w:color="auto"/>
        <w:bottom w:val="none" w:sz="0" w:space="0" w:color="auto"/>
        <w:right w:val="none" w:sz="0" w:space="0" w:color="auto"/>
      </w:divBdr>
    </w:div>
    <w:div w:id="644045549">
      <w:bodyDiv w:val="1"/>
      <w:marLeft w:val="0"/>
      <w:marRight w:val="0"/>
      <w:marTop w:val="0"/>
      <w:marBottom w:val="0"/>
      <w:divBdr>
        <w:top w:val="none" w:sz="0" w:space="0" w:color="auto"/>
        <w:left w:val="none" w:sz="0" w:space="0" w:color="auto"/>
        <w:bottom w:val="none" w:sz="0" w:space="0" w:color="auto"/>
        <w:right w:val="none" w:sz="0" w:space="0" w:color="auto"/>
      </w:divBdr>
    </w:div>
    <w:div w:id="809053405">
      <w:bodyDiv w:val="1"/>
      <w:marLeft w:val="0"/>
      <w:marRight w:val="0"/>
      <w:marTop w:val="0"/>
      <w:marBottom w:val="0"/>
      <w:divBdr>
        <w:top w:val="none" w:sz="0" w:space="0" w:color="auto"/>
        <w:left w:val="none" w:sz="0" w:space="0" w:color="auto"/>
        <w:bottom w:val="none" w:sz="0" w:space="0" w:color="auto"/>
        <w:right w:val="none" w:sz="0" w:space="0" w:color="auto"/>
      </w:divBdr>
    </w:div>
    <w:div w:id="818498861">
      <w:bodyDiv w:val="1"/>
      <w:marLeft w:val="0"/>
      <w:marRight w:val="0"/>
      <w:marTop w:val="0"/>
      <w:marBottom w:val="0"/>
      <w:divBdr>
        <w:top w:val="none" w:sz="0" w:space="0" w:color="auto"/>
        <w:left w:val="none" w:sz="0" w:space="0" w:color="auto"/>
        <w:bottom w:val="none" w:sz="0" w:space="0" w:color="auto"/>
        <w:right w:val="none" w:sz="0" w:space="0" w:color="auto"/>
      </w:divBdr>
    </w:div>
    <w:div w:id="841972772">
      <w:bodyDiv w:val="1"/>
      <w:marLeft w:val="0"/>
      <w:marRight w:val="0"/>
      <w:marTop w:val="0"/>
      <w:marBottom w:val="0"/>
      <w:divBdr>
        <w:top w:val="none" w:sz="0" w:space="0" w:color="auto"/>
        <w:left w:val="none" w:sz="0" w:space="0" w:color="auto"/>
        <w:bottom w:val="none" w:sz="0" w:space="0" w:color="auto"/>
        <w:right w:val="none" w:sz="0" w:space="0" w:color="auto"/>
      </w:divBdr>
    </w:div>
    <w:div w:id="1028871931">
      <w:bodyDiv w:val="1"/>
      <w:marLeft w:val="0"/>
      <w:marRight w:val="0"/>
      <w:marTop w:val="0"/>
      <w:marBottom w:val="0"/>
      <w:divBdr>
        <w:top w:val="none" w:sz="0" w:space="0" w:color="auto"/>
        <w:left w:val="none" w:sz="0" w:space="0" w:color="auto"/>
        <w:bottom w:val="none" w:sz="0" w:space="0" w:color="auto"/>
        <w:right w:val="none" w:sz="0" w:space="0" w:color="auto"/>
      </w:divBdr>
    </w:div>
    <w:div w:id="1147164933">
      <w:bodyDiv w:val="1"/>
      <w:marLeft w:val="0"/>
      <w:marRight w:val="0"/>
      <w:marTop w:val="0"/>
      <w:marBottom w:val="0"/>
      <w:divBdr>
        <w:top w:val="none" w:sz="0" w:space="0" w:color="auto"/>
        <w:left w:val="none" w:sz="0" w:space="0" w:color="auto"/>
        <w:bottom w:val="none" w:sz="0" w:space="0" w:color="auto"/>
        <w:right w:val="none" w:sz="0" w:space="0" w:color="auto"/>
      </w:divBdr>
    </w:div>
    <w:div w:id="1264606482">
      <w:bodyDiv w:val="1"/>
      <w:marLeft w:val="0"/>
      <w:marRight w:val="0"/>
      <w:marTop w:val="0"/>
      <w:marBottom w:val="0"/>
      <w:divBdr>
        <w:top w:val="none" w:sz="0" w:space="0" w:color="auto"/>
        <w:left w:val="none" w:sz="0" w:space="0" w:color="auto"/>
        <w:bottom w:val="none" w:sz="0" w:space="0" w:color="auto"/>
        <w:right w:val="none" w:sz="0" w:space="0" w:color="auto"/>
      </w:divBdr>
      <w:divsChild>
        <w:div w:id="1644196507">
          <w:marLeft w:val="0"/>
          <w:marRight w:val="0"/>
          <w:marTop w:val="0"/>
          <w:marBottom w:val="0"/>
          <w:divBdr>
            <w:top w:val="none" w:sz="0" w:space="0" w:color="auto"/>
            <w:left w:val="none" w:sz="0" w:space="0" w:color="auto"/>
            <w:bottom w:val="none" w:sz="0" w:space="0" w:color="auto"/>
            <w:right w:val="none" w:sz="0" w:space="0" w:color="auto"/>
          </w:divBdr>
          <w:divsChild>
            <w:div w:id="11347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3697">
      <w:bodyDiv w:val="1"/>
      <w:marLeft w:val="0"/>
      <w:marRight w:val="0"/>
      <w:marTop w:val="0"/>
      <w:marBottom w:val="0"/>
      <w:divBdr>
        <w:top w:val="none" w:sz="0" w:space="0" w:color="auto"/>
        <w:left w:val="none" w:sz="0" w:space="0" w:color="auto"/>
        <w:bottom w:val="none" w:sz="0" w:space="0" w:color="auto"/>
        <w:right w:val="none" w:sz="0" w:space="0" w:color="auto"/>
      </w:divBdr>
    </w:div>
    <w:div w:id="1731807685">
      <w:bodyDiv w:val="1"/>
      <w:marLeft w:val="0"/>
      <w:marRight w:val="0"/>
      <w:marTop w:val="0"/>
      <w:marBottom w:val="0"/>
      <w:divBdr>
        <w:top w:val="none" w:sz="0" w:space="0" w:color="auto"/>
        <w:left w:val="none" w:sz="0" w:space="0" w:color="auto"/>
        <w:bottom w:val="none" w:sz="0" w:space="0" w:color="auto"/>
        <w:right w:val="none" w:sz="0" w:space="0" w:color="auto"/>
      </w:divBdr>
    </w:div>
    <w:div w:id="1752314311">
      <w:bodyDiv w:val="1"/>
      <w:marLeft w:val="0"/>
      <w:marRight w:val="0"/>
      <w:marTop w:val="0"/>
      <w:marBottom w:val="0"/>
      <w:divBdr>
        <w:top w:val="none" w:sz="0" w:space="0" w:color="auto"/>
        <w:left w:val="none" w:sz="0" w:space="0" w:color="auto"/>
        <w:bottom w:val="none" w:sz="0" w:space="0" w:color="auto"/>
        <w:right w:val="none" w:sz="0" w:space="0" w:color="auto"/>
      </w:divBdr>
    </w:div>
    <w:div w:id="1780758498">
      <w:bodyDiv w:val="1"/>
      <w:marLeft w:val="0"/>
      <w:marRight w:val="0"/>
      <w:marTop w:val="0"/>
      <w:marBottom w:val="0"/>
      <w:divBdr>
        <w:top w:val="none" w:sz="0" w:space="0" w:color="auto"/>
        <w:left w:val="none" w:sz="0" w:space="0" w:color="auto"/>
        <w:bottom w:val="none" w:sz="0" w:space="0" w:color="auto"/>
        <w:right w:val="none" w:sz="0" w:space="0" w:color="auto"/>
      </w:divBdr>
      <w:divsChild>
        <w:div w:id="1788699628">
          <w:marLeft w:val="0"/>
          <w:marRight w:val="0"/>
          <w:marTop w:val="0"/>
          <w:marBottom w:val="0"/>
          <w:divBdr>
            <w:top w:val="none" w:sz="0" w:space="0" w:color="auto"/>
            <w:left w:val="none" w:sz="0" w:space="0" w:color="auto"/>
            <w:bottom w:val="none" w:sz="0" w:space="0" w:color="auto"/>
            <w:right w:val="none" w:sz="0" w:space="0" w:color="auto"/>
          </w:divBdr>
          <w:divsChild>
            <w:div w:id="11378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560">
      <w:bodyDiv w:val="1"/>
      <w:marLeft w:val="0"/>
      <w:marRight w:val="0"/>
      <w:marTop w:val="0"/>
      <w:marBottom w:val="0"/>
      <w:divBdr>
        <w:top w:val="none" w:sz="0" w:space="0" w:color="auto"/>
        <w:left w:val="none" w:sz="0" w:space="0" w:color="auto"/>
        <w:bottom w:val="none" w:sz="0" w:space="0" w:color="auto"/>
        <w:right w:val="none" w:sz="0" w:space="0" w:color="auto"/>
      </w:divBdr>
    </w:div>
    <w:div w:id="1902059116">
      <w:bodyDiv w:val="1"/>
      <w:marLeft w:val="0"/>
      <w:marRight w:val="0"/>
      <w:marTop w:val="0"/>
      <w:marBottom w:val="0"/>
      <w:divBdr>
        <w:top w:val="none" w:sz="0" w:space="0" w:color="auto"/>
        <w:left w:val="none" w:sz="0" w:space="0" w:color="auto"/>
        <w:bottom w:val="none" w:sz="0" w:space="0" w:color="auto"/>
        <w:right w:val="none" w:sz="0" w:space="0" w:color="auto"/>
      </w:divBdr>
    </w:div>
    <w:div w:id="192931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2118</Words>
  <Characters>12076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Putrashyk</dc:creator>
  <cp:keywords/>
  <dc:description/>
  <cp:lastModifiedBy>Олександр Штибель</cp:lastModifiedBy>
  <cp:revision>7</cp:revision>
  <dcterms:created xsi:type="dcterms:W3CDTF">2025-11-21T12:08:00Z</dcterms:created>
  <dcterms:modified xsi:type="dcterms:W3CDTF">2026-01-12T07:22:00Z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63cf8541-05ea-49d3-b64c-32d0cbca7764</vt:lpwstr>
  </property>
</Properties>
</file>