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082"/>
        <w:gridCol w:w="3082"/>
      </w:tblGrid>
      <w:tr w:rsidR="0068075C" w:rsidRPr="00954AD1" w:rsidTr="00D015AD">
        <w:trPr>
          <w:trHeight w:val="350"/>
        </w:trPr>
        <w:tc>
          <w:tcPr>
            <w:tcW w:w="9243" w:type="dxa"/>
            <w:gridSpan w:val="3"/>
            <w:tcBorders>
              <w:bottom w:val="single" w:sz="4" w:space="0" w:color="auto"/>
            </w:tcBorders>
          </w:tcPr>
          <w:p w:rsidR="0068075C" w:rsidRPr="00954AD1" w:rsidRDefault="0068075C" w:rsidP="00D015AD">
            <w:p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16855">
              <w:rPr>
                <w:rFonts w:ascii="Cambria" w:hAnsi="Cambria"/>
                <w:b/>
                <w:sz w:val="24"/>
                <w:szCs w:val="24"/>
              </w:rPr>
              <w:t xml:space="preserve">Correlation of Ovarian Reserve Markers with Oxidative Stress 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and Clinical </w:t>
            </w:r>
            <w:r w:rsidRPr="00816855">
              <w:rPr>
                <w:rFonts w:ascii="Cambria" w:hAnsi="Cambria"/>
                <w:b/>
                <w:sz w:val="24"/>
                <w:szCs w:val="24"/>
              </w:rPr>
              <w:t>Parameters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Cambria" w:hAnsi="Cambria"/>
                <w:b/>
                <w:sz w:val="24"/>
                <w:szCs w:val="24"/>
              </w:rPr>
              <w:t>HbSS</w:t>
            </w:r>
            <w:proofErr w:type="spellEnd"/>
            <w:r>
              <w:rPr>
                <w:rFonts w:ascii="Cambria" w:hAnsi="Cambria"/>
                <w:b/>
                <w:sz w:val="24"/>
                <w:szCs w:val="24"/>
              </w:rPr>
              <w:t xml:space="preserve"> women</w:t>
            </w:r>
          </w:p>
        </w:tc>
      </w:tr>
      <w:tr w:rsidR="0068075C" w:rsidRPr="00954AD1" w:rsidTr="00D015AD">
        <w:trPr>
          <w:trHeight w:val="800"/>
        </w:trPr>
        <w:tc>
          <w:tcPr>
            <w:tcW w:w="3079" w:type="dxa"/>
            <w:tcBorders>
              <w:bottom w:val="single" w:sz="4" w:space="0" w:color="auto"/>
            </w:tcBorders>
          </w:tcPr>
          <w:p w:rsidR="0068075C" w:rsidRPr="00954AD1" w:rsidRDefault="0068075C" w:rsidP="00D015AD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545F58">
              <w:rPr>
                <w:rFonts w:ascii="Cambria" w:hAnsi="Cambria"/>
                <w:b/>
                <w:sz w:val="24"/>
                <w:szCs w:val="24"/>
              </w:rPr>
              <w:t>Variable</w:t>
            </w:r>
          </w:p>
        </w:tc>
        <w:tc>
          <w:tcPr>
            <w:tcW w:w="3082" w:type="dxa"/>
            <w:tcBorders>
              <w:bottom w:val="single" w:sz="4" w:space="0" w:color="auto"/>
            </w:tcBorders>
          </w:tcPr>
          <w:p w:rsidR="0068075C" w:rsidRPr="00545F58" w:rsidRDefault="0068075C" w:rsidP="00D015AD">
            <w:p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54AD1">
              <w:rPr>
                <w:rFonts w:ascii="Cambria" w:hAnsi="Cambria"/>
                <w:b/>
                <w:sz w:val="24"/>
                <w:szCs w:val="24"/>
              </w:rPr>
              <w:t>AMH</w:t>
            </w:r>
          </w:p>
          <w:p w:rsidR="0068075C" w:rsidRPr="00954AD1" w:rsidRDefault="0068075C" w:rsidP="00D015AD">
            <w:pPr>
              <w:spacing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 xml:space="preserve">r </w:t>
            </w:r>
            <w:r w:rsidRPr="00954AD1">
              <w:rPr>
                <w:rFonts w:ascii="Cambria" w:hAnsi="Cambria"/>
                <w:bCs/>
                <w:sz w:val="24"/>
                <w:szCs w:val="24"/>
              </w:rPr>
              <w:t>(p-value)</w:t>
            </w:r>
          </w:p>
        </w:tc>
        <w:tc>
          <w:tcPr>
            <w:tcW w:w="3082" w:type="dxa"/>
            <w:tcBorders>
              <w:bottom w:val="single" w:sz="4" w:space="0" w:color="auto"/>
            </w:tcBorders>
          </w:tcPr>
          <w:p w:rsidR="0068075C" w:rsidRPr="00545F58" w:rsidRDefault="0068075C" w:rsidP="00D015AD">
            <w:p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54AD1">
              <w:rPr>
                <w:rFonts w:ascii="Cambria" w:hAnsi="Cambria"/>
                <w:b/>
                <w:sz w:val="24"/>
                <w:szCs w:val="24"/>
              </w:rPr>
              <w:t>AFC</w:t>
            </w:r>
          </w:p>
          <w:p w:rsidR="0068075C" w:rsidRPr="00954AD1" w:rsidRDefault="0068075C" w:rsidP="00D015AD">
            <w:pPr>
              <w:spacing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 xml:space="preserve">r </w:t>
            </w:r>
            <w:r w:rsidRPr="00954AD1">
              <w:rPr>
                <w:rFonts w:ascii="Cambria" w:hAnsi="Cambria"/>
                <w:bCs/>
                <w:sz w:val="24"/>
                <w:szCs w:val="24"/>
              </w:rPr>
              <w:t>(p-value)</w:t>
            </w:r>
          </w:p>
        </w:tc>
      </w:tr>
      <w:tr w:rsidR="0068075C" w:rsidRPr="00954AD1" w:rsidTr="00D015AD">
        <w:tc>
          <w:tcPr>
            <w:tcW w:w="3079" w:type="dxa"/>
            <w:tcBorders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Glutathione peroxidase</w:t>
            </w:r>
          </w:p>
        </w:tc>
        <w:tc>
          <w:tcPr>
            <w:tcW w:w="3082" w:type="dxa"/>
            <w:tcBorders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-0.013 (0.917)</w:t>
            </w:r>
          </w:p>
        </w:tc>
        <w:tc>
          <w:tcPr>
            <w:tcW w:w="3082" w:type="dxa"/>
            <w:tcBorders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-0.120 (0.327)</w:t>
            </w:r>
          </w:p>
        </w:tc>
      </w:tr>
      <w:tr w:rsidR="0068075C" w:rsidRPr="00954AD1" w:rsidTr="00D015AD">
        <w:tc>
          <w:tcPr>
            <w:tcW w:w="3079" w:type="dxa"/>
            <w:tcBorders>
              <w:top w:val="nil"/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Superoxide dismutase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-0.100 (0.416)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-0.104 (0.393)</w:t>
            </w:r>
          </w:p>
        </w:tc>
      </w:tr>
      <w:tr w:rsidR="0068075C" w:rsidRPr="00954AD1" w:rsidTr="00D015AD">
        <w:tc>
          <w:tcPr>
            <w:tcW w:w="3079" w:type="dxa"/>
            <w:tcBorders>
              <w:top w:val="nil"/>
              <w:bottom w:val="single" w:sz="4" w:space="0" w:color="auto"/>
            </w:tcBorders>
          </w:tcPr>
          <w:p w:rsidR="0068075C" w:rsidRPr="00954AD1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MDA</w:t>
            </w:r>
          </w:p>
          <w:p w:rsidR="0068075C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 xml:space="preserve">Age    </w:t>
            </w:r>
          </w:p>
          <w:p w:rsidR="0068075C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 xml:space="preserve">BMI </w:t>
            </w:r>
          </w:p>
          <w:p w:rsidR="0068075C" w:rsidRPr="00954AD1" w:rsidRDefault="0068075C" w:rsidP="00D015AD">
            <w:pPr>
              <w:spacing w:after="160" w:line="276" w:lineRule="auto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Hemoglobin concentration</w:t>
            </w:r>
            <w:r w:rsidRPr="00954AD1">
              <w:rPr>
                <w:rFonts w:ascii="Cambria" w:hAnsi="Cambria"/>
                <w:bCs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3082" w:type="dxa"/>
            <w:tcBorders>
              <w:top w:val="nil"/>
              <w:bottom w:val="single" w:sz="4" w:space="0" w:color="auto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-0.127 (0.298)</w:t>
            </w:r>
          </w:p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-0.301(0.010)</w:t>
            </w:r>
          </w:p>
          <w:p w:rsidR="0068075C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0.011(0.925)</w:t>
            </w:r>
          </w:p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0.024 (</w:t>
            </w:r>
            <w:r w:rsidRPr="001B1553">
              <w:rPr>
                <w:rFonts w:ascii="Times New Roman" w:hAnsi="Times New Roman" w:cs="Times New Roman"/>
              </w:rPr>
              <w:t>0.844</w:t>
            </w:r>
            <w:r>
              <w:rPr>
                <w:rFonts w:ascii="Cambria" w:hAnsi="Cambria"/>
                <w:bCs/>
                <w:sz w:val="24"/>
                <w:szCs w:val="24"/>
              </w:rPr>
              <w:t>)</w:t>
            </w:r>
          </w:p>
        </w:tc>
        <w:tc>
          <w:tcPr>
            <w:tcW w:w="3082" w:type="dxa"/>
            <w:tcBorders>
              <w:top w:val="nil"/>
              <w:bottom w:val="single" w:sz="4" w:space="0" w:color="auto"/>
            </w:tcBorders>
          </w:tcPr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-0.103(0.388)</w:t>
            </w:r>
          </w:p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-0.360 (0.001)</w:t>
            </w:r>
          </w:p>
          <w:p w:rsidR="0068075C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54AD1">
              <w:rPr>
                <w:rFonts w:ascii="Cambria" w:hAnsi="Cambria"/>
                <w:bCs/>
                <w:sz w:val="24"/>
                <w:szCs w:val="24"/>
              </w:rPr>
              <w:t>-0,029 (0.806)</w:t>
            </w:r>
          </w:p>
          <w:p w:rsidR="0068075C" w:rsidRPr="00954AD1" w:rsidRDefault="0068075C" w:rsidP="00D015AD">
            <w:pPr>
              <w:spacing w:after="160" w:line="276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0.044 (</w:t>
            </w:r>
            <w:r w:rsidRPr="001B1553">
              <w:rPr>
                <w:rFonts w:ascii="Times New Roman" w:hAnsi="Times New Roman" w:cs="Times New Roman"/>
              </w:rPr>
              <w:t>0.714</w:t>
            </w:r>
            <w:r>
              <w:rPr>
                <w:rFonts w:ascii="Cambria" w:hAnsi="Cambria"/>
                <w:bCs/>
                <w:sz w:val="24"/>
                <w:szCs w:val="24"/>
              </w:rPr>
              <w:t>)</w:t>
            </w:r>
          </w:p>
        </w:tc>
      </w:tr>
      <w:tr w:rsidR="0068075C" w:rsidRPr="00954AD1" w:rsidTr="00D015AD">
        <w:tc>
          <w:tcPr>
            <w:tcW w:w="92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8075C" w:rsidRDefault="0068075C" w:rsidP="00D015AD">
            <w:pPr>
              <w:spacing w:line="276" w:lineRule="auto"/>
              <w:rPr>
                <w:rFonts w:ascii="Cambria" w:hAnsi="Cambria"/>
                <w:bCs/>
                <w:sz w:val="24"/>
                <w:szCs w:val="24"/>
              </w:rPr>
            </w:pPr>
            <w:r w:rsidRPr="00545F58">
              <w:rPr>
                <w:rFonts w:ascii="Cambria" w:hAnsi="Cambria"/>
                <w:bCs/>
                <w:sz w:val="24"/>
                <w:szCs w:val="24"/>
              </w:rPr>
              <w:t>AMH – Anti-</w:t>
            </w:r>
            <w:proofErr w:type="spellStart"/>
            <w:r w:rsidRPr="00545F58">
              <w:rPr>
                <w:rFonts w:ascii="Cambria" w:hAnsi="Cambria"/>
                <w:bCs/>
                <w:sz w:val="24"/>
                <w:szCs w:val="24"/>
              </w:rPr>
              <w:t>Mullerian</w:t>
            </w:r>
            <w:proofErr w:type="spellEnd"/>
            <w:r w:rsidRPr="00545F58">
              <w:rPr>
                <w:rFonts w:ascii="Cambria" w:hAnsi="Cambria"/>
                <w:bCs/>
                <w:sz w:val="24"/>
                <w:szCs w:val="24"/>
              </w:rPr>
              <w:t xml:space="preserve"> Hormone, AFC – </w:t>
            </w:r>
            <w:proofErr w:type="spellStart"/>
            <w:r w:rsidRPr="00545F58">
              <w:rPr>
                <w:rFonts w:ascii="Cambria" w:hAnsi="Cambria"/>
                <w:bCs/>
                <w:sz w:val="24"/>
                <w:szCs w:val="24"/>
              </w:rPr>
              <w:t>Antral</w:t>
            </w:r>
            <w:proofErr w:type="spellEnd"/>
            <w:r w:rsidRPr="00545F58">
              <w:rPr>
                <w:rFonts w:ascii="Cambria" w:hAnsi="Cambria"/>
                <w:bCs/>
                <w:sz w:val="24"/>
                <w:szCs w:val="24"/>
              </w:rPr>
              <w:t xml:space="preserve"> Follicle Count</w:t>
            </w:r>
            <w:r>
              <w:rPr>
                <w:rFonts w:ascii="Cambria" w:hAnsi="Cambria"/>
                <w:bCs/>
                <w:sz w:val="24"/>
                <w:szCs w:val="24"/>
              </w:rPr>
              <w:t>, BMI – Body Mass Index</w:t>
            </w:r>
          </w:p>
          <w:p w:rsidR="0068075C" w:rsidRPr="00954AD1" w:rsidRDefault="0068075C" w:rsidP="00D015AD">
            <w:pPr>
              <w:spacing w:line="276" w:lineRule="auto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 xml:space="preserve">MDA – </w:t>
            </w:r>
            <w:proofErr w:type="spellStart"/>
            <w:r>
              <w:rPr>
                <w:rFonts w:ascii="Cambria" w:hAnsi="Cambria"/>
                <w:bCs/>
                <w:sz w:val="24"/>
                <w:szCs w:val="24"/>
              </w:rPr>
              <w:t>Malondialdehyde</w:t>
            </w:r>
            <w:proofErr w:type="spellEnd"/>
            <w:r>
              <w:rPr>
                <w:rFonts w:ascii="Cambria" w:hAnsi="Cambria"/>
                <w:bCs/>
                <w:sz w:val="24"/>
                <w:szCs w:val="24"/>
              </w:rPr>
              <w:t xml:space="preserve">, r - </w:t>
            </w:r>
            <w:r w:rsidRPr="00545F58">
              <w:rPr>
                <w:rFonts w:ascii="Cambria" w:hAnsi="Cambria"/>
                <w:bCs/>
                <w:sz w:val="24"/>
                <w:szCs w:val="24"/>
              </w:rPr>
              <w:t>Spearman’s correlation coefficient</w:t>
            </w:r>
          </w:p>
        </w:tc>
      </w:tr>
    </w:tbl>
    <w:p w:rsidR="004B5148" w:rsidRDefault="004B5148"/>
    <w:sectPr w:rsidR="004B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75C"/>
    <w:rsid w:val="004B5148"/>
    <w:rsid w:val="0068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CC693-E286-4BCC-B2C9-697EB64A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75C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75C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2026-01-02T21:33:00Z</dcterms:created>
  <dcterms:modified xsi:type="dcterms:W3CDTF">2026-01-02T21:34:00Z</dcterms:modified>
</cp:coreProperties>
</file>