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655" w:rsidRDefault="00E16D2F">
      <w:pPr>
        <w:spacing w:after="120" w:line="360" w:lineRule="auto"/>
        <w:jc w:val="both"/>
        <w:rPr>
          <w:rFonts w:ascii="Calibri" w:eastAsia="Calibri" w:hAnsi="Calibri" w:cs="Calibri"/>
          <w:b/>
          <w:bCs/>
          <w:sz w:val="36"/>
          <w:szCs w:val="36"/>
        </w:rPr>
      </w:pPr>
      <w:r>
        <w:rPr>
          <w:rFonts w:ascii="Calibri" w:eastAsia="Calibri" w:hAnsi="Calibri" w:cs="Calibri"/>
          <w:b/>
          <w:bCs/>
          <w:sz w:val="36"/>
          <w:szCs w:val="36"/>
        </w:rPr>
        <w:t>Supplementary Figures</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extent cx="5731200" cy="4102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200" cy="4102100"/>
                    </a:xfrm>
                    <a:prstGeom prst="rect">
                      <a:avLst/>
                    </a:prstGeom>
                    <a:ln/>
                  </pic:spPr>
                </pic:pic>
              </a:graphicData>
            </a:graphic>
          </wp:inline>
        </w:drawing>
      </w:r>
    </w:p>
    <w:p w:rsidR="00C96655" w:rsidRDefault="00C96655">
      <w:pPr>
        <w:spacing w:after="120" w:line="360" w:lineRule="auto"/>
        <w:jc w:val="both"/>
        <w:rPr>
          <w:rFonts w:ascii="Calibri" w:eastAsia="Calibri" w:hAnsi="Calibri" w:cs="Calibri"/>
          <w:sz w:val="24"/>
          <w:szCs w:val="24"/>
        </w:rPr>
      </w:pPr>
    </w:p>
    <w:p w:rsidR="00C96655" w:rsidRDefault="00E16D2F">
      <w:pPr>
        <w:spacing w:after="120" w:line="360" w:lineRule="auto"/>
        <w:jc w:val="both"/>
        <w:rPr>
          <w:rFonts w:ascii="Calibri" w:eastAsia="Calibri" w:hAnsi="Calibri" w:cs="Calibri"/>
          <w:b/>
          <w:bCs/>
          <w:sz w:val="24"/>
          <w:szCs w:val="24"/>
          <w:highlight w:val="yellow"/>
        </w:rPr>
      </w:pPr>
      <w:r>
        <w:rPr>
          <w:rFonts w:ascii="Calibri" w:eastAsia="Calibri" w:hAnsi="Calibri" w:cs="Calibri"/>
          <w:b/>
          <w:bCs/>
          <w:sz w:val="24"/>
          <w:szCs w:val="24"/>
        </w:rPr>
        <w:t>Supplementary Figure 1</w:t>
      </w:r>
      <w:r>
        <w:rPr>
          <w:rFonts w:ascii="Calibri" w:eastAsia="Calibri" w:hAnsi="Calibri" w:cs="Calibri"/>
          <w:sz w:val="24"/>
          <w:szCs w:val="24"/>
        </w:rPr>
        <w:t>. Analysis of cell viability and frequencies of dendritic cell and T helper cell subpopulations in thawed PBMCs from four blood donors. Panel A: On average, 86.1 % of gated cells were viable after thawing. Panels B–D: Frequencies of HLA-DR⁺ Lin⁻ cells (den</w:t>
      </w:r>
      <w:r>
        <w:rPr>
          <w:rFonts w:ascii="Calibri" w:eastAsia="Calibri" w:hAnsi="Calibri" w:cs="Calibri"/>
          <w:sz w:val="24"/>
          <w:szCs w:val="24"/>
        </w:rPr>
        <w:t xml:space="preserve">dritic cells), CD141⁻ </w:t>
      </w:r>
      <w:proofErr w:type="spellStart"/>
      <w:r>
        <w:rPr>
          <w:rFonts w:ascii="Calibri" w:eastAsia="Calibri" w:hAnsi="Calibri" w:cs="Calibri"/>
          <w:sz w:val="24"/>
          <w:szCs w:val="24"/>
        </w:rPr>
        <w:t>mDCs</w:t>
      </w:r>
      <w:proofErr w:type="spellEnd"/>
      <w:r>
        <w:rPr>
          <w:rFonts w:ascii="Calibri" w:eastAsia="Calibri" w:hAnsi="Calibri" w:cs="Calibri"/>
          <w:sz w:val="24"/>
          <w:szCs w:val="24"/>
        </w:rPr>
        <w:t xml:space="preserve">, and CD141⁺ </w:t>
      </w:r>
      <w:proofErr w:type="spellStart"/>
      <w:r>
        <w:rPr>
          <w:rFonts w:ascii="Calibri" w:eastAsia="Calibri" w:hAnsi="Calibri" w:cs="Calibri"/>
          <w:sz w:val="24"/>
          <w:szCs w:val="24"/>
        </w:rPr>
        <w:t>mDCs</w:t>
      </w:r>
      <w:proofErr w:type="spellEnd"/>
      <w:r>
        <w:rPr>
          <w:rFonts w:ascii="Calibri" w:eastAsia="Calibri" w:hAnsi="Calibri" w:cs="Calibri"/>
          <w:sz w:val="24"/>
          <w:szCs w:val="24"/>
        </w:rPr>
        <w:t>. Panels E–G: Frequencies of CD4⁺ T helper cells, T helper effector cells, and T regulatory cells.</w:t>
      </w:r>
    </w:p>
    <w:p w:rsidR="00C96655" w:rsidRDefault="00C96655">
      <w:pPr>
        <w:spacing w:after="120" w:line="360" w:lineRule="auto"/>
        <w:jc w:val="both"/>
        <w:rPr>
          <w:rFonts w:ascii="Calibri" w:eastAsia="Calibri" w:hAnsi="Calibri" w:cs="Calibri"/>
          <w:b/>
          <w:bCs/>
          <w:sz w:val="24"/>
          <w:szCs w:val="24"/>
        </w:rPr>
        <w:sectPr w:rsidR="00C96655" w:rsidSect="00E16D2F">
          <w:pgSz w:w="11909" w:h="16834"/>
          <w:pgMar w:top="1440" w:right="1440" w:bottom="1440" w:left="1440" w:header="720" w:footer="720" w:gutter="0"/>
          <w:pgNumType w:start="1"/>
          <w:cols w:space="720"/>
          <w:docGrid w:linePitch="299"/>
        </w:sectPr>
      </w:pPr>
    </w:p>
    <w:p w:rsidR="00C96655" w:rsidRDefault="00E16D2F">
      <w:pPr>
        <w:spacing w:after="120" w:line="360" w:lineRule="auto"/>
        <w:jc w:val="both"/>
        <w:rPr>
          <w:rFonts w:ascii="Calibri" w:eastAsia="Calibri" w:hAnsi="Calibri" w:cs="Calibri"/>
          <w:b/>
          <w:bCs/>
          <w:sz w:val="24"/>
          <w:szCs w:val="24"/>
        </w:rPr>
        <w:sectPr w:rsidR="00C96655" w:rsidSect="00E16D2F">
          <w:pgSz w:w="11909" w:h="16834"/>
          <w:pgMar w:top="850" w:right="1440" w:bottom="1360" w:left="1440" w:header="720" w:footer="720" w:gutter="0"/>
          <w:cols w:space="720"/>
          <w:docGrid w:linePitch="299"/>
        </w:sectPr>
      </w:pPr>
      <w:bookmarkStart w:id="0" w:name="_GoBack"/>
      <w:r>
        <w:rPr>
          <w:rFonts w:ascii="Calibri" w:eastAsia="Calibri" w:hAnsi="Calibri" w:cs="Calibri"/>
          <w:b/>
          <w:bCs/>
          <w:noProof/>
          <w:sz w:val="24"/>
          <w:szCs w:val="24"/>
        </w:rPr>
        <w:lastRenderedPageBreak/>
        <w:drawing>
          <wp:inline distT="114300" distB="114300" distL="114300" distR="114300">
            <wp:extent cx="5731200" cy="10033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731200" cy="10033000"/>
                    </a:xfrm>
                    <a:prstGeom prst="rect">
                      <a:avLst/>
                    </a:prstGeom>
                    <a:ln/>
                  </pic:spPr>
                </pic:pic>
              </a:graphicData>
            </a:graphic>
          </wp:inline>
        </w:drawing>
      </w:r>
      <w:bookmarkEnd w:id="0"/>
    </w:p>
    <w:p w:rsidR="00C96655" w:rsidRDefault="00C96655">
      <w:pPr>
        <w:spacing w:after="120" w:line="360" w:lineRule="auto"/>
        <w:jc w:val="both"/>
        <w:rPr>
          <w:rFonts w:ascii="Calibri" w:eastAsia="Calibri" w:hAnsi="Calibri" w:cs="Calibri"/>
          <w:b/>
          <w:bCs/>
          <w:sz w:val="24"/>
          <w:szCs w:val="24"/>
        </w:rPr>
      </w:pP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b/>
          <w:bCs/>
          <w:sz w:val="24"/>
          <w:szCs w:val="24"/>
        </w:rPr>
        <w:t xml:space="preserve">Supplementary Figure 2. </w:t>
      </w:r>
      <w:r>
        <w:rPr>
          <w:rFonts w:ascii="Calibri" w:eastAsia="Calibri" w:hAnsi="Calibri" w:cs="Calibri"/>
          <w:sz w:val="24"/>
          <w:szCs w:val="24"/>
        </w:rPr>
        <w:t>Forest plots of proteomics and metabolomics association an</w:t>
      </w:r>
      <w:r>
        <w:rPr>
          <w:rFonts w:ascii="Calibri" w:eastAsia="Calibri" w:hAnsi="Calibri" w:cs="Calibri"/>
          <w:sz w:val="24"/>
          <w:szCs w:val="24"/>
        </w:rPr>
        <w:t>alysis results with standard errors. Top ten associations are shown with the lowest FDR values for each covariate for metabolomics and proteomics. Metabolomics and proteomics values for female sex (A, B), age (C, D) and BMI (E, F).</w:t>
      </w:r>
    </w:p>
    <w:p w:rsidR="00C96655" w:rsidRDefault="00C96655">
      <w:pPr>
        <w:spacing w:after="120" w:line="360" w:lineRule="auto"/>
        <w:jc w:val="both"/>
        <w:rPr>
          <w:rFonts w:ascii="Calibri" w:eastAsia="Calibri" w:hAnsi="Calibri" w:cs="Calibri"/>
          <w:sz w:val="24"/>
          <w:szCs w:val="24"/>
        </w:rPr>
      </w:pP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extent cx="6483596" cy="192672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483596" cy="1926729"/>
                    </a:xfrm>
                    <a:prstGeom prst="rect">
                      <a:avLst/>
                    </a:prstGeom>
                    <a:ln/>
                  </pic:spPr>
                </pic:pic>
              </a:graphicData>
            </a:graphic>
          </wp:inline>
        </w:drawing>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b/>
          <w:bCs/>
          <w:sz w:val="24"/>
          <w:szCs w:val="24"/>
        </w:rPr>
        <w:t xml:space="preserve">Supplementary Figure </w:t>
      </w:r>
      <w:r>
        <w:rPr>
          <w:rFonts w:ascii="Calibri" w:eastAsia="Calibri" w:hAnsi="Calibri" w:cs="Calibri"/>
          <w:b/>
          <w:bCs/>
          <w:sz w:val="24"/>
          <w:szCs w:val="24"/>
        </w:rPr>
        <w:t xml:space="preserve">3. </w:t>
      </w:r>
      <w:r>
        <w:rPr>
          <w:rFonts w:ascii="Calibri" w:eastAsia="Calibri" w:hAnsi="Calibri" w:cs="Calibri"/>
          <w:sz w:val="24"/>
          <w:szCs w:val="24"/>
        </w:rPr>
        <w:t xml:space="preserve">Levels of three PFAS compounds PFOS, PFOA and </w:t>
      </w:r>
      <w:proofErr w:type="spellStart"/>
      <w:r>
        <w:rPr>
          <w:rFonts w:ascii="Calibri" w:eastAsia="Calibri" w:hAnsi="Calibri" w:cs="Calibri"/>
          <w:sz w:val="24"/>
          <w:szCs w:val="24"/>
        </w:rPr>
        <w:t>PFHxS</w:t>
      </w:r>
      <w:proofErr w:type="spellEnd"/>
      <w:r>
        <w:rPr>
          <w:rFonts w:ascii="Calibri" w:eastAsia="Calibri" w:hAnsi="Calibri" w:cs="Calibri"/>
          <w:sz w:val="24"/>
          <w:szCs w:val="24"/>
        </w:rPr>
        <w:t xml:space="preserve"> show a decreasing trend with increasing numbers of blood donations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Log transformed PFAS concentrations are plotted against blood donation frequency, with the fitted trend line shown in red.</w:t>
      </w:r>
    </w:p>
    <w:p w:rsidR="00C96655" w:rsidRDefault="00C96655">
      <w:pPr>
        <w:spacing w:after="120" w:line="360" w:lineRule="auto"/>
        <w:jc w:val="both"/>
        <w:rPr>
          <w:rFonts w:ascii="Calibri" w:eastAsia="Calibri" w:hAnsi="Calibri" w:cs="Calibri"/>
          <w:sz w:val="24"/>
          <w:szCs w:val="24"/>
        </w:rPr>
      </w:pPr>
    </w:p>
    <w:p w:rsidR="00C96655" w:rsidRDefault="00E16D2F">
      <w:pPr>
        <w:spacing w:after="120" w:line="360" w:lineRule="auto"/>
        <w:jc w:val="both"/>
        <w:rPr>
          <w:rFonts w:ascii="Calibri" w:eastAsia="Calibri" w:hAnsi="Calibri" w:cs="Calibri"/>
          <w:b/>
          <w:bCs/>
          <w:sz w:val="28"/>
          <w:szCs w:val="28"/>
        </w:rPr>
      </w:pPr>
      <w:r>
        <w:rPr>
          <w:rFonts w:ascii="Calibri" w:eastAsia="Calibri" w:hAnsi="Calibri" w:cs="Calibri"/>
          <w:b/>
          <w:bCs/>
          <w:sz w:val="28"/>
          <w:szCs w:val="28"/>
        </w:rPr>
        <w:t>Suppleme</w:t>
      </w:r>
      <w:r>
        <w:rPr>
          <w:rFonts w:ascii="Calibri" w:eastAsia="Calibri" w:hAnsi="Calibri" w:cs="Calibri"/>
          <w:b/>
          <w:bCs/>
          <w:sz w:val="28"/>
          <w:szCs w:val="28"/>
        </w:rPr>
        <w:t>ntary Tables S1-S11</w:t>
      </w:r>
    </w:p>
    <w:p w:rsidR="00C96655" w:rsidRDefault="00E16D2F">
      <w:pPr>
        <w:spacing w:after="120" w:line="360" w:lineRule="auto"/>
        <w:jc w:val="both"/>
        <w:rPr>
          <w:rFonts w:ascii="Calibri" w:eastAsia="Calibri" w:hAnsi="Calibri" w:cs="Calibri"/>
          <w:b/>
          <w:bCs/>
          <w:sz w:val="34"/>
          <w:szCs w:val="34"/>
        </w:rPr>
      </w:pPr>
      <w:r>
        <w:rPr>
          <w:rFonts w:ascii="Calibri" w:eastAsia="Calibri" w:hAnsi="Calibri" w:cs="Calibri"/>
          <w:sz w:val="24"/>
          <w:szCs w:val="24"/>
        </w:rPr>
        <w:t xml:space="preserve">Association analysis results and other supplementary tables can be found in </w:t>
      </w:r>
      <w:r>
        <w:rPr>
          <w:rFonts w:ascii="Calibri" w:eastAsia="Calibri" w:hAnsi="Calibri" w:cs="Calibri"/>
          <w:b/>
          <w:bCs/>
          <w:sz w:val="24"/>
          <w:szCs w:val="24"/>
        </w:rPr>
        <w:t>Supplementary Tables S1-11</w:t>
      </w:r>
      <w:r>
        <w:rPr>
          <w:rFonts w:ascii="Calibri" w:eastAsia="Calibri" w:hAnsi="Calibri" w:cs="Calibri"/>
          <w:sz w:val="24"/>
          <w:szCs w:val="24"/>
        </w:rPr>
        <w:t xml:space="preserve">. All studied parameters for metabolomics, proteomics, clinical chemistry and complete blood count can be found in </w:t>
      </w:r>
      <w:r>
        <w:rPr>
          <w:rFonts w:ascii="Calibri" w:eastAsia="Calibri" w:hAnsi="Calibri" w:cs="Calibri"/>
          <w:b/>
          <w:bCs/>
          <w:sz w:val="24"/>
          <w:szCs w:val="24"/>
        </w:rPr>
        <w:t>Supplementary Table S3</w:t>
      </w:r>
      <w:r>
        <w:rPr>
          <w:rFonts w:ascii="Calibri" w:eastAsia="Calibri" w:hAnsi="Calibri" w:cs="Calibri"/>
          <w:sz w:val="24"/>
          <w:szCs w:val="24"/>
        </w:rPr>
        <w:t xml:space="preserve">. </w:t>
      </w:r>
    </w:p>
    <w:p w:rsidR="00C96655" w:rsidRDefault="00C96655">
      <w:pPr>
        <w:spacing w:after="120" w:line="360" w:lineRule="auto"/>
        <w:jc w:val="both"/>
        <w:rPr>
          <w:rFonts w:ascii="Calibri" w:eastAsia="Calibri" w:hAnsi="Calibri" w:cs="Calibri"/>
          <w:b/>
          <w:bCs/>
          <w:sz w:val="34"/>
          <w:szCs w:val="34"/>
        </w:rPr>
      </w:pPr>
    </w:p>
    <w:p w:rsidR="00C96655" w:rsidRDefault="00E16D2F">
      <w:pPr>
        <w:spacing w:after="120" w:line="360" w:lineRule="auto"/>
        <w:jc w:val="both"/>
        <w:rPr>
          <w:rFonts w:ascii="Calibri" w:eastAsia="Calibri" w:hAnsi="Calibri" w:cs="Calibri"/>
          <w:b/>
          <w:bCs/>
          <w:sz w:val="34"/>
          <w:szCs w:val="34"/>
        </w:rPr>
      </w:pPr>
      <w:r>
        <w:rPr>
          <w:rFonts w:ascii="Calibri" w:eastAsia="Calibri" w:hAnsi="Calibri" w:cs="Calibri"/>
          <w:b/>
          <w:bCs/>
          <w:sz w:val="34"/>
          <w:szCs w:val="34"/>
        </w:rPr>
        <w:t>Supplementary Methods</w:t>
      </w:r>
    </w:p>
    <w:p w:rsidR="00C96655" w:rsidRDefault="00E16D2F">
      <w:pPr>
        <w:spacing w:after="120" w:line="360" w:lineRule="auto"/>
        <w:jc w:val="both"/>
        <w:rPr>
          <w:rFonts w:ascii="Calibri" w:eastAsia="Calibri" w:hAnsi="Calibri" w:cs="Calibri"/>
          <w:b/>
          <w:bCs/>
          <w:sz w:val="24"/>
          <w:szCs w:val="24"/>
        </w:rPr>
      </w:pPr>
      <w:r>
        <w:rPr>
          <w:rFonts w:ascii="Calibri" w:eastAsia="Calibri" w:hAnsi="Calibri" w:cs="Calibri"/>
          <w:b/>
          <w:bCs/>
          <w:sz w:val="24"/>
          <w:szCs w:val="24"/>
        </w:rPr>
        <w:t>Genotyping of the samples</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The biobank samples were genotyped as part of the </w:t>
      </w:r>
      <w:proofErr w:type="spellStart"/>
      <w:r>
        <w:rPr>
          <w:rFonts w:ascii="Calibri" w:eastAsia="Calibri" w:hAnsi="Calibri" w:cs="Calibri"/>
          <w:sz w:val="24"/>
          <w:szCs w:val="24"/>
        </w:rPr>
        <w:t>FinnGen</w:t>
      </w:r>
      <w:proofErr w:type="spellEnd"/>
      <w:r>
        <w:rPr>
          <w:rFonts w:ascii="Calibri" w:eastAsia="Calibri" w:hAnsi="Calibri" w:cs="Calibri"/>
          <w:sz w:val="24"/>
          <w:szCs w:val="24"/>
        </w:rPr>
        <w:t xml:space="preserve"> project with the </w:t>
      </w:r>
      <w:proofErr w:type="spellStart"/>
      <w:r>
        <w:rPr>
          <w:rFonts w:ascii="Calibri" w:eastAsia="Calibri" w:hAnsi="Calibri" w:cs="Calibri"/>
          <w:sz w:val="24"/>
          <w:szCs w:val="24"/>
        </w:rPr>
        <w:t>FinnGen</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ThermoFisher</w:t>
      </w:r>
      <w:proofErr w:type="spellEnd"/>
      <w:r>
        <w:rPr>
          <w:rFonts w:ascii="Calibri" w:eastAsia="Calibri" w:hAnsi="Calibri" w:cs="Calibri"/>
          <w:sz w:val="24"/>
          <w:szCs w:val="24"/>
        </w:rPr>
        <w:t xml:space="preserve"> Axiom custom array v1 or v2. Genotyping, quality control, and genome </w:t>
      </w:r>
      <w:r>
        <w:rPr>
          <w:rFonts w:ascii="Calibri" w:eastAsia="Calibri" w:hAnsi="Calibri" w:cs="Calibri"/>
          <w:sz w:val="24"/>
          <w:szCs w:val="24"/>
        </w:rPr>
        <w:lastRenderedPageBreak/>
        <w:t>imputation protoc</w:t>
      </w:r>
      <w:r>
        <w:rPr>
          <w:rFonts w:ascii="Calibri" w:eastAsia="Calibri" w:hAnsi="Calibri" w:cs="Calibri"/>
          <w:sz w:val="24"/>
          <w:szCs w:val="24"/>
        </w:rPr>
        <w:t xml:space="preserve">ols, R11, are described in detail in the </w:t>
      </w:r>
      <w:proofErr w:type="spellStart"/>
      <w:r>
        <w:rPr>
          <w:rFonts w:ascii="Calibri" w:eastAsia="Calibri" w:hAnsi="Calibri" w:cs="Calibri"/>
          <w:sz w:val="24"/>
          <w:szCs w:val="24"/>
        </w:rPr>
        <w:t>FinnGen</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Gitbook</w:t>
      </w:r>
      <w:proofErr w:type="spellEnd"/>
      <w:r>
        <w:rPr>
          <w:rFonts w:ascii="Calibri" w:eastAsia="Calibri" w:hAnsi="Calibri" w:cs="Calibri"/>
          <w:sz w:val="24"/>
          <w:szCs w:val="24"/>
        </w:rPr>
        <w:t xml:space="preserve"> (https://finngen.gitbook.io/documentation). In brief, genotype calling was performed with the AxiomGT1 algorithm. Prior to the imputation, genotyped samples were pre-phased with Eagle 2.3.5 with the </w:t>
      </w:r>
      <w:r>
        <w:rPr>
          <w:rFonts w:ascii="Calibri" w:eastAsia="Calibri" w:hAnsi="Calibri" w:cs="Calibri"/>
          <w:sz w:val="24"/>
          <w:szCs w:val="24"/>
        </w:rPr>
        <w:t xml:space="preserve">default parameters, except the number of conditioning haplotypes was set to 20,000. Genotype imputation was performed using the population-specific imputation reference panel </w:t>
      </w:r>
      <w:proofErr w:type="spellStart"/>
      <w:r>
        <w:rPr>
          <w:rFonts w:ascii="Calibri" w:eastAsia="Calibri" w:hAnsi="Calibri" w:cs="Calibri"/>
          <w:sz w:val="24"/>
          <w:szCs w:val="24"/>
        </w:rPr>
        <w:t>SISu</w:t>
      </w:r>
      <w:proofErr w:type="spellEnd"/>
      <w:r>
        <w:rPr>
          <w:rFonts w:ascii="Calibri" w:eastAsia="Calibri" w:hAnsi="Calibri" w:cs="Calibri"/>
          <w:sz w:val="24"/>
          <w:szCs w:val="24"/>
        </w:rPr>
        <w:t xml:space="preserve"> v3 including 3,775 high coverage (25–30x) whole genome sequence data, with B</w:t>
      </w:r>
      <w:r>
        <w:rPr>
          <w:rFonts w:ascii="Calibri" w:eastAsia="Calibri" w:hAnsi="Calibri" w:cs="Calibri"/>
          <w:sz w:val="24"/>
          <w:szCs w:val="24"/>
        </w:rPr>
        <w:t>eagle 4.1 (version 08Jun17.d8b). Genotypes were then returned to the Blood Service Biobank.</w:t>
      </w:r>
    </w:p>
    <w:p w:rsidR="00C96655" w:rsidRDefault="00C96655">
      <w:pPr>
        <w:spacing w:after="120" w:line="360" w:lineRule="auto"/>
        <w:jc w:val="both"/>
        <w:rPr>
          <w:rFonts w:ascii="Calibri" w:eastAsia="Calibri" w:hAnsi="Calibri" w:cs="Calibri"/>
          <w:b/>
          <w:bCs/>
          <w:sz w:val="24"/>
          <w:szCs w:val="24"/>
        </w:rPr>
      </w:pPr>
    </w:p>
    <w:p w:rsidR="00C96655" w:rsidRDefault="00E16D2F">
      <w:pPr>
        <w:spacing w:after="120" w:line="360" w:lineRule="auto"/>
        <w:jc w:val="both"/>
        <w:rPr>
          <w:rFonts w:ascii="Calibri" w:eastAsia="Calibri" w:hAnsi="Calibri" w:cs="Calibri"/>
          <w:b/>
          <w:bCs/>
          <w:sz w:val="24"/>
          <w:szCs w:val="24"/>
        </w:rPr>
      </w:pPr>
      <w:r>
        <w:rPr>
          <w:rFonts w:ascii="Calibri" w:eastAsia="Calibri" w:hAnsi="Calibri" w:cs="Calibri"/>
          <w:b/>
          <w:bCs/>
          <w:sz w:val="24"/>
          <w:szCs w:val="24"/>
        </w:rPr>
        <w:t>Sample collection</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The collection of samples from </w:t>
      </w:r>
      <w:proofErr w:type="spellStart"/>
      <w:r>
        <w:rPr>
          <w:rFonts w:ascii="Calibri" w:eastAsia="Calibri" w:hAnsi="Calibri" w:cs="Calibri"/>
          <w:sz w:val="24"/>
          <w:szCs w:val="24"/>
        </w:rPr>
        <w:t>FinnGen</w:t>
      </w:r>
      <w:proofErr w:type="spellEnd"/>
      <w:r>
        <w:rPr>
          <w:rFonts w:ascii="Calibri" w:eastAsia="Calibri" w:hAnsi="Calibri" w:cs="Calibri"/>
          <w:sz w:val="24"/>
          <w:szCs w:val="24"/>
        </w:rPr>
        <w:t>-genotyped blood donors was done whenever they visited the Blood Service for their regular blood donation v</w:t>
      </w:r>
      <w:r>
        <w:rPr>
          <w:rFonts w:ascii="Calibri" w:eastAsia="Calibri" w:hAnsi="Calibri" w:cs="Calibri"/>
          <w:sz w:val="24"/>
          <w:szCs w:val="24"/>
        </w:rPr>
        <w:t xml:space="preserve">isit. No specific recalls were done.  The sample collection was done in the Greater Helsinki area at three donation sites to ensure fast sample processing. All samples were processed within 4 hours from the time of collection at the donation site. This is </w:t>
      </w:r>
      <w:r>
        <w:rPr>
          <w:rFonts w:ascii="Calibri" w:eastAsia="Calibri" w:hAnsi="Calibri" w:cs="Calibri"/>
          <w:sz w:val="24"/>
          <w:szCs w:val="24"/>
        </w:rPr>
        <w:t>a critical time window for several of the downstream analyses of this study, especially the metabolomics and proteomics analyses. To increase the geographical coverage, ~20% of the samples were collected at the blood donation sites of the cities of Oulu (N</w:t>
      </w:r>
      <w:r>
        <w:rPr>
          <w:rFonts w:ascii="Calibri" w:eastAsia="Calibri" w:hAnsi="Calibri" w:cs="Calibri"/>
          <w:sz w:val="24"/>
          <w:szCs w:val="24"/>
        </w:rPr>
        <w:t xml:space="preserve">orth West Finland) and Kuopio (North East Finland). The plasma and serum samples were prepared on site following the same protocols in all locations. </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Venous whole blood samples for plasma and serum aliquots were collected from the diversion pouch without </w:t>
      </w:r>
      <w:r>
        <w:rPr>
          <w:rFonts w:ascii="Calibri" w:eastAsia="Calibri" w:hAnsi="Calibri" w:cs="Calibri"/>
          <w:sz w:val="24"/>
          <w:szCs w:val="24"/>
        </w:rPr>
        <w:t xml:space="preserve">anticoagulant immediately after blood donation. For plasma, two 4 ml EDTA tubes and one 4 ml serum tube were collected. Both plasma and serum tubes were centrifuged for 10 minutes at 2000 x g, and samples were subsequently aliquoted in 230 </w:t>
      </w:r>
      <w:proofErr w:type="spellStart"/>
      <w:r>
        <w:rPr>
          <w:rFonts w:ascii="Calibri" w:eastAsia="Calibri" w:hAnsi="Calibri" w:cs="Calibri"/>
          <w:sz w:val="24"/>
          <w:szCs w:val="24"/>
        </w:rPr>
        <w:t>μL</w:t>
      </w:r>
      <w:proofErr w:type="spellEnd"/>
      <w:r>
        <w:rPr>
          <w:rFonts w:ascii="Calibri" w:eastAsia="Calibri" w:hAnsi="Calibri" w:cs="Calibri"/>
          <w:sz w:val="24"/>
          <w:szCs w:val="24"/>
        </w:rPr>
        <w:t xml:space="preserve"> aliquots in </w:t>
      </w:r>
      <w:proofErr w:type="spellStart"/>
      <w:r>
        <w:rPr>
          <w:rFonts w:ascii="Calibri" w:eastAsia="Calibri" w:hAnsi="Calibri" w:cs="Calibri"/>
          <w:sz w:val="24"/>
          <w:szCs w:val="24"/>
        </w:rPr>
        <w:t>F</w:t>
      </w:r>
      <w:r>
        <w:rPr>
          <w:rFonts w:ascii="Calibri" w:eastAsia="Calibri" w:hAnsi="Calibri" w:cs="Calibri"/>
          <w:sz w:val="24"/>
          <w:szCs w:val="24"/>
        </w:rPr>
        <w:t>luidX</w:t>
      </w:r>
      <w:proofErr w:type="spellEnd"/>
      <w:r>
        <w:rPr>
          <w:rFonts w:ascii="Calibri" w:eastAsia="Calibri" w:hAnsi="Calibri" w:cs="Calibri"/>
          <w:sz w:val="24"/>
          <w:szCs w:val="24"/>
        </w:rPr>
        <w:t xml:space="preserve"> 0.26 ml </w:t>
      </w:r>
      <w:proofErr w:type="spellStart"/>
      <w:r>
        <w:rPr>
          <w:rFonts w:ascii="Calibri" w:eastAsia="Calibri" w:hAnsi="Calibri" w:cs="Calibri"/>
          <w:sz w:val="24"/>
          <w:szCs w:val="24"/>
        </w:rPr>
        <w:t>cryotubes</w:t>
      </w:r>
      <w:proofErr w:type="spellEnd"/>
      <w:r>
        <w:rPr>
          <w:rFonts w:ascii="Calibri" w:eastAsia="Calibri" w:hAnsi="Calibri" w:cs="Calibri"/>
          <w:sz w:val="24"/>
          <w:szCs w:val="24"/>
        </w:rPr>
        <w:t xml:space="preserve"> with 2D barcodes (Cat. No. 68-0303-01). </w:t>
      </w:r>
      <w:proofErr w:type="spellStart"/>
      <w:r>
        <w:rPr>
          <w:rFonts w:ascii="Calibri" w:eastAsia="Calibri" w:hAnsi="Calibri" w:cs="Calibri"/>
          <w:sz w:val="24"/>
          <w:szCs w:val="24"/>
        </w:rPr>
        <w:t>Aliquoting</w:t>
      </w:r>
      <w:proofErr w:type="spellEnd"/>
      <w:r>
        <w:rPr>
          <w:rFonts w:ascii="Calibri" w:eastAsia="Calibri" w:hAnsi="Calibri" w:cs="Calibri"/>
          <w:sz w:val="24"/>
          <w:szCs w:val="24"/>
        </w:rPr>
        <w:t xml:space="preserve"> of plasma and plasma and serum was performed on a Hamilton Easy Blood Star liquid handling robot. The samples were tested and were all negative for human immunodeficiency virus (HIV</w:t>
      </w:r>
      <w:r>
        <w:rPr>
          <w:rFonts w:ascii="Calibri" w:eastAsia="Calibri" w:hAnsi="Calibri" w:cs="Calibri"/>
          <w:sz w:val="24"/>
          <w:szCs w:val="24"/>
        </w:rPr>
        <w:t>), hepatitis A, B and C, viruses including parvovirus, and syphilis.</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Venous whole blood samples were collected from the diversion pouch immediately after blood donation and used for harvesting the buffy coat (BC). Peripheral blood mononuclear cells (PBMCs)</w:t>
      </w:r>
      <w:r>
        <w:rPr>
          <w:rFonts w:ascii="Calibri" w:eastAsia="Calibri" w:hAnsi="Calibri" w:cs="Calibri"/>
          <w:sz w:val="24"/>
          <w:szCs w:val="24"/>
        </w:rPr>
        <w:t xml:space="preserve"> were isolated from BCs with </w:t>
      </w:r>
      <w:proofErr w:type="spellStart"/>
      <w:r>
        <w:rPr>
          <w:rFonts w:ascii="Calibri" w:eastAsia="Calibri" w:hAnsi="Calibri" w:cs="Calibri"/>
          <w:sz w:val="24"/>
          <w:szCs w:val="24"/>
        </w:rPr>
        <w:t>Ficoll</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isogradient</w:t>
      </w:r>
      <w:proofErr w:type="spellEnd"/>
      <w:r>
        <w:rPr>
          <w:rFonts w:ascii="Calibri" w:eastAsia="Calibri" w:hAnsi="Calibri" w:cs="Calibri"/>
          <w:sz w:val="24"/>
          <w:szCs w:val="24"/>
        </w:rPr>
        <w:t xml:space="preserve"> centrifugation. The BC </w:t>
      </w:r>
      <w:r>
        <w:rPr>
          <w:rFonts w:ascii="Calibri" w:eastAsia="Calibri" w:hAnsi="Calibri" w:cs="Calibri"/>
          <w:sz w:val="24"/>
          <w:szCs w:val="24"/>
        </w:rPr>
        <w:lastRenderedPageBreak/>
        <w:t xml:space="preserve">preparation was diluted in 1:1 ratio with Dulbecco’s Phosphate Buffered Saline without Ca and Mg (DPBS, </w:t>
      </w:r>
      <w:proofErr w:type="spellStart"/>
      <w:r>
        <w:rPr>
          <w:rFonts w:ascii="Calibri" w:eastAsia="Calibri" w:hAnsi="Calibri" w:cs="Calibri"/>
          <w:sz w:val="24"/>
          <w:szCs w:val="24"/>
        </w:rPr>
        <w:t>Gibco</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Cat</w:t>
      </w:r>
      <w:proofErr w:type="gramEnd"/>
      <w:r>
        <w:rPr>
          <w:rFonts w:ascii="Calibri" w:eastAsia="Calibri" w:hAnsi="Calibri" w:cs="Calibri"/>
          <w:sz w:val="24"/>
          <w:szCs w:val="24"/>
        </w:rPr>
        <w:t xml:space="preserve">. NoA12856-01). The diluted blood was placed on top of 20 ml of </w:t>
      </w:r>
      <w:proofErr w:type="spellStart"/>
      <w:r>
        <w:rPr>
          <w:rFonts w:ascii="Calibri" w:eastAsia="Calibri" w:hAnsi="Calibri" w:cs="Calibri"/>
          <w:sz w:val="24"/>
          <w:szCs w:val="24"/>
        </w:rPr>
        <w:t>Ficoll</w:t>
      </w:r>
      <w:proofErr w:type="spellEnd"/>
      <w:r>
        <w:rPr>
          <w:rFonts w:ascii="Calibri" w:eastAsia="Calibri" w:hAnsi="Calibri" w:cs="Calibri"/>
          <w:sz w:val="24"/>
          <w:szCs w:val="24"/>
        </w:rPr>
        <w:t xml:space="preserve"> </w:t>
      </w:r>
      <w:r>
        <w:rPr>
          <w:rFonts w:ascii="Calibri" w:eastAsia="Calibri" w:hAnsi="Calibri" w:cs="Calibri"/>
          <w:sz w:val="24"/>
          <w:szCs w:val="24"/>
        </w:rPr>
        <w:t xml:space="preserve">(GE Healthcare, </w:t>
      </w:r>
      <w:proofErr w:type="spellStart"/>
      <w:r>
        <w:rPr>
          <w:rFonts w:ascii="Calibri" w:eastAsia="Calibri" w:hAnsi="Calibri" w:cs="Calibri"/>
          <w:sz w:val="24"/>
          <w:szCs w:val="24"/>
        </w:rPr>
        <w:t>Cat.No</w:t>
      </w:r>
      <w:proofErr w:type="spellEnd"/>
      <w:r>
        <w:rPr>
          <w:rFonts w:ascii="Calibri" w:eastAsia="Calibri" w:hAnsi="Calibri" w:cs="Calibri"/>
          <w:sz w:val="24"/>
          <w:szCs w:val="24"/>
        </w:rPr>
        <w:t>. 17-1440-03) in two 50 ml conical Falcon tubes. The tubes were centrifuged for 25 minutes at 800 x g (Eppendorf 5810R) at room temperature (RT) with no brake during the deceleration step. The upper plasma layer was removed by aspirat</w:t>
      </w:r>
      <w:r>
        <w:rPr>
          <w:rFonts w:ascii="Calibri" w:eastAsia="Calibri" w:hAnsi="Calibri" w:cs="Calibri"/>
          <w:sz w:val="24"/>
          <w:szCs w:val="24"/>
        </w:rPr>
        <w:t>ing with a sterile glass Pasteur pipette. Then, the white layer containing the mononuclear cells was collected with a sterile individually-packed plastic Pasteur pipette. The cells were then transferred into a new 50 ml conical Falcon tube containing 40 ml</w:t>
      </w:r>
      <w:r>
        <w:rPr>
          <w:rFonts w:ascii="Calibri" w:eastAsia="Calibri" w:hAnsi="Calibri" w:cs="Calibri"/>
          <w:sz w:val="24"/>
          <w:szCs w:val="24"/>
        </w:rPr>
        <w:t xml:space="preserve"> DPBS. The tube was then filled to 50ml of DPBS and centrifuged at 300g for five minutes at RT. The supernatant was carefully removed by aspiration and the cell pellet was </w:t>
      </w:r>
      <w:proofErr w:type="spellStart"/>
      <w:r>
        <w:rPr>
          <w:rFonts w:ascii="Calibri" w:eastAsia="Calibri" w:hAnsi="Calibri" w:cs="Calibri"/>
          <w:sz w:val="24"/>
          <w:szCs w:val="24"/>
        </w:rPr>
        <w:t>resuspended</w:t>
      </w:r>
      <w:proofErr w:type="spellEnd"/>
      <w:r>
        <w:rPr>
          <w:rFonts w:ascii="Calibri" w:eastAsia="Calibri" w:hAnsi="Calibri" w:cs="Calibri"/>
          <w:sz w:val="24"/>
          <w:szCs w:val="24"/>
        </w:rPr>
        <w:t xml:space="preserve"> in 50 ml of DPBS and the cells were spun down as in the previous step. I</w:t>
      </w:r>
      <w:r>
        <w:rPr>
          <w:rFonts w:ascii="Calibri" w:eastAsia="Calibri" w:hAnsi="Calibri" w:cs="Calibri"/>
          <w:sz w:val="24"/>
          <w:szCs w:val="24"/>
        </w:rPr>
        <w:t>n total, the cells were washed three times with 50 ml of DPBS. After the washing steps, the cells were gently suspended in 3 ml of RPMI1640 cell culture medium supplemented with 5% of heat-inactivated human AB serum, 2mM L-glutamine and 1% of Pen-Strep. Th</w:t>
      </w:r>
      <w:r>
        <w:rPr>
          <w:rFonts w:ascii="Calibri" w:eastAsia="Calibri" w:hAnsi="Calibri" w:cs="Calibri"/>
          <w:sz w:val="24"/>
          <w:szCs w:val="24"/>
        </w:rPr>
        <w:t xml:space="preserve">e cells were counted with an automated Bio-Rad TC20 cell counter or </w:t>
      </w:r>
      <w:proofErr w:type="spellStart"/>
      <w:r>
        <w:rPr>
          <w:rFonts w:ascii="Calibri" w:eastAsia="Calibri" w:hAnsi="Calibri" w:cs="Calibri"/>
          <w:sz w:val="24"/>
          <w:szCs w:val="24"/>
        </w:rPr>
        <w:t>Burker</w:t>
      </w:r>
      <w:proofErr w:type="spellEnd"/>
      <w:r>
        <w:rPr>
          <w:rFonts w:ascii="Calibri" w:eastAsia="Calibri" w:hAnsi="Calibri" w:cs="Calibri"/>
          <w:sz w:val="24"/>
          <w:szCs w:val="24"/>
        </w:rPr>
        <w:t xml:space="preserve"> chamber with trypan blue staining. To minimize variation across the samples the same serum batch was used for isolation and freezing of PBMC. The serum was aliquoted in 3-5 ml batch</w:t>
      </w:r>
      <w:r>
        <w:rPr>
          <w:rFonts w:ascii="Calibri" w:eastAsia="Calibri" w:hAnsi="Calibri" w:cs="Calibri"/>
          <w:sz w:val="24"/>
          <w:szCs w:val="24"/>
        </w:rPr>
        <w:t xml:space="preserve">es and kept frozen at -80 </w:t>
      </w:r>
      <w:proofErr w:type="spellStart"/>
      <w:r>
        <w:rPr>
          <w:rFonts w:ascii="Calibri" w:eastAsia="Calibri" w:hAnsi="Calibri" w:cs="Calibri"/>
          <w:sz w:val="24"/>
          <w:szCs w:val="24"/>
        </w:rPr>
        <w:t>centigrades</w:t>
      </w:r>
      <w:proofErr w:type="spellEnd"/>
      <w:r>
        <w:rPr>
          <w:rFonts w:ascii="Calibri" w:eastAsia="Calibri" w:hAnsi="Calibri" w:cs="Calibri"/>
          <w:sz w:val="24"/>
          <w:szCs w:val="24"/>
        </w:rPr>
        <w:t xml:space="preserve"> until used.</w:t>
      </w:r>
    </w:p>
    <w:p w:rsidR="00C96655" w:rsidRDefault="00C96655">
      <w:pPr>
        <w:spacing w:after="120" w:line="360" w:lineRule="auto"/>
        <w:jc w:val="both"/>
        <w:rPr>
          <w:rFonts w:ascii="Calibri" w:eastAsia="Calibri" w:hAnsi="Calibri" w:cs="Calibri"/>
          <w:b/>
          <w:bCs/>
          <w:sz w:val="24"/>
          <w:szCs w:val="24"/>
        </w:rPr>
      </w:pPr>
    </w:p>
    <w:p w:rsidR="00C96655" w:rsidRDefault="00E16D2F">
      <w:pPr>
        <w:spacing w:after="120" w:line="360" w:lineRule="auto"/>
        <w:jc w:val="both"/>
        <w:rPr>
          <w:rFonts w:ascii="Calibri" w:eastAsia="Calibri" w:hAnsi="Calibri" w:cs="Calibri"/>
          <w:b/>
          <w:bCs/>
          <w:sz w:val="24"/>
          <w:szCs w:val="24"/>
        </w:rPr>
      </w:pPr>
      <w:r>
        <w:rPr>
          <w:rFonts w:ascii="Calibri" w:eastAsia="Calibri" w:hAnsi="Calibri" w:cs="Calibri"/>
          <w:b/>
          <w:bCs/>
          <w:sz w:val="24"/>
          <w:szCs w:val="24"/>
        </w:rPr>
        <w:t>Freezing and thawing protocols</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For freezing, the density of the cells was adjusted to ~2x10</w:t>
      </w:r>
      <w:r>
        <w:rPr>
          <w:rFonts w:ascii="Calibri" w:eastAsia="Calibri" w:hAnsi="Calibri" w:cs="Calibri"/>
          <w:sz w:val="24"/>
          <w:szCs w:val="24"/>
          <w:vertAlign w:val="superscript"/>
        </w:rPr>
        <w:t>7</w:t>
      </w:r>
      <w:r>
        <w:rPr>
          <w:rFonts w:ascii="Calibri" w:eastAsia="Calibri" w:hAnsi="Calibri" w:cs="Calibri"/>
          <w:sz w:val="24"/>
          <w:szCs w:val="24"/>
        </w:rPr>
        <w:t xml:space="preserve"> cells/ml. Then 5 ml of +4</w:t>
      </w:r>
      <w:r>
        <w:rPr>
          <w:rFonts w:ascii="Calibri" w:eastAsia="Calibri" w:hAnsi="Calibri" w:cs="Calibri"/>
          <w:sz w:val="24"/>
          <w:szCs w:val="24"/>
          <w:vertAlign w:val="superscript"/>
        </w:rPr>
        <w:t>o</w:t>
      </w:r>
      <w:r>
        <w:rPr>
          <w:rFonts w:ascii="Calibri" w:eastAsia="Calibri" w:hAnsi="Calibri" w:cs="Calibri"/>
          <w:sz w:val="24"/>
          <w:szCs w:val="24"/>
        </w:rPr>
        <w:t>C RPMI1640 cell culture medium with 5% of heat inactivated human AB serum, 2mM L-gluta</w:t>
      </w:r>
      <w:r>
        <w:rPr>
          <w:rFonts w:ascii="Calibri" w:eastAsia="Calibri" w:hAnsi="Calibri" w:cs="Calibri"/>
          <w:sz w:val="24"/>
          <w:szCs w:val="24"/>
        </w:rPr>
        <w:t xml:space="preserve">mine and 1% Pen-Strep and 20% of DMSO was added dropwise slowly while swaying the tube to gently mix the cell suspension (final solution: 10% DMSO in RPMI1640 medium supplemented with 5% inactivated human AB serum, 2mM L-glutamine and 1% Pen-Strep, herein </w:t>
      </w:r>
      <w:r>
        <w:rPr>
          <w:rFonts w:ascii="Calibri" w:eastAsia="Calibri" w:hAnsi="Calibri" w:cs="Calibri"/>
          <w:sz w:val="24"/>
          <w:szCs w:val="24"/>
        </w:rPr>
        <w:t xml:space="preserve">freezing media). The cells suspended in the freezing medium were then mixed with gentle pipetting. Cell suspension was then aliquoted in the </w:t>
      </w:r>
      <w:proofErr w:type="spellStart"/>
      <w:r>
        <w:rPr>
          <w:rFonts w:ascii="Calibri" w:eastAsia="Calibri" w:hAnsi="Calibri" w:cs="Calibri"/>
          <w:sz w:val="24"/>
          <w:szCs w:val="24"/>
        </w:rPr>
        <w:t>cryovials</w:t>
      </w:r>
      <w:proofErr w:type="spellEnd"/>
      <w:r>
        <w:rPr>
          <w:rFonts w:ascii="Calibri" w:eastAsia="Calibri" w:hAnsi="Calibri" w:cs="Calibri"/>
          <w:sz w:val="24"/>
          <w:szCs w:val="24"/>
        </w:rPr>
        <w:t xml:space="preserve">. One ml (1ml) of the cell suspension was transferred to a </w:t>
      </w:r>
      <w:proofErr w:type="spellStart"/>
      <w:r>
        <w:rPr>
          <w:rFonts w:ascii="Calibri" w:eastAsia="Calibri" w:hAnsi="Calibri" w:cs="Calibri"/>
          <w:sz w:val="24"/>
          <w:szCs w:val="24"/>
        </w:rPr>
        <w:t>cryovial</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FluidX</w:t>
      </w:r>
      <w:proofErr w:type="spellEnd"/>
      <w:r>
        <w:rPr>
          <w:rFonts w:ascii="Calibri" w:eastAsia="Calibri" w:hAnsi="Calibri" w:cs="Calibri"/>
          <w:sz w:val="24"/>
          <w:szCs w:val="24"/>
        </w:rPr>
        <w:t xml:space="preserve"> 1.8ml screw cap tube with exte</w:t>
      </w:r>
      <w:r>
        <w:rPr>
          <w:rFonts w:ascii="Calibri" w:eastAsia="Calibri" w:hAnsi="Calibri" w:cs="Calibri"/>
          <w:sz w:val="24"/>
          <w:szCs w:val="24"/>
        </w:rPr>
        <w:t xml:space="preserve">rnal threading). The tubes were closed and put immediately in a </w:t>
      </w:r>
      <w:proofErr w:type="spellStart"/>
      <w:r>
        <w:rPr>
          <w:rFonts w:ascii="Calibri" w:eastAsia="Calibri" w:hAnsi="Calibri" w:cs="Calibri"/>
          <w:sz w:val="24"/>
          <w:szCs w:val="24"/>
        </w:rPr>
        <w:t>CoolCell</w:t>
      </w:r>
      <w:proofErr w:type="spellEnd"/>
      <w:r>
        <w:rPr>
          <w:rFonts w:ascii="Calibri" w:eastAsia="Calibri" w:hAnsi="Calibri" w:cs="Calibri"/>
          <w:sz w:val="24"/>
          <w:szCs w:val="24"/>
        </w:rPr>
        <w:t xml:space="preserve"> LX (Corning) cell freezing container for temperature-controlled cooling of the cells. The </w:t>
      </w:r>
      <w:proofErr w:type="spellStart"/>
      <w:r>
        <w:rPr>
          <w:rFonts w:ascii="Calibri" w:eastAsia="Calibri" w:hAnsi="Calibri" w:cs="Calibri"/>
          <w:sz w:val="24"/>
          <w:szCs w:val="24"/>
        </w:rPr>
        <w:t>CoolCell</w:t>
      </w:r>
      <w:proofErr w:type="spellEnd"/>
      <w:r>
        <w:rPr>
          <w:rFonts w:ascii="Calibri" w:eastAsia="Calibri" w:hAnsi="Calibri" w:cs="Calibri"/>
          <w:sz w:val="24"/>
          <w:szCs w:val="24"/>
        </w:rPr>
        <w:t xml:space="preserve"> LX container was immediately transferred into a -80</w:t>
      </w:r>
      <w:r>
        <w:rPr>
          <w:rFonts w:ascii="Calibri" w:eastAsia="Calibri" w:hAnsi="Calibri" w:cs="Calibri"/>
          <w:sz w:val="24"/>
          <w:szCs w:val="24"/>
          <w:vertAlign w:val="superscript"/>
        </w:rPr>
        <w:t>o</w:t>
      </w:r>
      <w:r>
        <w:rPr>
          <w:rFonts w:ascii="Calibri" w:eastAsia="Calibri" w:hAnsi="Calibri" w:cs="Calibri"/>
          <w:sz w:val="24"/>
          <w:szCs w:val="24"/>
        </w:rPr>
        <w:t xml:space="preserve">C freezer overnight. The </w:t>
      </w:r>
      <w:proofErr w:type="spellStart"/>
      <w:r>
        <w:rPr>
          <w:rFonts w:ascii="Calibri" w:eastAsia="Calibri" w:hAnsi="Calibri" w:cs="Calibri"/>
          <w:sz w:val="24"/>
          <w:szCs w:val="24"/>
        </w:rPr>
        <w:t>cryovia</w:t>
      </w:r>
      <w:r>
        <w:rPr>
          <w:rFonts w:ascii="Calibri" w:eastAsia="Calibri" w:hAnsi="Calibri" w:cs="Calibri"/>
          <w:sz w:val="24"/>
          <w:szCs w:val="24"/>
        </w:rPr>
        <w:t>ls</w:t>
      </w:r>
      <w:proofErr w:type="spellEnd"/>
      <w:r>
        <w:rPr>
          <w:rFonts w:ascii="Calibri" w:eastAsia="Calibri" w:hAnsi="Calibri" w:cs="Calibri"/>
          <w:sz w:val="24"/>
          <w:szCs w:val="24"/>
        </w:rPr>
        <w:t xml:space="preserve"> were transferred the next day into the automated gas phase liquid nitrogen freezer for long-term storing at -180</w:t>
      </w:r>
      <w:r>
        <w:rPr>
          <w:rFonts w:ascii="Calibri" w:eastAsia="Calibri" w:hAnsi="Calibri" w:cs="Calibri"/>
          <w:sz w:val="24"/>
          <w:szCs w:val="24"/>
          <w:vertAlign w:val="superscript"/>
        </w:rPr>
        <w:t>o</w:t>
      </w:r>
      <w:r>
        <w:rPr>
          <w:rFonts w:ascii="Calibri" w:eastAsia="Calibri" w:hAnsi="Calibri" w:cs="Calibri"/>
          <w:sz w:val="24"/>
          <w:szCs w:val="24"/>
        </w:rPr>
        <w:t>C.</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lastRenderedPageBreak/>
        <w:t xml:space="preserve">The </w:t>
      </w:r>
      <w:proofErr w:type="spellStart"/>
      <w:r>
        <w:rPr>
          <w:rFonts w:ascii="Calibri" w:eastAsia="Calibri" w:hAnsi="Calibri" w:cs="Calibri"/>
          <w:sz w:val="24"/>
          <w:szCs w:val="24"/>
        </w:rPr>
        <w:t>cryovials</w:t>
      </w:r>
      <w:proofErr w:type="spellEnd"/>
      <w:r>
        <w:rPr>
          <w:rFonts w:ascii="Calibri" w:eastAsia="Calibri" w:hAnsi="Calibri" w:cs="Calibri"/>
          <w:sz w:val="24"/>
          <w:szCs w:val="24"/>
        </w:rPr>
        <w:t xml:space="preserve"> were quickly thawed in a heat-block pre-warmed at 37</w:t>
      </w:r>
      <w:r>
        <w:rPr>
          <w:rFonts w:ascii="Calibri" w:eastAsia="Calibri" w:hAnsi="Calibri" w:cs="Calibri"/>
          <w:sz w:val="24"/>
          <w:szCs w:val="24"/>
          <w:vertAlign w:val="superscript"/>
        </w:rPr>
        <w:t>o</w:t>
      </w:r>
      <w:r>
        <w:rPr>
          <w:rFonts w:ascii="Calibri" w:eastAsia="Calibri" w:hAnsi="Calibri" w:cs="Calibri"/>
          <w:sz w:val="24"/>
          <w:szCs w:val="24"/>
        </w:rPr>
        <w:t>C in an incubator. Once the cells began to thaw, warm RPMI1640 cell cu</w:t>
      </w:r>
      <w:r>
        <w:rPr>
          <w:rFonts w:ascii="Calibri" w:eastAsia="Calibri" w:hAnsi="Calibri" w:cs="Calibri"/>
          <w:sz w:val="24"/>
          <w:szCs w:val="24"/>
        </w:rPr>
        <w:t>lture with 10% of heat inactivated human AB serum, 2mM L-glutamine and 1% of Pen-Strep (referred as thawing media from here on) was added on the top of icy cell suspension. Thawed cell suspension was repeatedly transferred in a 15 ml Falcon tube containing</w:t>
      </w:r>
      <w:r>
        <w:rPr>
          <w:rFonts w:ascii="Calibri" w:eastAsia="Calibri" w:hAnsi="Calibri" w:cs="Calibri"/>
          <w:sz w:val="24"/>
          <w:szCs w:val="24"/>
        </w:rPr>
        <w:t xml:space="preserve"> 10 ml of 37</w:t>
      </w:r>
      <w:r>
        <w:rPr>
          <w:rFonts w:ascii="Calibri" w:eastAsia="Calibri" w:hAnsi="Calibri" w:cs="Calibri"/>
          <w:sz w:val="24"/>
          <w:szCs w:val="24"/>
          <w:vertAlign w:val="superscript"/>
        </w:rPr>
        <w:t>o</w:t>
      </w:r>
      <w:r>
        <w:rPr>
          <w:rFonts w:ascii="Calibri" w:eastAsia="Calibri" w:hAnsi="Calibri" w:cs="Calibri"/>
          <w:sz w:val="24"/>
          <w:szCs w:val="24"/>
        </w:rPr>
        <w:t>C thawing media. The Falcon tubes were filled with 15 ml of thawing media and centrifuged for 10 minutes at 300 x g. The supernatant was carefully aspirated, and the pelleted cells were gently re-suspended in 5ml of regular culture media. Cell</w:t>
      </w:r>
      <w:r>
        <w:rPr>
          <w:rFonts w:ascii="Calibri" w:eastAsia="Calibri" w:hAnsi="Calibri" w:cs="Calibri"/>
          <w:sz w:val="24"/>
          <w:szCs w:val="24"/>
        </w:rPr>
        <w:t>s were centrifuged for 10 minutes at 300 x g and the supernatant was aspirated. Finally, the cells were re-suspended in 1 ml of regular cell culture medium and the cells were counted and viability of the cells was analyzed with an automated Bio-Rad TC20 ce</w:t>
      </w:r>
      <w:r>
        <w:rPr>
          <w:rFonts w:ascii="Calibri" w:eastAsia="Calibri" w:hAnsi="Calibri" w:cs="Calibri"/>
          <w:sz w:val="24"/>
          <w:szCs w:val="24"/>
        </w:rPr>
        <w:t xml:space="preserve">ll counter or </w:t>
      </w:r>
      <w:proofErr w:type="spellStart"/>
      <w:r>
        <w:rPr>
          <w:rFonts w:ascii="Calibri" w:eastAsia="Calibri" w:hAnsi="Calibri" w:cs="Calibri"/>
          <w:sz w:val="24"/>
          <w:szCs w:val="24"/>
        </w:rPr>
        <w:t>Burker</w:t>
      </w:r>
      <w:proofErr w:type="spellEnd"/>
      <w:r>
        <w:rPr>
          <w:rFonts w:ascii="Calibri" w:eastAsia="Calibri" w:hAnsi="Calibri" w:cs="Calibri"/>
          <w:sz w:val="24"/>
          <w:szCs w:val="24"/>
        </w:rPr>
        <w:t xml:space="preserve"> chamber.</w:t>
      </w:r>
    </w:p>
    <w:p w:rsidR="00C96655" w:rsidRDefault="00C96655">
      <w:pPr>
        <w:spacing w:after="120" w:line="360" w:lineRule="auto"/>
        <w:jc w:val="both"/>
        <w:rPr>
          <w:rFonts w:ascii="Calibri" w:eastAsia="Calibri" w:hAnsi="Calibri" w:cs="Calibri"/>
          <w:b/>
          <w:bCs/>
          <w:sz w:val="24"/>
          <w:szCs w:val="24"/>
        </w:rPr>
      </w:pPr>
    </w:p>
    <w:p w:rsidR="00C96655" w:rsidRDefault="00E16D2F">
      <w:pPr>
        <w:spacing w:after="120" w:line="360" w:lineRule="auto"/>
        <w:jc w:val="both"/>
        <w:rPr>
          <w:rFonts w:ascii="Calibri" w:eastAsia="Calibri" w:hAnsi="Calibri" w:cs="Calibri"/>
          <w:b/>
          <w:bCs/>
          <w:sz w:val="24"/>
          <w:szCs w:val="24"/>
        </w:rPr>
      </w:pPr>
      <w:r>
        <w:rPr>
          <w:rFonts w:ascii="Calibri" w:eastAsia="Calibri" w:hAnsi="Calibri" w:cs="Calibri"/>
          <w:b/>
          <w:bCs/>
          <w:sz w:val="24"/>
          <w:szCs w:val="24"/>
        </w:rPr>
        <w:t>Immune cell profiling</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Thawed cells were stained with </w:t>
      </w:r>
      <w:proofErr w:type="spellStart"/>
      <w:r>
        <w:rPr>
          <w:rFonts w:ascii="Calibri" w:eastAsia="Calibri" w:hAnsi="Calibri" w:cs="Calibri"/>
          <w:sz w:val="24"/>
          <w:szCs w:val="24"/>
        </w:rPr>
        <w:t>fluorochrome</w:t>
      </w:r>
      <w:proofErr w:type="spellEnd"/>
      <w:r>
        <w:rPr>
          <w:rFonts w:ascii="Calibri" w:eastAsia="Calibri" w:hAnsi="Calibri" w:cs="Calibri"/>
          <w:sz w:val="24"/>
          <w:szCs w:val="24"/>
        </w:rPr>
        <w:t xml:space="preserve"> conjugated antibodies targeting cell surface antigens. For staining, cells were incubated at room temperature for 20 min, in dark, with a surface staining cocktail containing anti-CD4, anti-CD141, anti-CD123, ant</w:t>
      </w:r>
      <w:r>
        <w:rPr>
          <w:rFonts w:ascii="Calibri" w:eastAsia="Calibri" w:hAnsi="Calibri" w:cs="Calibri"/>
          <w:sz w:val="24"/>
          <w:szCs w:val="24"/>
        </w:rPr>
        <w:t xml:space="preserve">i- CD11c+, anti- HLA-DR, anti-CD127, anti- CD25 antibodies, and lineage cocktail 1 in a final volume of 150 µl. Subsequently, cells were washed once, </w:t>
      </w:r>
      <w:proofErr w:type="spellStart"/>
      <w:r>
        <w:rPr>
          <w:rFonts w:ascii="Calibri" w:eastAsia="Calibri" w:hAnsi="Calibri" w:cs="Calibri"/>
          <w:sz w:val="24"/>
          <w:szCs w:val="24"/>
        </w:rPr>
        <w:t>resuspended</w:t>
      </w:r>
      <w:proofErr w:type="spellEnd"/>
      <w:r>
        <w:rPr>
          <w:rFonts w:ascii="Calibri" w:eastAsia="Calibri" w:hAnsi="Calibri" w:cs="Calibri"/>
          <w:sz w:val="24"/>
          <w:szCs w:val="24"/>
        </w:rPr>
        <w:t xml:space="preserve"> in 0.5% BSA-PBS and kept on ice until FACS analysis. Analysis of 6 immune cell subpopulations </w:t>
      </w:r>
      <w:r>
        <w:rPr>
          <w:rFonts w:ascii="Calibri" w:eastAsia="Calibri" w:hAnsi="Calibri" w:cs="Calibri"/>
          <w:sz w:val="24"/>
          <w:szCs w:val="24"/>
        </w:rPr>
        <w:t>(</w:t>
      </w:r>
      <w:proofErr w:type="spellStart"/>
      <w:r>
        <w:rPr>
          <w:rFonts w:ascii="Calibri" w:eastAsia="Calibri" w:hAnsi="Calibri" w:cs="Calibri"/>
          <w:sz w:val="24"/>
          <w:szCs w:val="24"/>
        </w:rPr>
        <w:t>Treg</w:t>
      </w:r>
      <w:proofErr w:type="spellEnd"/>
      <w:r>
        <w:rPr>
          <w:rFonts w:ascii="Calibri" w:eastAsia="Calibri" w:hAnsi="Calibri" w:cs="Calibri"/>
          <w:sz w:val="24"/>
          <w:szCs w:val="24"/>
        </w:rPr>
        <w:t xml:space="preserve">-DC panel) was performed with BD Influx™ (BD Biosciences). Dead cells were excluded from analysis by SYTOX® Blue staining. The cell populations were defined as following: </w:t>
      </w:r>
      <w:proofErr w:type="spellStart"/>
      <w:r>
        <w:rPr>
          <w:rFonts w:ascii="Calibri" w:eastAsia="Calibri" w:hAnsi="Calibri" w:cs="Calibri"/>
          <w:sz w:val="24"/>
          <w:szCs w:val="24"/>
        </w:rPr>
        <w:t>Teff</w:t>
      </w:r>
      <w:proofErr w:type="spellEnd"/>
      <w:r>
        <w:rPr>
          <w:rFonts w:ascii="Calibri" w:eastAsia="Calibri" w:hAnsi="Calibri" w:cs="Calibri"/>
          <w:sz w:val="24"/>
          <w:szCs w:val="24"/>
        </w:rPr>
        <w:t xml:space="preserve"> (CD3+CD4+CD25intCD127+), </w:t>
      </w:r>
      <w:proofErr w:type="spellStart"/>
      <w:r>
        <w:rPr>
          <w:rFonts w:ascii="Calibri" w:eastAsia="Calibri" w:hAnsi="Calibri" w:cs="Calibri"/>
          <w:sz w:val="24"/>
          <w:szCs w:val="24"/>
        </w:rPr>
        <w:t>Treg</w:t>
      </w:r>
      <w:proofErr w:type="spellEnd"/>
      <w:r>
        <w:rPr>
          <w:rFonts w:ascii="Calibri" w:eastAsia="Calibri" w:hAnsi="Calibri" w:cs="Calibri"/>
          <w:sz w:val="24"/>
          <w:szCs w:val="24"/>
        </w:rPr>
        <w:t xml:space="preserve"> (CD3+CD4+CD25hiCD127-), mDC1</w:t>
      </w:r>
      <w:proofErr w:type="gramStart"/>
      <w:r>
        <w:rPr>
          <w:rFonts w:ascii="Calibri" w:eastAsia="Calibri" w:hAnsi="Calibri" w:cs="Calibri"/>
          <w:sz w:val="24"/>
          <w:szCs w:val="24"/>
        </w:rPr>
        <w:t>,  (</w:t>
      </w:r>
      <w:proofErr w:type="gramEnd"/>
      <w:r>
        <w:rPr>
          <w:rFonts w:ascii="Calibri" w:eastAsia="Calibri" w:hAnsi="Calibri" w:cs="Calibri"/>
          <w:sz w:val="24"/>
          <w:szCs w:val="24"/>
        </w:rPr>
        <w:t>HLADR+CD11c+C</w:t>
      </w:r>
      <w:r>
        <w:rPr>
          <w:rFonts w:ascii="Calibri" w:eastAsia="Calibri" w:hAnsi="Calibri" w:cs="Calibri"/>
          <w:sz w:val="24"/>
          <w:szCs w:val="24"/>
        </w:rPr>
        <w:t>D141-), mDC2 (HLADR+CD11c+CD141+), (</w:t>
      </w:r>
      <w:proofErr w:type="spellStart"/>
      <w:r>
        <w:rPr>
          <w:rFonts w:ascii="Calibri" w:eastAsia="Calibri" w:hAnsi="Calibri" w:cs="Calibri"/>
          <w:sz w:val="24"/>
          <w:szCs w:val="24"/>
        </w:rPr>
        <w:t>pDC</w:t>
      </w:r>
      <w:proofErr w:type="spellEnd"/>
      <w:r>
        <w:rPr>
          <w:rFonts w:ascii="Calibri" w:eastAsia="Calibri" w:hAnsi="Calibri" w:cs="Calibri"/>
          <w:sz w:val="24"/>
          <w:szCs w:val="24"/>
        </w:rPr>
        <w:t xml:space="preserve">: HLADR+CD123+CD4+) and monocytes (CD4lowHLA-DR+). Gating strategy of the immune cell population is presented in </w:t>
      </w:r>
      <w:r>
        <w:rPr>
          <w:rFonts w:ascii="Calibri" w:eastAsia="Calibri" w:hAnsi="Calibri" w:cs="Calibri"/>
          <w:b/>
          <w:bCs/>
          <w:sz w:val="24"/>
          <w:szCs w:val="24"/>
        </w:rPr>
        <w:t>Figure 3A</w:t>
      </w:r>
      <w:r>
        <w:rPr>
          <w:rFonts w:ascii="Calibri" w:eastAsia="Calibri" w:hAnsi="Calibri" w:cs="Calibri"/>
          <w:sz w:val="24"/>
          <w:szCs w:val="24"/>
        </w:rPr>
        <w:t xml:space="preserve">. The list of antibodies and other reagents used in the FACS analysis is provided in the </w:t>
      </w:r>
      <w:r>
        <w:rPr>
          <w:rFonts w:ascii="Calibri" w:eastAsia="Calibri" w:hAnsi="Calibri" w:cs="Calibri"/>
          <w:b/>
          <w:bCs/>
          <w:sz w:val="24"/>
          <w:szCs w:val="24"/>
        </w:rPr>
        <w:t>Supple</w:t>
      </w:r>
      <w:r>
        <w:rPr>
          <w:rFonts w:ascii="Calibri" w:eastAsia="Calibri" w:hAnsi="Calibri" w:cs="Calibri"/>
          <w:b/>
          <w:bCs/>
          <w:sz w:val="24"/>
          <w:szCs w:val="24"/>
        </w:rPr>
        <w:t>mentary Table S9</w:t>
      </w:r>
      <w:r>
        <w:rPr>
          <w:rFonts w:ascii="Calibri" w:eastAsia="Calibri" w:hAnsi="Calibri" w:cs="Calibri"/>
          <w:sz w:val="24"/>
          <w:szCs w:val="24"/>
        </w:rPr>
        <w:t>.</w:t>
      </w:r>
    </w:p>
    <w:p w:rsidR="00C96655" w:rsidRDefault="00C96655">
      <w:pPr>
        <w:spacing w:after="120" w:line="360" w:lineRule="auto"/>
        <w:jc w:val="both"/>
        <w:rPr>
          <w:rFonts w:ascii="Calibri" w:eastAsia="Calibri" w:hAnsi="Calibri" w:cs="Calibri"/>
          <w:b/>
          <w:bCs/>
          <w:sz w:val="24"/>
          <w:szCs w:val="24"/>
        </w:rPr>
      </w:pPr>
    </w:p>
    <w:p w:rsidR="00C96655" w:rsidRDefault="00E16D2F">
      <w:pPr>
        <w:spacing w:after="120" w:line="360" w:lineRule="auto"/>
        <w:jc w:val="both"/>
        <w:rPr>
          <w:rFonts w:ascii="Calibri" w:eastAsia="Calibri" w:hAnsi="Calibri" w:cs="Calibri"/>
          <w:b/>
          <w:bCs/>
          <w:sz w:val="24"/>
          <w:szCs w:val="24"/>
        </w:rPr>
      </w:pPr>
      <w:r>
        <w:rPr>
          <w:rFonts w:ascii="Calibri" w:eastAsia="Calibri" w:hAnsi="Calibri" w:cs="Calibri"/>
          <w:b/>
          <w:bCs/>
          <w:sz w:val="24"/>
          <w:szCs w:val="24"/>
        </w:rPr>
        <w:t>Immune cell activation and cytokine response</w:t>
      </w:r>
    </w:p>
    <w:p w:rsidR="00C96655" w:rsidRDefault="00E16D2F">
      <w:pPr>
        <w:spacing w:after="120" w:line="360" w:lineRule="auto"/>
        <w:jc w:val="both"/>
        <w:rPr>
          <w:rFonts w:ascii="Calibri" w:eastAsia="Calibri" w:hAnsi="Calibri" w:cs="Calibri"/>
          <w:sz w:val="24"/>
          <w:szCs w:val="24"/>
        </w:rPr>
      </w:pPr>
      <w:r>
        <w:rPr>
          <w:rFonts w:ascii="Calibri" w:eastAsia="Calibri" w:hAnsi="Calibri" w:cs="Calibri"/>
          <w:sz w:val="24"/>
          <w:szCs w:val="24"/>
        </w:rPr>
        <w:t xml:space="preserve">Frozen PBMCs were quickly thawed and </w:t>
      </w:r>
      <w:proofErr w:type="spellStart"/>
      <w:r>
        <w:rPr>
          <w:rFonts w:ascii="Calibri" w:eastAsia="Calibri" w:hAnsi="Calibri" w:cs="Calibri"/>
          <w:sz w:val="24"/>
          <w:szCs w:val="24"/>
        </w:rPr>
        <w:t>resuspended</w:t>
      </w:r>
      <w:proofErr w:type="spellEnd"/>
      <w:r>
        <w:rPr>
          <w:rFonts w:ascii="Calibri" w:eastAsia="Calibri" w:hAnsi="Calibri" w:cs="Calibri"/>
          <w:sz w:val="24"/>
          <w:szCs w:val="24"/>
        </w:rPr>
        <w:t xml:space="preserve"> in cell culture medium. PBMCs were stimulated for 48 h with plate-bound anti-CD3 (BD </w:t>
      </w:r>
      <w:proofErr w:type="spellStart"/>
      <w:r>
        <w:rPr>
          <w:rFonts w:ascii="Calibri" w:eastAsia="Calibri" w:hAnsi="Calibri" w:cs="Calibri"/>
          <w:sz w:val="24"/>
          <w:szCs w:val="24"/>
        </w:rPr>
        <w:t>Pharmingen</w:t>
      </w:r>
      <w:proofErr w:type="spellEnd"/>
      <w:r>
        <w:rPr>
          <w:rFonts w:ascii="Calibri" w:eastAsia="Calibri" w:hAnsi="Calibri" w:cs="Calibri"/>
          <w:sz w:val="24"/>
          <w:szCs w:val="24"/>
        </w:rPr>
        <w:t xml:space="preserve">) and soluble anti-CD28 (1µg/ml) (BD </w:t>
      </w:r>
      <w:proofErr w:type="spellStart"/>
      <w:r>
        <w:rPr>
          <w:rFonts w:ascii="Calibri" w:eastAsia="Calibri" w:hAnsi="Calibri" w:cs="Calibri"/>
          <w:sz w:val="24"/>
          <w:szCs w:val="24"/>
        </w:rPr>
        <w:t>Pharmingen</w:t>
      </w:r>
      <w:proofErr w:type="spellEnd"/>
      <w:r>
        <w:rPr>
          <w:rFonts w:ascii="Calibri" w:eastAsia="Calibri" w:hAnsi="Calibri" w:cs="Calibri"/>
          <w:sz w:val="24"/>
          <w:szCs w:val="24"/>
        </w:rPr>
        <w:t>). For T-cell stimulation, a 96-well cell culture plate (</w:t>
      </w:r>
      <w:proofErr w:type="spellStart"/>
      <w:r>
        <w:rPr>
          <w:rFonts w:ascii="Calibri" w:eastAsia="Calibri" w:hAnsi="Calibri" w:cs="Calibri"/>
          <w:sz w:val="24"/>
          <w:szCs w:val="24"/>
        </w:rPr>
        <w:t>Nunclon</w:t>
      </w:r>
      <w:proofErr w:type="spellEnd"/>
      <w:r>
        <w:rPr>
          <w:rFonts w:ascii="Calibri" w:eastAsia="Calibri" w:hAnsi="Calibri" w:cs="Calibri"/>
          <w:sz w:val="24"/>
          <w:szCs w:val="24"/>
        </w:rPr>
        <w:t>)</w:t>
      </w:r>
      <w:r>
        <w:rPr>
          <w:rFonts w:ascii="Calibri" w:eastAsia="Calibri" w:hAnsi="Calibri" w:cs="Calibri"/>
          <w:sz w:val="24"/>
          <w:szCs w:val="24"/>
        </w:rPr>
        <w:t xml:space="preserve"> was </w:t>
      </w:r>
      <w:r>
        <w:rPr>
          <w:rFonts w:ascii="Calibri" w:eastAsia="Calibri" w:hAnsi="Calibri" w:cs="Calibri"/>
          <w:sz w:val="24"/>
          <w:szCs w:val="24"/>
        </w:rPr>
        <w:lastRenderedPageBreak/>
        <w:t xml:space="preserve">pre-coated with anti-CD3 by incubating the cell culture plate with anti-CD3 at a concentration of 5µg/ml in PBS (50 µl in well) for 4 h at 37 °C in the presence of 5 % CO2. In total, six replicates of 2 x </w:t>
      </w:r>
      <w:proofErr w:type="gramStart"/>
      <w:r>
        <w:rPr>
          <w:rFonts w:ascii="Calibri" w:eastAsia="Calibri" w:hAnsi="Calibri" w:cs="Calibri"/>
          <w:sz w:val="24"/>
          <w:szCs w:val="24"/>
        </w:rPr>
        <w:t>10</w:t>
      </w:r>
      <w:r>
        <w:rPr>
          <w:rFonts w:ascii="Calibri" w:eastAsia="Calibri" w:hAnsi="Calibri" w:cs="Calibri"/>
          <w:sz w:val="24"/>
          <w:szCs w:val="24"/>
          <w:vertAlign w:val="superscript"/>
        </w:rPr>
        <w:t>5</w:t>
      </w:r>
      <w:r>
        <w:rPr>
          <w:rFonts w:ascii="Calibri" w:eastAsia="Calibri" w:hAnsi="Calibri" w:cs="Calibri"/>
          <w:sz w:val="24"/>
          <w:szCs w:val="24"/>
        </w:rPr>
        <w:t xml:space="preserve">  PBMCs</w:t>
      </w:r>
      <w:proofErr w:type="gramEnd"/>
      <w:r>
        <w:rPr>
          <w:rFonts w:ascii="Calibri" w:eastAsia="Calibri" w:hAnsi="Calibri" w:cs="Calibri"/>
          <w:sz w:val="24"/>
          <w:szCs w:val="24"/>
        </w:rPr>
        <w:t xml:space="preserve"> were stimulated. The final density </w:t>
      </w:r>
      <w:r>
        <w:rPr>
          <w:rFonts w:ascii="Calibri" w:eastAsia="Calibri" w:hAnsi="Calibri" w:cs="Calibri"/>
          <w:sz w:val="24"/>
          <w:szCs w:val="24"/>
        </w:rPr>
        <w:t>of the cells in the stimulation was 1x10</w:t>
      </w:r>
      <w:r>
        <w:rPr>
          <w:rFonts w:ascii="Calibri" w:eastAsia="Calibri" w:hAnsi="Calibri" w:cs="Calibri"/>
          <w:sz w:val="24"/>
          <w:szCs w:val="24"/>
          <w:vertAlign w:val="superscript"/>
        </w:rPr>
        <w:t xml:space="preserve">6 </w:t>
      </w:r>
      <w:r>
        <w:rPr>
          <w:rFonts w:ascii="Calibri" w:eastAsia="Calibri" w:hAnsi="Calibri" w:cs="Calibri"/>
          <w:sz w:val="24"/>
          <w:szCs w:val="24"/>
        </w:rPr>
        <w:t>/ 1ml. After the stimulation, the cell culture supernatant was collected for cytokine analysis.</w:t>
      </w:r>
    </w:p>
    <w:p w:rsidR="00C96655" w:rsidRDefault="00E16D2F">
      <w:pPr>
        <w:spacing w:after="120" w:line="360" w:lineRule="auto"/>
        <w:jc w:val="both"/>
        <w:rPr>
          <w:rFonts w:ascii="Calibri" w:eastAsia="Calibri" w:hAnsi="Calibri" w:cs="Calibri"/>
          <w:sz w:val="24"/>
          <w:szCs w:val="24"/>
          <w:highlight w:val="yellow"/>
        </w:rPr>
      </w:pPr>
      <w:r>
        <w:rPr>
          <w:rFonts w:ascii="Calibri" w:eastAsia="Calibri" w:hAnsi="Calibri" w:cs="Calibri"/>
          <w:sz w:val="24"/>
          <w:szCs w:val="24"/>
        </w:rPr>
        <w:t xml:space="preserve">The serum concentrations of cytokines, chemokines and growth factors were analyzed using the 38-plexed </w:t>
      </w:r>
      <w:proofErr w:type="spellStart"/>
      <w:r>
        <w:rPr>
          <w:rFonts w:ascii="Calibri" w:eastAsia="Calibri" w:hAnsi="Calibri" w:cs="Calibri"/>
          <w:sz w:val="24"/>
          <w:szCs w:val="24"/>
        </w:rPr>
        <w:t>Milliplex</w:t>
      </w:r>
      <w:proofErr w:type="spellEnd"/>
      <w:r>
        <w:rPr>
          <w:rFonts w:ascii="Calibri" w:eastAsia="Calibri" w:hAnsi="Calibri" w:cs="Calibri"/>
          <w:sz w:val="24"/>
          <w:szCs w:val="24"/>
        </w:rPr>
        <w:t xml:space="preserve"> MAP </w:t>
      </w:r>
      <w:proofErr w:type="gramStart"/>
      <w:r>
        <w:rPr>
          <w:rFonts w:ascii="Calibri" w:eastAsia="Calibri" w:hAnsi="Calibri" w:cs="Calibri"/>
          <w:sz w:val="24"/>
          <w:szCs w:val="24"/>
        </w:rPr>
        <w:t>K</w:t>
      </w:r>
      <w:r>
        <w:rPr>
          <w:rFonts w:ascii="Calibri" w:eastAsia="Calibri" w:hAnsi="Calibri" w:cs="Calibri"/>
          <w:sz w:val="24"/>
          <w:szCs w:val="24"/>
        </w:rPr>
        <w:t>it  (</w:t>
      </w:r>
      <w:proofErr w:type="gramEnd"/>
      <w:r>
        <w:rPr>
          <w:rFonts w:ascii="Calibri" w:eastAsia="Calibri" w:hAnsi="Calibri" w:cs="Calibri"/>
          <w:sz w:val="24"/>
          <w:szCs w:val="24"/>
        </w:rPr>
        <w:t>cat.no. HCYTMAG-60K-PX38) according to the manufacturer’s recommendations (Merck-Millipore Corp., Billerica, MA, USA). Analyses were performed with single reactions. Quantification of the markers was performed with the Bio-</w:t>
      </w:r>
      <w:proofErr w:type="spellStart"/>
      <w:r>
        <w:rPr>
          <w:rFonts w:ascii="Calibri" w:eastAsia="Calibri" w:hAnsi="Calibri" w:cs="Calibri"/>
          <w:sz w:val="24"/>
          <w:szCs w:val="24"/>
        </w:rPr>
        <w:t>plex</w:t>
      </w:r>
      <w:proofErr w:type="spellEnd"/>
      <w:r>
        <w:rPr>
          <w:rFonts w:ascii="Calibri" w:eastAsia="Calibri" w:hAnsi="Calibri" w:cs="Calibri"/>
          <w:sz w:val="24"/>
          <w:szCs w:val="24"/>
        </w:rPr>
        <w:t xml:space="preserve"> 200 </w:t>
      </w:r>
      <w:proofErr w:type="spellStart"/>
      <w:r>
        <w:rPr>
          <w:rFonts w:ascii="Calibri" w:eastAsia="Calibri" w:hAnsi="Calibri" w:cs="Calibri"/>
          <w:sz w:val="24"/>
          <w:szCs w:val="24"/>
        </w:rPr>
        <w:t>Luminex</w:t>
      </w:r>
      <w:proofErr w:type="spellEnd"/>
      <w:r>
        <w:rPr>
          <w:rFonts w:ascii="Calibri" w:eastAsia="Calibri" w:hAnsi="Calibri" w:cs="Calibri"/>
          <w:sz w:val="24"/>
          <w:szCs w:val="24"/>
        </w:rPr>
        <w:t xml:space="preserve"> instrument </w:t>
      </w:r>
      <w:r>
        <w:rPr>
          <w:rFonts w:ascii="Calibri" w:eastAsia="Calibri" w:hAnsi="Calibri" w:cs="Calibri"/>
          <w:sz w:val="24"/>
          <w:szCs w:val="24"/>
        </w:rPr>
        <w:t>and Bio-</w:t>
      </w:r>
      <w:proofErr w:type="spellStart"/>
      <w:r>
        <w:rPr>
          <w:rFonts w:ascii="Calibri" w:eastAsia="Calibri" w:hAnsi="Calibri" w:cs="Calibri"/>
          <w:sz w:val="24"/>
          <w:szCs w:val="24"/>
        </w:rPr>
        <w:t>Plex</w:t>
      </w:r>
      <w:proofErr w:type="spellEnd"/>
      <w:r>
        <w:rPr>
          <w:rFonts w:ascii="Calibri" w:eastAsia="Calibri" w:hAnsi="Calibri" w:cs="Calibri"/>
          <w:sz w:val="24"/>
          <w:szCs w:val="24"/>
        </w:rPr>
        <w:t xml:space="preserve"> Manager software (Bio-Rad, Sweden). Concentration of each marker was determined from an 8-point standard curve using five-parameter logistic regression. Minimum detectable concentration (</w:t>
      </w:r>
      <w:proofErr w:type="spellStart"/>
      <w:r>
        <w:rPr>
          <w:rFonts w:ascii="Calibri" w:eastAsia="Calibri" w:hAnsi="Calibri" w:cs="Calibri"/>
          <w:sz w:val="24"/>
          <w:szCs w:val="24"/>
        </w:rPr>
        <w:t>MinDC</w:t>
      </w:r>
      <w:proofErr w:type="spellEnd"/>
      <w:r>
        <w:rPr>
          <w:rFonts w:ascii="Calibri" w:eastAsia="Calibri" w:hAnsi="Calibri" w:cs="Calibri"/>
          <w:sz w:val="24"/>
          <w:szCs w:val="24"/>
        </w:rPr>
        <w:t>) was determined for each marker separately using t</w:t>
      </w:r>
      <w:r>
        <w:rPr>
          <w:rFonts w:ascii="Calibri" w:eastAsia="Calibri" w:hAnsi="Calibri" w:cs="Calibri"/>
          <w:sz w:val="24"/>
          <w:szCs w:val="24"/>
        </w:rPr>
        <w:t>he lowest concentration on the standard curves linear phase (</w:t>
      </w:r>
      <w:proofErr w:type="spellStart"/>
      <w:r>
        <w:rPr>
          <w:rFonts w:ascii="Calibri" w:eastAsia="Calibri" w:hAnsi="Calibri" w:cs="Calibri"/>
          <w:sz w:val="24"/>
          <w:szCs w:val="24"/>
        </w:rPr>
        <w:t>MinDC</w:t>
      </w:r>
      <w:proofErr w:type="spellEnd"/>
      <w:r>
        <w:rPr>
          <w:rFonts w:ascii="Calibri" w:eastAsia="Calibri" w:hAnsi="Calibri" w:cs="Calibri"/>
          <w:sz w:val="24"/>
          <w:szCs w:val="24"/>
        </w:rPr>
        <w:t>=</w:t>
      </w:r>
      <w:proofErr w:type="gramStart"/>
      <w:r>
        <w:rPr>
          <w:rFonts w:ascii="Calibri" w:eastAsia="Calibri" w:hAnsi="Calibri" w:cs="Calibri"/>
          <w:sz w:val="24"/>
          <w:szCs w:val="24"/>
        </w:rPr>
        <w:t>c(</w:t>
      </w:r>
      <w:proofErr w:type="gramEnd"/>
      <w:r>
        <w:rPr>
          <w:rFonts w:ascii="Calibri" w:eastAsia="Calibri" w:hAnsi="Calibri" w:cs="Calibri"/>
          <w:sz w:val="24"/>
          <w:szCs w:val="24"/>
        </w:rPr>
        <w:t>low)+2SD).</w:t>
      </w:r>
      <w:r>
        <w:rPr>
          <w:rFonts w:ascii="Calibri" w:eastAsia="Calibri" w:hAnsi="Calibri" w:cs="Calibri"/>
          <w:b/>
          <w:bCs/>
          <w:sz w:val="24"/>
          <w:szCs w:val="24"/>
        </w:rPr>
        <w:t xml:space="preserve"> </w:t>
      </w:r>
      <w:r>
        <w:rPr>
          <w:rFonts w:ascii="Calibri" w:eastAsia="Calibri" w:hAnsi="Calibri" w:cs="Calibri"/>
          <w:sz w:val="24"/>
          <w:szCs w:val="24"/>
        </w:rPr>
        <w:t xml:space="preserve">The samples below </w:t>
      </w:r>
      <w:proofErr w:type="spellStart"/>
      <w:r>
        <w:rPr>
          <w:rFonts w:ascii="Calibri" w:eastAsia="Calibri" w:hAnsi="Calibri" w:cs="Calibri"/>
          <w:sz w:val="24"/>
          <w:szCs w:val="24"/>
        </w:rPr>
        <w:t>MinDC</w:t>
      </w:r>
      <w:proofErr w:type="spellEnd"/>
      <w:r>
        <w:rPr>
          <w:rFonts w:ascii="Calibri" w:eastAsia="Calibri" w:hAnsi="Calibri" w:cs="Calibri"/>
          <w:sz w:val="24"/>
          <w:szCs w:val="24"/>
        </w:rPr>
        <w:t xml:space="preserve"> were given a value of 50% of </w:t>
      </w:r>
      <w:proofErr w:type="spellStart"/>
      <w:r>
        <w:rPr>
          <w:rFonts w:ascii="Calibri" w:eastAsia="Calibri" w:hAnsi="Calibri" w:cs="Calibri"/>
          <w:sz w:val="24"/>
          <w:szCs w:val="24"/>
        </w:rPr>
        <w:t>MinDC</w:t>
      </w:r>
      <w:proofErr w:type="spellEnd"/>
      <w:r>
        <w:rPr>
          <w:rFonts w:ascii="Calibri" w:eastAsia="Calibri" w:hAnsi="Calibri" w:cs="Calibri"/>
          <w:sz w:val="24"/>
          <w:szCs w:val="24"/>
        </w:rPr>
        <w:t xml:space="preserve">. The following </w:t>
      </w:r>
      <w:proofErr w:type="spellStart"/>
      <w:r>
        <w:rPr>
          <w:rFonts w:ascii="Calibri" w:eastAsia="Calibri" w:hAnsi="Calibri" w:cs="Calibri"/>
          <w:sz w:val="24"/>
          <w:szCs w:val="24"/>
        </w:rPr>
        <w:t>analytes</w:t>
      </w:r>
      <w:proofErr w:type="spellEnd"/>
      <w:r>
        <w:rPr>
          <w:rFonts w:ascii="Calibri" w:eastAsia="Calibri" w:hAnsi="Calibri" w:cs="Calibri"/>
          <w:sz w:val="24"/>
          <w:szCs w:val="24"/>
        </w:rPr>
        <w:t xml:space="preserve"> were included in the 38-plex kit: sCD40L, EGF, </w:t>
      </w:r>
      <w:proofErr w:type="spellStart"/>
      <w:r>
        <w:rPr>
          <w:rFonts w:ascii="Calibri" w:eastAsia="Calibri" w:hAnsi="Calibri" w:cs="Calibri"/>
          <w:sz w:val="24"/>
          <w:szCs w:val="24"/>
        </w:rPr>
        <w:t>Eotaxin</w:t>
      </w:r>
      <w:proofErr w:type="spellEnd"/>
      <w:r>
        <w:rPr>
          <w:rFonts w:ascii="Calibri" w:eastAsia="Calibri" w:hAnsi="Calibri" w:cs="Calibri"/>
          <w:sz w:val="24"/>
          <w:szCs w:val="24"/>
        </w:rPr>
        <w:t xml:space="preserve">, FGF2, FLT3L, </w:t>
      </w:r>
      <w:proofErr w:type="spellStart"/>
      <w:r>
        <w:rPr>
          <w:rFonts w:ascii="Calibri" w:eastAsia="Calibri" w:hAnsi="Calibri" w:cs="Calibri"/>
          <w:sz w:val="24"/>
          <w:szCs w:val="24"/>
        </w:rPr>
        <w:t>Fractalkine</w:t>
      </w:r>
      <w:proofErr w:type="spellEnd"/>
      <w:r>
        <w:rPr>
          <w:rFonts w:ascii="Calibri" w:eastAsia="Calibri" w:hAnsi="Calibri" w:cs="Calibri"/>
          <w:sz w:val="24"/>
          <w:szCs w:val="24"/>
        </w:rPr>
        <w:t>, GCSF, GMCSF</w:t>
      </w:r>
      <w:r>
        <w:rPr>
          <w:rFonts w:ascii="Calibri" w:eastAsia="Calibri" w:hAnsi="Calibri" w:cs="Calibri"/>
          <w:sz w:val="24"/>
          <w:szCs w:val="24"/>
        </w:rPr>
        <w:t xml:space="preserve">, GRO, </w:t>
      </w:r>
      <w:proofErr w:type="spellStart"/>
      <w:r>
        <w:rPr>
          <w:rFonts w:ascii="Calibri" w:eastAsia="Calibri" w:hAnsi="Calibri" w:cs="Calibri"/>
          <w:sz w:val="24"/>
          <w:szCs w:val="24"/>
        </w:rPr>
        <w:t>IFNalpha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IFNgamma</w:t>
      </w:r>
      <w:proofErr w:type="spellEnd"/>
      <w:r>
        <w:rPr>
          <w:rFonts w:ascii="Calibri" w:eastAsia="Calibri" w:hAnsi="Calibri" w:cs="Calibri"/>
          <w:sz w:val="24"/>
          <w:szCs w:val="24"/>
        </w:rPr>
        <w:t xml:space="preserve">, IL1alpha, IL1beta, IL1RA, IL2, IL3, IL4, IL5, IL6, IL7, IL8, IL9, IL10, IL12p40, IL12p70, IL13, IL15, IL17A, IP10, MCP1, MCP3, CCL22, MIP1alpha, MIP1beta, </w:t>
      </w:r>
      <w:proofErr w:type="spellStart"/>
      <w:r>
        <w:rPr>
          <w:rFonts w:ascii="Calibri" w:eastAsia="Calibri" w:hAnsi="Calibri" w:cs="Calibri"/>
          <w:sz w:val="24"/>
          <w:szCs w:val="24"/>
        </w:rPr>
        <w:t>TGFalpha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TNFalpha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TNFbeta</w:t>
      </w:r>
      <w:proofErr w:type="spellEnd"/>
      <w:r>
        <w:rPr>
          <w:rFonts w:ascii="Calibri" w:eastAsia="Calibri" w:hAnsi="Calibri" w:cs="Calibri"/>
          <w:sz w:val="24"/>
          <w:szCs w:val="24"/>
        </w:rPr>
        <w:t xml:space="preserve">, VEGF. </w:t>
      </w:r>
    </w:p>
    <w:p w:rsidR="00C96655" w:rsidRDefault="00C96655">
      <w:pPr>
        <w:spacing w:after="120" w:line="360" w:lineRule="auto"/>
        <w:jc w:val="both"/>
        <w:rPr>
          <w:rFonts w:ascii="Calibri" w:eastAsia="Calibri" w:hAnsi="Calibri" w:cs="Calibri"/>
          <w:sz w:val="24"/>
          <w:szCs w:val="24"/>
          <w:highlight w:val="yellow"/>
        </w:rPr>
      </w:pPr>
    </w:p>
    <w:p w:rsidR="00C96655" w:rsidRDefault="00C96655">
      <w:pPr>
        <w:spacing w:after="120" w:line="360" w:lineRule="auto"/>
        <w:jc w:val="both"/>
        <w:rPr>
          <w:rFonts w:ascii="Calibri" w:eastAsia="Calibri" w:hAnsi="Calibri" w:cs="Calibri"/>
          <w:sz w:val="24"/>
          <w:szCs w:val="24"/>
        </w:rPr>
      </w:pPr>
    </w:p>
    <w:p w:rsidR="00C96655" w:rsidRDefault="00C96655">
      <w:pPr>
        <w:spacing w:after="120" w:line="360" w:lineRule="auto"/>
        <w:jc w:val="both"/>
        <w:rPr>
          <w:rFonts w:ascii="Calibri" w:eastAsia="Calibri" w:hAnsi="Calibri" w:cs="Calibri"/>
          <w:b/>
          <w:bCs/>
          <w:sz w:val="24"/>
          <w:szCs w:val="24"/>
        </w:rPr>
      </w:pPr>
    </w:p>
    <w:p w:rsidR="00C96655" w:rsidRDefault="00C96655">
      <w:pPr>
        <w:spacing w:after="120" w:line="360" w:lineRule="auto"/>
        <w:jc w:val="both"/>
        <w:rPr>
          <w:rFonts w:ascii="Calibri" w:eastAsia="Calibri" w:hAnsi="Calibri" w:cs="Calibri"/>
          <w:b/>
          <w:bCs/>
          <w:sz w:val="24"/>
          <w:szCs w:val="24"/>
        </w:rPr>
      </w:pPr>
    </w:p>
    <w:p w:rsidR="00C96655" w:rsidRDefault="00C96655"/>
    <w:sectPr w:rsidR="00C96655" w:rsidSect="00E16D2F">
      <w:pgSz w:w="11909" w:h="16834"/>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BABD7A4-44B8-483F-87C6-C9117BEBC88E}"/>
    <w:embedBold r:id="rId2" w:fontKey="{3C2226E0-15D4-4B01-B0F1-4836FFD2DE13}"/>
  </w:font>
  <w:font w:name="Cambria">
    <w:panose1 w:val="02040503050406030204"/>
    <w:charset w:val="00"/>
    <w:family w:val="roman"/>
    <w:pitch w:val="variable"/>
    <w:sig w:usb0="E00006FF" w:usb1="420024FF" w:usb2="02000000" w:usb3="00000000" w:csb0="0000019F" w:csb1="00000000"/>
    <w:embedRegular r:id="rId3" w:fontKey="{E507AFBA-7882-4877-8810-BDDB204FDB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655"/>
    <w:rsid w:val="00C96655"/>
    <w:rsid w:val="00E16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C8790-0ED4-41B5-B618-6E505CD8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LineNumber">
    <w:name w:val="line number"/>
    <w:basedOn w:val="DefaultParagraphFont"/>
    <w:uiPriority w:val="99"/>
    <w:semiHidden/>
    <w:unhideWhenUsed/>
    <w:rsid w:val="00E16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1540</Words>
  <Characters>8784</Characters>
  <Application>Microsoft Office Word</Application>
  <DocSecurity>0</DocSecurity>
  <Lines>73</Lines>
  <Paragraphs>20</Paragraphs>
  <ScaleCrop>false</ScaleCrop>
  <Company>HP Inc.</Company>
  <LinksUpToDate>false</LinksUpToDate>
  <CharactersWithSpaces>10304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Meenakshi P</cp:lastModifiedBy>
  <cp:revision>2</cp:revision>
  <dcterms:created xsi:type="dcterms:W3CDTF">2026-02-17T06:48:00Z</dcterms:created>
  <dcterms:modified xsi:type="dcterms:W3CDTF">2026-02-17T06:50:00Z</dcterms:modified>
</cp:coreProperties>
</file>