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FBE" w:rsidRDefault="00D57855">
      <w:pPr>
        <w:ind w:left="0" w:hanging="2"/>
        <w:rPr>
          <w:rFonts w:ascii="Times New Roman" w:eastAsia="Times New Roman" w:hAnsi="Times New Roman" w:cs="Times New Roman"/>
        </w:rPr>
      </w:pPr>
      <w:bookmarkStart w:id="0" w:name="_heading=h.44sinio" w:colFirst="0" w:colLast="0"/>
      <w:bookmarkEnd w:id="0"/>
      <w:r>
        <w:rPr>
          <w:rFonts w:ascii="Times New Roman" w:eastAsia="Times New Roman" w:hAnsi="Times New Roman" w:cs="Times New Roman"/>
          <w:noProof/>
        </w:rPr>
        <w:drawing>
          <wp:inline distT="0" distB="0" distL="114300" distR="114300">
            <wp:extent cx="1296670" cy="1679575"/>
            <wp:effectExtent l="0" t="0" r="0" b="0"/>
            <wp:docPr id="1301517074" name="image2.png"/>
            <wp:cNvGraphicFramePr/>
            <a:graphic xmlns:a="http://schemas.openxmlformats.org/drawingml/2006/main">
              <a:graphicData uri="http://schemas.openxmlformats.org/drawingml/2006/picture">
                <pic:pic xmlns:pic="http://schemas.openxmlformats.org/drawingml/2006/picture">
                  <pic:nvPicPr>
                    <pic:cNvPr id="999980685" name="image2.png"/>
                    <pic:cNvPicPr/>
                  </pic:nvPicPr>
                  <pic:blipFill>
                    <a:blip r:embed="rId9"/>
                    <a:stretch>
                      <a:fillRect/>
                    </a:stretch>
                  </pic:blipFill>
                  <pic:spPr>
                    <a:xfrm>
                      <a:off x="0" y="0"/>
                      <a:ext cx="1296670" cy="1679575"/>
                    </a:xfrm>
                    <a:prstGeom prst="rect">
                      <a:avLst/>
                    </a:prstGeom>
                  </pic:spPr>
                </pic:pic>
              </a:graphicData>
            </a:graphic>
          </wp:inline>
        </w:drawing>
      </w:r>
    </w:p>
    <w:p w:rsidR="00361FBE" w:rsidRDefault="00361FBE">
      <w:pPr>
        <w:spacing w:line="276" w:lineRule="auto"/>
        <w:ind w:left="0" w:hanging="2"/>
        <w:rPr>
          <w:rFonts w:ascii="Times New Roman" w:eastAsia="Times New Roman" w:hAnsi="Times New Roman" w:cs="Times New Roman"/>
        </w:rPr>
      </w:pPr>
    </w:p>
    <w:p w:rsidR="00361FBE" w:rsidRDefault="00361FBE">
      <w:pPr>
        <w:spacing w:line="276" w:lineRule="auto"/>
        <w:ind w:left="0" w:hanging="2"/>
        <w:rPr>
          <w:rFonts w:ascii="Times New Roman" w:eastAsia="Times New Roman" w:hAnsi="Times New Roman" w:cs="Times New Roman"/>
        </w:rPr>
      </w:pPr>
    </w:p>
    <w:p w:rsidR="00361FBE" w:rsidRDefault="00361FBE">
      <w:pPr>
        <w:spacing w:line="276" w:lineRule="auto"/>
        <w:ind w:left="0" w:hanging="2"/>
        <w:rPr>
          <w:rFonts w:ascii="Times New Roman" w:eastAsia="Times New Roman" w:hAnsi="Times New Roman" w:cs="Times New Roman"/>
        </w:rPr>
      </w:pPr>
    </w:p>
    <w:tbl>
      <w:tblPr>
        <w:tblStyle w:val="affd"/>
        <w:tblW w:w="9737" w:type="dxa"/>
        <w:tblInd w:w="-54" w:type="dxa"/>
        <w:tblBorders>
          <w:top w:val="single" w:sz="6" w:space="0" w:color="000000"/>
          <w:left w:val="nil"/>
          <w:bottom w:val="single" w:sz="6" w:space="0" w:color="000000"/>
          <w:right w:val="nil"/>
          <w:insideH w:val="single" w:sz="4" w:space="0" w:color="000000"/>
          <w:insideV w:val="nil"/>
        </w:tblBorders>
        <w:tblLayout w:type="fixed"/>
        <w:tblLook w:val="0000" w:firstRow="0" w:lastRow="0" w:firstColumn="0" w:lastColumn="0" w:noHBand="0" w:noVBand="0"/>
      </w:tblPr>
      <w:tblGrid>
        <w:gridCol w:w="4868"/>
        <w:gridCol w:w="4869"/>
      </w:tblGrid>
      <w:tr w:rsidR="00CB4726" w:rsidRPr="00B616BF">
        <w:tc>
          <w:tcPr>
            <w:tcW w:w="4868" w:type="dxa"/>
          </w:tcPr>
          <w:p w:rsidR="00361FBE" w:rsidRDefault="00361FBE">
            <w:pPr>
              <w:spacing w:line="276" w:lineRule="auto"/>
              <w:ind w:left="0" w:hanging="2"/>
              <w:rPr>
                <w:rFonts w:ascii="Times New Roman" w:eastAsia="Times New Roman" w:hAnsi="Times New Roman" w:cs="Times New Roman"/>
              </w:rPr>
            </w:pPr>
          </w:p>
          <w:p w:rsidR="00361FBE" w:rsidRDefault="00D57855">
            <w:pPr>
              <w:spacing w:line="276" w:lineRule="auto"/>
              <w:ind w:left="0" w:hanging="2"/>
              <w:rPr>
                <w:rFonts w:ascii="Times New Roman" w:eastAsia="Times New Roman" w:hAnsi="Times New Roman" w:cs="Times New Roman"/>
              </w:rPr>
            </w:pPr>
            <w:bookmarkStart w:id="1" w:name="_heading=h.qsh70q"/>
            <w:bookmarkEnd w:id="1"/>
            <w:r>
              <w:rPr>
                <w:rFonts w:ascii="Times New Roman" w:eastAsia="Times New Roman" w:hAnsi="Times New Roman" w:cs="Times New Roman"/>
                <w:b/>
                <w:bCs/>
                <w:lang w:val="en-US"/>
              </w:rPr>
              <w:t>Statistical analysis plan</w:t>
            </w:r>
          </w:p>
          <w:p w:rsidR="00361FBE" w:rsidRDefault="00361FBE">
            <w:pPr>
              <w:spacing w:line="276" w:lineRule="auto"/>
              <w:ind w:left="0" w:hanging="2"/>
              <w:rPr>
                <w:rFonts w:ascii="Times New Roman" w:eastAsia="Times New Roman" w:hAnsi="Times New Roman" w:cs="Times New Roman"/>
              </w:rPr>
            </w:pPr>
          </w:p>
        </w:tc>
        <w:tc>
          <w:tcPr>
            <w:tcW w:w="4869" w:type="dxa"/>
          </w:tcPr>
          <w:p w:rsidR="00361FBE" w:rsidRPr="00D57855" w:rsidRDefault="00361FBE">
            <w:pPr>
              <w:spacing w:line="276" w:lineRule="auto"/>
              <w:ind w:left="0" w:hanging="2"/>
              <w:rPr>
                <w:rFonts w:ascii="Times New Roman" w:eastAsia="Times New Roman" w:hAnsi="Times New Roman" w:cs="Times New Roman"/>
                <w:lang w:val="en-US"/>
              </w:rPr>
            </w:pPr>
          </w:p>
          <w:p w:rsidR="00361FBE" w:rsidRPr="00D57855" w:rsidRDefault="00D57855">
            <w:pPr>
              <w:pBdr>
                <w:top w:val="nil"/>
                <w:left w:val="nil"/>
                <w:bottom w:val="nil"/>
                <w:right w:val="nil"/>
                <w:between w:val="nil"/>
              </w:pBdr>
              <w:spacing w:before="2"/>
              <w:ind w:left="0" w:hanging="2"/>
              <w:rPr>
                <w:rFonts w:ascii="Times New Roman" w:eastAsia="Times New Roman" w:hAnsi="Times New Roman" w:cs="Times New Roman"/>
                <w:color w:val="000000"/>
                <w:lang w:val="en-US"/>
              </w:rPr>
            </w:pPr>
            <w:bookmarkStart w:id="2" w:name="_heading=h.32hioqz"/>
            <w:bookmarkEnd w:id="2"/>
            <w:r>
              <w:rPr>
                <w:rFonts w:ascii="Times New Roman" w:eastAsia="Times New Roman" w:hAnsi="Times New Roman" w:cs="Times New Roman"/>
                <w:color w:val="000000"/>
                <w:lang w:val="en-US"/>
              </w:rPr>
              <w:t>COV-04-IB</w:t>
            </w:r>
          </w:p>
          <w:p w:rsidR="00361FBE" w:rsidRPr="00D57855" w:rsidRDefault="00361FBE">
            <w:pPr>
              <w:pBdr>
                <w:top w:val="nil"/>
                <w:left w:val="nil"/>
                <w:bottom w:val="nil"/>
                <w:right w:val="nil"/>
                <w:between w:val="nil"/>
              </w:pBdr>
              <w:spacing w:before="2"/>
              <w:ind w:left="0" w:hanging="2"/>
              <w:rPr>
                <w:rFonts w:ascii="Times New Roman" w:eastAsia="Times New Roman" w:hAnsi="Times New Roman" w:cs="Times New Roman"/>
                <w:color w:val="000000"/>
                <w:lang w:val="en-US"/>
              </w:rPr>
            </w:pPr>
          </w:p>
          <w:p w:rsidR="00361FBE" w:rsidRPr="00D57855" w:rsidRDefault="00D57855">
            <w:pPr>
              <w:ind w:left="0" w:hanging="2"/>
              <w:jc w:val="both"/>
              <w:rPr>
                <w:rFonts w:ascii="Times New Roman" w:eastAsia="Times New Roman" w:hAnsi="Times New Roman" w:cs="Times New Roman"/>
                <w:lang w:val="en-US"/>
              </w:rPr>
            </w:pPr>
            <w:bookmarkStart w:id="3" w:name="_heading=h.1hmsyys"/>
            <w:bookmarkEnd w:id="3"/>
            <w:r>
              <w:rPr>
                <w:rFonts w:ascii="Times New Roman" w:eastAsia="Times New Roman" w:hAnsi="Times New Roman" w:cs="Times New Roman"/>
                <w:color w:val="000000"/>
                <w:lang w:val="en-US"/>
              </w:rPr>
              <w:t>Stepped-wedge cluster randomized clinical trial to evaluate the effectiveness of using the adsorbed COVID-19 vaccine (inactivated) produced by Sinovac</w:t>
            </w:r>
            <w:r>
              <w:rPr>
                <w:rFonts w:ascii="Times New Roman" w:eastAsia="Times New Roman" w:hAnsi="Times New Roman" w:cs="Times New Roman"/>
                <w:lang w:val="en-US"/>
              </w:rPr>
              <w:t xml:space="preserve"> </w:t>
            </w:r>
          </w:p>
          <w:p w:rsidR="00361FBE" w:rsidRPr="00D57855" w:rsidRDefault="00361FBE">
            <w:pPr>
              <w:ind w:left="0" w:hanging="2"/>
              <w:jc w:val="both"/>
              <w:rPr>
                <w:rFonts w:ascii="Times New Roman" w:eastAsia="Times New Roman" w:hAnsi="Times New Roman" w:cs="Times New Roman"/>
                <w:lang w:val="en-US"/>
              </w:rPr>
            </w:pPr>
            <w:bookmarkStart w:id="4" w:name="_heading=h.736yt1m8iexr" w:colFirst="0" w:colLast="0"/>
            <w:bookmarkEnd w:id="4"/>
          </w:p>
        </w:tc>
      </w:tr>
      <w:tr w:rsidR="00CB4726">
        <w:tc>
          <w:tcPr>
            <w:tcW w:w="4868" w:type="dxa"/>
          </w:tcPr>
          <w:p w:rsidR="00361FBE" w:rsidRDefault="00D57855">
            <w:pPr>
              <w:spacing w:line="276" w:lineRule="auto"/>
              <w:ind w:left="0" w:hanging="2"/>
              <w:rPr>
                <w:rFonts w:ascii="Times New Roman" w:eastAsia="Times New Roman" w:hAnsi="Times New Roman" w:cs="Times New Roman"/>
              </w:rPr>
            </w:pPr>
            <w:bookmarkStart w:id="5" w:name="_heading=h.41mghml"/>
            <w:bookmarkEnd w:id="5"/>
            <w:r>
              <w:rPr>
                <w:rFonts w:ascii="Times New Roman" w:eastAsia="Times New Roman" w:hAnsi="Times New Roman" w:cs="Times New Roman"/>
                <w:b/>
                <w:bCs/>
                <w:lang w:val="en-US"/>
              </w:rPr>
              <w:t>Protocol version and date</w:t>
            </w:r>
          </w:p>
        </w:tc>
        <w:tc>
          <w:tcPr>
            <w:tcW w:w="4869" w:type="dxa"/>
          </w:tcPr>
          <w:p w:rsidR="00361FBE" w:rsidRDefault="00D57855">
            <w:pPr>
              <w:spacing w:line="276" w:lineRule="auto"/>
              <w:ind w:left="0" w:hanging="2"/>
              <w:rPr>
                <w:rFonts w:ascii="Times New Roman" w:eastAsia="Times New Roman" w:hAnsi="Times New Roman" w:cs="Times New Roman"/>
              </w:rPr>
            </w:pPr>
            <w:bookmarkStart w:id="6" w:name="_heading=h.3fwokq0"/>
            <w:bookmarkEnd w:id="6"/>
            <w:r>
              <w:rPr>
                <w:rFonts w:ascii="Times New Roman" w:eastAsia="Times New Roman" w:hAnsi="Times New Roman" w:cs="Times New Roman"/>
                <w:lang w:val="en-US"/>
              </w:rPr>
              <w:t>0.3 of July 03, 2023</w:t>
            </w:r>
          </w:p>
          <w:p w:rsidR="00361FBE" w:rsidRDefault="00361FBE">
            <w:pPr>
              <w:spacing w:line="276" w:lineRule="auto"/>
              <w:ind w:left="0" w:hanging="2"/>
              <w:rPr>
                <w:rFonts w:ascii="Times New Roman" w:eastAsia="Times New Roman" w:hAnsi="Times New Roman" w:cs="Times New Roman"/>
              </w:rPr>
            </w:pPr>
          </w:p>
        </w:tc>
      </w:tr>
      <w:tr w:rsidR="00CB4726">
        <w:tc>
          <w:tcPr>
            <w:tcW w:w="4868" w:type="dxa"/>
          </w:tcPr>
          <w:p w:rsidR="00361FBE" w:rsidRDefault="00D57855">
            <w:pPr>
              <w:spacing w:line="276" w:lineRule="auto"/>
              <w:ind w:left="0" w:hanging="2"/>
              <w:rPr>
                <w:rFonts w:ascii="Times New Roman" w:eastAsia="Times New Roman" w:hAnsi="Times New Roman" w:cs="Times New Roman"/>
              </w:rPr>
            </w:pPr>
            <w:bookmarkStart w:id="7" w:name="_heading=h.1v1yuxt"/>
            <w:bookmarkEnd w:id="7"/>
            <w:r>
              <w:rPr>
                <w:rFonts w:ascii="Times New Roman" w:eastAsia="Times New Roman" w:hAnsi="Times New Roman" w:cs="Times New Roman"/>
                <w:b/>
                <w:bCs/>
                <w:lang w:val="en-US"/>
              </w:rPr>
              <w:t>SAP version and date</w:t>
            </w:r>
          </w:p>
        </w:tc>
        <w:tc>
          <w:tcPr>
            <w:tcW w:w="4869" w:type="dxa"/>
          </w:tcPr>
          <w:p w:rsidR="00361FBE" w:rsidRDefault="00D57855">
            <w:pPr>
              <w:spacing w:line="276" w:lineRule="auto"/>
              <w:ind w:left="0" w:hanging="2"/>
              <w:rPr>
                <w:rFonts w:ascii="Times New Roman" w:eastAsia="Times New Roman" w:hAnsi="Times New Roman" w:cs="Times New Roman"/>
              </w:rPr>
            </w:pPr>
            <w:bookmarkStart w:id="8" w:name="_heading=h.4f1mdlm"/>
            <w:bookmarkEnd w:id="8"/>
            <w:r>
              <w:rPr>
                <w:rFonts w:ascii="Times New Roman" w:eastAsia="Times New Roman" w:hAnsi="Times New Roman" w:cs="Times New Roman"/>
                <w:lang w:val="en-US"/>
              </w:rPr>
              <w:t>1.0 of July 06, 2023</w:t>
            </w:r>
          </w:p>
          <w:p w:rsidR="00361FBE" w:rsidRDefault="00361FBE">
            <w:pPr>
              <w:pBdr>
                <w:top w:val="nil"/>
                <w:left w:val="nil"/>
                <w:bottom w:val="nil"/>
                <w:right w:val="nil"/>
                <w:between w:val="nil"/>
              </w:pBdr>
              <w:spacing w:line="276" w:lineRule="auto"/>
              <w:ind w:left="0" w:hanging="2"/>
              <w:rPr>
                <w:rFonts w:ascii="Times New Roman" w:eastAsia="Times New Roman" w:hAnsi="Times New Roman" w:cs="Times New Roman"/>
              </w:rPr>
            </w:pPr>
          </w:p>
        </w:tc>
      </w:tr>
    </w:tbl>
    <w:p w:rsidR="00361FBE" w:rsidRDefault="00361FBE">
      <w:pPr>
        <w:spacing w:line="276" w:lineRule="auto"/>
        <w:ind w:left="0" w:hanging="2"/>
        <w:rPr>
          <w:rFonts w:ascii="Times New Roman" w:eastAsia="Times New Roman" w:hAnsi="Times New Roman" w:cs="Times New Roman"/>
        </w:rPr>
      </w:pPr>
    </w:p>
    <w:p w:rsidR="00361FBE" w:rsidRDefault="00361FBE">
      <w:pPr>
        <w:spacing w:line="276" w:lineRule="auto"/>
        <w:ind w:left="0" w:hanging="2"/>
        <w:jc w:val="both"/>
        <w:rPr>
          <w:rFonts w:ascii="Times New Roman" w:eastAsia="Times New Roman" w:hAnsi="Times New Roman" w:cs="Times New Roman"/>
        </w:rPr>
      </w:pPr>
    </w:p>
    <w:p w:rsidR="00361FBE" w:rsidRDefault="00361FBE">
      <w:pPr>
        <w:spacing w:line="276" w:lineRule="auto"/>
        <w:ind w:left="0" w:hanging="2"/>
        <w:jc w:val="both"/>
        <w:rPr>
          <w:rFonts w:ascii="Times New Roman" w:eastAsia="Times New Roman" w:hAnsi="Times New Roman" w:cs="Times New Roman"/>
        </w:rPr>
      </w:pPr>
    </w:p>
    <w:p w:rsidR="00361FBE" w:rsidRDefault="00361FBE">
      <w:pPr>
        <w:spacing w:line="276" w:lineRule="auto"/>
        <w:ind w:left="0" w:hanging="2"/>
        <w:jc w:val="center"/>
        <w:rPr>
          <w:lang w:val="en-US"/>
        </w:rPr>
      </w:pPr>
      <w:bookmarkStart w:id="9" w:name="_heading=h.2u6wntf"/>
      <w:bookmarkEnd w:id="9"/>
    </w:p>
    <w:p w:rsidR="00B616BF" w:rsidRDefault="00B616BF">
      <w:pPr>
        <w:spacing w:line="276" w:lineRule="auto"/>
        <w:ind w:left="0" w:hanging="2"/>
        <w:jc w:val="center"/>
        <w:rPr>
          <w:lang w:val="en-US"/>
        </w:rPr>
      </w:pPr>
    </w:p>
    <w:p w:rsidR="00B616BF" w:rsidRDefault="00B616BF">
      <w:pPr>
        <w:spacing w:line="276" w:lineRule="auto"/>
        <w:ind w:left="0" w:hanging="2"/>
        <w:jc w:val="center"/>
        <w:rPr>
          <w:lang w:val="en-US"/>
        </w:rPr>
      </w:pPr>
    </w:p>
    <w:p w:rsidR="00B616BF" w:rsidRPr="00D57855" w:rsidRDefault="00B616BF">
      <w:pPr>
        <w:spacing w:line="276" w:lineRule="auto"/>
        <w:ind w:left="0" w:hanging="2"/>
        <w:jc w:val="center"/>
        <w:rPr>
          <w:lang w:val="en-US"/>
        </w:rPr>
      </w:pPr>
    </w:p>
    <w:p w:rsidR="00361FBE" w:rsidRDefault="00D57855">
      <w:pPr>
        <w:spacing w:line="276" w:lineRule="auto"/>
        <w:ind w:left="0" w:hanging="2"/>
        <w:jc w:val="center"/>
        <w:rPr>
          <w:rFonts w:ascii="Times New Roman" w:eastAsia="Times New Roman" w:hAnsi="Times New Roman" w:cs="Times New Roman"/>
        </w:rPr>
      </w:pPr>
      <w:bookmarkStart w:id="10" w:name="_heading=h.3tbugp1"/>
      <w:bookmarkEnd w:id="10"/>
      <w:r w:rsidRPr="00D57855">
        <w:rPr>
          <w:rFonts w:ascii="Times New Roman" w:eastAsia="Times New Roman" w:hAnsi="Times New Roman" w:cs="Times New Roman"/>
        </w:rPr>
        <w:t>Instituto Butantan</w:t>
      </w:r>
    </w:p>
    <w:p w:rsidR="00361FBE" w:rsidRDefault="00D57855">
      <w:pPr>
        <w:spacing w:line="276" w:lineRule="auto"/>
        <w:ind w:left="0" w:hanging="2"/>
        <w:jc w:val="center"/>
        <w:rPr>
          <w:rFonts w:ascii="Times New Roman" w:eastAsia="Times New Roman" w:hAnsi="Times New Roman" w:cs="Times New Roman"/>
        </w:rPr>
      </w:pPr>
      <w:bookmarkStart w:id="11" w:name="_heading=h.28h4qwu"/>
      <w:bookmarkEnd w:id="11"/>
      <w:r w:rsidRPr="00D57855">
        <w:rPr>
          <w:rFonts w:ascii="Times New Roman" w:eastAsia="Times New Roman" w:hAnsi="Times New Roman" w:cs="Times New Roman"/>
        </w:rPr>
        <w:t>Av. Vital Brasil, 1500, Butantã</w:t>
      </w:r>
    </w:p>
    <w:p w:rsidR="00361FBE" w:rsidRDefault="00D57855">
      <w:pPr>
        <w:spacing w:line="276" w:lineRule="auto"/>
        <w:ind w:left="0" w:hanging="2"/>
        <w:jc w:val="center"/>
        <w:rPr>
          <w:rFonts w:ascii="Times New Roman" w:eastAsia="Times New Roman" w:hAnsi="Times New Roman" w:cs="Times New Roman"/>
        </w:rPr>
        <w:sectPr w:rsidR="00361FBE">
          <w:headerReference w:type="even" r:id="rId10"/>
          <w:headerReference w:type="default" r:id="rId11"/>
          <w:footerReference w:type="even" r:id="rId12"/>
          <w:footerReference w:type="default" r:id="rId13"/>
          <w:headerReference w:type="first" r:id="rId14"/>
          <w:footerReference w:type="first" r:id="rId15"/>
          <w:pgSz w:w="11907" w:h="16840"/>
          <w:pgMar w:top="1440" w:right="1080" w:bottom="1440" w:left="1080" w:header="720" w:footer="720" w:gutter="0"/>
          <w:pgNumType w:start="1"/>
          <w:cols w:space="720"/>
        </w:sectPr>
      </w:pPr>
      <w:bookmarkStart w:id="12" w:name="_heading=h.nmf14n"/>
      <w:bookmarkEnd w:id="12"/>
      <w:r w:rsidRPr="00D57855">
        <w:rPr>
          <w:rFonts w:ascii="Times New Roman" w:eastAsia="Times New Roman" w:hAnsi="Times New Roman" w:cs="Times New Roman"/>
        </w:rPr>
        <w:t xml:space="preserve">São Paulo – SP 05503-900 – </w:t>
      </w:r>
      <w:proofErr w:type="spellStart"/>
      <w:r w:rsidRPr="00D57855">
        <w:rPr>
          <w:rFonts w:ascii="Times New Roman" w:eastAsia="Times New Roman" w:hAnsi="Times New Roman" w:cs="Times New Roman"/>
        </w:rPr>
        <w:t>Brazil</w:t>
      </w:r>
      <w:proofErr w:type="spellEnd"/>
    </w:p>
    <w:p w:rsidR="00361FBE" w:rsidRDefault="00361FBE">
      <w:pPr>
        <w:spacing w:line="276" w:lineRule="auto"/>
        <w:ind w:left="0" w:hanging="2"/>
        <w:rPr>
          <w:rFonts w:ascii="Times New Roman" w:eastAsia="Times New Roman" w:hAnsi="Times New Roman" w:cs="Times New Roman"/>
        </w:rPr>
      </w:pPr>
    </w:p>
    <w:p w:rsidR="00361FBE" w:rsidRDefault="00D57855">
      <w:pPr>
        <w:spacing w:line="276" w:lineRule="auto"/>
        <w:ind w:left="0" w:hanging="2"/>
        <w:rPr>
          <w:rFonts w:ascii="Times New Roman" w:eastAsia="Times New Roman" w:hAnsi="Times New Roman" w:cs="Times New Roman"/>
        </w:rPr>
      </w:pPr>
      <w:bookmarkStart w:id="13" w:name="_heading=h.37m2jsg"/>
      <w:bookmarkEnd w:id="13"/>
      <w:r>
        <w:rPr>
          <w:rFonts w:ascii="Times New Roman" w:eastAsia="Times New Roman" w:hAnsi="Times New Roman" w:cs="Times New Roman"/>
          <w:b/>
          <w:bCs/>
          <w:lang w:val="en-US"/>
        </w:rPr>
        <w:t>SIGNATURE PAGE</w:t>
      </w:r>
    </w:p>
    <w:p w:rsidR="00361FBE" w:rsidRDefault="00361FBE">
      <w:pPr>
        <w:spacing w:line="276" w:lineRule="auto"/>
        <w:ind w:left="0" w:hanging="2"/>
        <w:rPr>
          <w:rFonts w:ascii="Times New Roman" w:eastAsia="Times New Roman" w:hAnsi="Times New Roman" w:cs="Times New Roman"/>
        </w:rPr>
      </w:pPr>
    </w:p>
    <w:p w:rsidR="00361FBE" w:rsidRDefault="00361FBE">
      <w:pPr>
        <w:spacing w:line="276" w:lineRule="auto"/>
        <w:ind w:left="0" w:hanging="2"/>
        <w:rPr>
          <w:rFonts w:ascii="Times New Roman" w:eastAsia="Times New Roman" w:hAnsi="Times New Roman" w:cs="Times New Roman"/>
        </w:rPr>
      </w:pPr>
    </w:p>
    <w:tbl>
      <w:tblPr>
        <w:tblStyle w:val="afff"/>
        <w:tblW w:w="9450" w:type="dxa"/>
        <w:tblInd w:w="-54" w:type="dxa"/>
        <w:tblBorders>
          <w:top w:val="nil"/>
          <w:left w:val="nil"/>
          <w:bottom w:val="single" w:sz="4" w:space="0" w:color="000000"/>
          <w:right w:val="nil"/>
          <w:insideH w:val="single" w:sz="6" w:space="0" w:color="000000"/>
          <w:insideV w:val="nil"/>
        </w:tblBorders>
        <w:tblLayout w:type="fixed"/>
        <w:tblLook w:val="0000" w:firstRow="0" w:lastRow="0" w:firstColumn="0" w:lastColumn="0" w:noHBand="0" w:noVBand="0"/>
      </w:tblPr>
      <w:tblGrid>
        <w:gridCol w:w="1330"/>
        <w:gridCol w:w="1595"/>
        <w:gridCol w:w="1965"/>
        <w:gridCol w:w="1605"/>
        <w:gridCol w:w="2955"/>
      </w:tblGrid>
      <w:tr w:rsidR="00CB4726" w:rsidTr="00D57855">
        <w:trPr>
          <w:trHeight w:val="170"/>
        </w:trPr>
        <w:tc>
          <w:tcPr>
            <w:tcW w:w="1330" w:type="dxa"/>
            <w:tcBorders>
              <w:top w:val="single" w:sz="4" w:space="0" w:color="000000"/>
              <w:bottom w:val="single" w:sz="6" w:space="0" w:color="000000"/>
            </w:tcBorders>
            <w:shd w:val="clear" w:color="auto" w:fill="FFFFFF"/>
            <w:vAlign w:val="center"/>
          </w:tcPr>
          <w:p w:rsidR="00361FBE" w:rsidRDefault="00361FBE">
            <w:pPr>
              <w:spacing w:line="276" w:lineRule="auto"/>
              <w:ind w:left="0" w:hanging="2"/>
              <w:rPr>
                <w:rFonts w:ascii="Times New Roman" w:eastAsia="Times New Roman" w:hAnsi="Times New Roman" w:cs="Times New Roman"/>
              </w:rPr>
            </w:pPr>
          </w:p>
        </w:tc>
        <w:tc>
          <w:tcPr>
            <w:tcW w:w="1595" w:type="dxa"/>
            <w:tcBorders>
              <w:top w:val="single" w:sz="4" w:space="0" w:color="000000"/>
              <w:bottom w:val="single" w:sz="6" w:space="0" w:color="000000"/>
            </w:tcBorders>
            <w:shd w:val="clear" w:color="auto" w:fill="FFFFFF"/>
            <w:vAlign w:val="center"/>
          </w:tcPr>
          <w:p w:rsidR="00361FBE" w:rsidRDefault="00D57855">
            <w:pPr>
              <w:tabs>
                <w:tab w:val="left" w:pos="1702"/>
              </w:tabs>
              <w:spacing w:line="276" w:lineRule="auto"/>
              <w:ind w:left="0" w:hanging="2"/>
              <w:jc w:val="center"/>
              <w:rPr>
                <w:rFonts w:ascii="Times New Roman" w:eastAsia="Times New Roman" w:hAnsi="Times New Roman" w:cs="Times New Roman"/>
              </w:rPr>
            </w:pPr>
            <w:bookmarkStart w:id="14" w:name="_heading=h.1mrcu09"/>
            <w:bookmarkEnd w:id="14"/>
            <w:r>
              <w:rPr>
                <w:rFonts w:ascii="Times New Roman" w:eastAsia="Times New Roman" w:hAnsi="Times New Roman" w:cs="Times New Roman"/>
                <w:b/>
                <w:bCs/>
                <w:lang w:val="en-US"/>
              </w:rPr>
              <w:t>Name</w:t>
            </w:r>
          </w:p>
        </w:tc>
        <w:tc>
          <w:tcPr>
            <w:tcW w:w="1965" w:type="dxa"/>
            <w:tcBorders>
              <w:top w:val="single" w:sz="4" w:space="0" w:color="000000"/>
              <w:bottom w:val="single" w:sz="6" w:space="0" w:color="000000"/>
            </w:tcBorders>
            <w:shd w:val="clear" w:color="auto" w:fill="FFFFFF"/>
            <w:vAlign w:val="center"/>
          </w:tcPr>
          <w:p w:rsidR="00361FBE" w:rsidRDefault="00D57855">
            <w:pPr>
              <w:tabs>
                <w:tab w:val="left" w:pos="1702"/>
              </w:tabs>
              <w:spacing w:line="276" w:lineRule="auto"/>
              <w:ind w:left="0" w:hanging="2"/>
              <w:jc w:val="center"/>
              <w:rPr>
                <w:rFonts w:ascii="Times New Roman" w:eastAsia="Times New Roman" w:hAnsi="Times New Roman" w:cs="Times New Roman"/>
              </w:rPr>
            </w:pPr>
            <w:bookmarkStart w:id="15" w:name="_heading=h.46r0co2"/>
            <w:bookmarkEnd w:id="15"/>
            <w:r>
              <w:rPr>
                <w:rFonts w:ascii="Times New Roman" w:eastAsia="Times New Roman" w:hAnsi="Times New Roman" w:cs="Times New Roman"/>
                <w:b/>
                <w:bCs/>
                <w:lang w:val="en-US"/>
              </w:rPr>
              <w:t>Title</w:t>
            </w:r>
          </w:p>
        </w:tc>
        <w:tc>
          <w:tcPr>
            <w:tcW w:w="1605" w:type="dxa"/>
            <w:tcBorders>
              <w:top w:val="single" w:sz="4" w:space="0" w:color="000000"/>
              <w:bottom w:val="single" w:sz="6" w:space="0" w:color="000000"/>
            </w:tcBorders>
            <w:shd w:val="clear" w:color="auto" w:fill="FFFFFF"/>
            <w:vAlign w:val="center"/>
          </w:tcPr>
          <w:p w:rsidR="00361FBE" w:rsidRDefault="00D57855">
            <w:pPr>
              <w:tabs>
                <w:tab w:val="right" w:pos="2552"/>
              </w:tabs>
              <w:spacing w:line="276" w:lineRule="auto"/>
              <w:ind w:left="0" w:hanging="2"/>
              <w:jc w:val="center"/>
              <w:rPr>
                <w:rFonts w:ascii="Times New Roman" w:eastAsia="Times New Roman" w:hAnsi="Times New Roman" w:cs="Times New Roman"/>
              </w:rPr>
            </w:pPr>
            <w:bookmarkStart w:id="16" w:name="_heading=h.2lwamvv"/>
            <w:bookmarkEnd w:id="16"/>
            <w:r>
              <w:rPr>
                <w:rFonts w:ascii="Times New Roman" w:eastAsia="Times New Roman" w:hAnsi="Times New Roman" w:cs="Times New Roman"/>
                <w:b/>
                <w:bCs/>
                <w:lang w:val="en-US"/>
              </w:rPr>
              <w:t>Date</w:t>
            </w:r>
          </w:p>
        </w:tc>
        <w:tc>
          <w:tcPr>
            <w:tcW w:w="2955" w:type="dxa"/>
            <w:tcBorders>
              <w:top w:val="single" w:sz="4" w:space="0" w:color="000000"/>
              <w:bottom w:val="single" w:sz="6" w:space="0" w:color="000000"/>
            </w:tcBorders>
            <w:shd w:val="clear" w:color="auto" w:fill="FFFFFF"/>
            <w:vAlign w:val="center"/>
          </w:tcPr>
          <w:p w:rsidR="00361FBE" w:rsidRDefault="00D57855">
            <w:pPr>
              <w:tabs>
                <w:tab w:val="right" w:pos="2977"/>
              </w:tabs>
              <w:spacing w:line="276" w:lineRule="auto"/>
              <w:ind w:left="0" w:hanging="2"/>
              <w:jc w:val="center"/>
              <w:rPr>
                <w:rFonts w:ascii="Times New Roman" w:eastAsia="Times New Roman" w:hAnsi="Times New Roman" w:cs="Times New Roman"/>
              </w:rPr>
            </w:pPr>
            <w:bookmarkStart w:id="17" w:name="_heading=h.111kx3o"/>
            <w:bookmarkEnd w:id="17"/>
            <w:r>
              <w:rPr>
                <w:rFonts w:ascii="Times New Roman" w:eastAsia="Times New Roman" w:hAnsi="Times New Roman" w:cs="Times New Roman"/>
                <w:b/>
                <w:bCs/>
                <w:lang w:val="en-US"/>
              </w:rPr>
              <w:t>Signature</w:t>
            </w:r>
          </w:p>
        </w:tc>
      </w:tr>
      <w:tr w:rsidR="00CB4726" w:rsidTr="00D57855">
        <w:trPr>
          <w:trHeight w:val="737"/>
        </w:trPr>
        <w:tc>
          <w:tcPr>
            <w:tcW w:w="1330" w:type="dxa"/>
          </w:tcPr>
          <w:p w:rsidR="00361FBE" w:rsidRDefault="00D57855">
            <w:pPr>
              <w:spacing w:line="276" w:lineRule="auto"/>
              <w:ind w:left="0" w:hanging="2"/>
              <w:rPr>
                <w:rFonts w:ascii="Times New Roman" w:eastAsia="Times New Roman" w:hAnsi="Times New Roman" w:cs="Times New Roman"/>
              </w:rPr>
            </w:pPr>
            <w:bookmarkStart w:id="18" w:name="_heading=h.3l18frh"/>
            <w:bookmarkEnd w:id="18"/>
            <w:r>
              <w:rPr>
                <w:rFonts w:ascii="Times New Roman" w:eastAsia="Times New Roman" w:hAnsi="Times New Roman" w:cs="Times New Roman"/>
                <w:b/>
                <w:bCs/>
                <w:lang w:val="en-US"/>
              </w:rPr>
              <w:t>Elaborated by:</w:t>
            </w:r>
          </w:p>
        </w:tc>
        <w:tc>
          <w:tcPr>
            <w:tcW w:w="1595" w:type="dxa"/>
          </w:tcPr>
          <w:p w:rsidR="00361FBE" w:rsidRDefault="00D57855">
            <w:pPr>
              <w:tabs>
                <w:tab w:val="left" w:pos="1702"/>
              </w:tabs>
              <w:spacing w:line="276" w:lineRule="auto"/>
              <w:ind w:left="0" w:hanging="2"/>
              <w:rPr>
                <w:rFonts w:ascii="Times New Roman" w:eastAsia="Times New Roman" w:hAnsi="Times New Roman" w:cs="Times New Roman"/>
              </w:rPr>
            </w:pPr>
            <w:bookmarkStart w:id="19" w:name="_heading=h.206ipza"/>
            <w:bookmarkEnd w:id="19"/>
            <w:r>
              <w:rPr>
                <w:rFonts w:ascii="Times New Roman" w:eastAsia="Times New Roman" w:hAnsi="Times New Roman" w:cs="Times New Roman"/>
                <w:lang w:val="en-US"/>
              </w:rPr>
              <w:t>Marcos Alves de Lima</w:t>
            </w:r>
          </w:p>
        </w:tc>
        <w:tc>
          <w:tcPr>
            <w:tcW w:w="1965" w:type="dxa"/>
          </w:tcPr>
          <w:p w:rsidR="00361FBE" w:rsidRDefault="00D57855">
            <w:pPr>
              <w:tabs>
                <w:tab w:val="left" w:pos="1702"/>
              </w:tabs>
              <w:spacing w:line="276" w:lineRule="auto"/>
              <w:ind w:left="0" w:hanging="2"/>
              <w:rPr>
                <w:rFonts w:ascii="Times New Roman" w:eastAsia="Times New Roman" w:hAnsi="Times New Roman" w:cs="Times New Roman"/>
              </w:rPr>
            </w:pPr>
            <w:bookmarkStart w:id="20" w:name="_heading=h.4k668n3"/>
            <w:bookmarkEnd w:id="20"/>
            <w:r>
              <w:rPr>
                <w:rFonts w:ascii="Times New Roman" w:eastAsia="Times New Roman" w:hAnsi="Times New Roman" w:cs="Times New Roman"/>
                <w:lang w:val="en-US"/>
              </w:rPr>
              <w:t>Biostatistics Specialist</w:t>
            </w:r>
          </w:p>
        </w:tc>
        <w:tc>
          <w:tcPr>
            <w:tcW w:w="1605" w:type="dxa"/>
          </w:tcPr>
          <w:p w:rsidR="00361FBE" w:rsidRDefault="00361FBE">
            <w:pPr>
              <w:tabs>
                <w:tab w:val="right" w:pos="2552"/>
              </w:tabs>
              <w:spacing w:line="276" w:lineRule="auto"/>
              <w:ind w:left="0" w:hanging="2"/>
              <w:rPr>
                <w:rFonts w:ascii="Times New Roman" w:eastAsia="Times New Roman" w:hAnsi="Times New Roman" w:cs="Times New Roman"/>
              </w:rPr>
            </w:pPr>
          </w:p>
        </w:tc>
        <w:tc>
          <w:tcPr>
            <w:tcW w:w="2955" w:type="dxa"/>
          </w:tcPr>
          <w:p w:rsidR="00361FBE" w:rsidRDefault="00361FBE">
            <w:pPr>
              <w:tabs>
                <w:tab w:val="right" w:pos="2977"/>
              </w:tabs>
              <w:spacing w:line="276" w:lineRule="auto"/>
              <w:ind w:left="0" w:hanging="2"/>
              <w:rPr>
                <w:rFonts w:ascii="Times New Roman" w:eastAsia="Times New Roman" w:hAnsi="Times New Roman" w:cs="Times New Roman"/>
              </w:rPr>
            </w:pPr>
          </w:p>
        </w:tc>
      </w:tr>
      <w:tr w:rsidR="00CB4726" w:rsidTr="00D57855">
        <w:trPr>
          <w:trHeight w:val="737"/>
        </w:trPr>
        <w:tc>
          <w:tcPr>
            <w:tcW w:w="1330" w:type="dxa"/>
          </w:tcPr>
          <w:p w:rsidR="00361FBE" w:rsidRDefault="00D57855">
            <w:pPr>
              <w:spacing w:line="276" w:lineRule="auto"/>
              <w:ind w:left="0" w:hanging="2"/>
              <w:rPr>
                <w:rFonts w:ascii="Times New Roman" w:eastAsia="Times New Roman" w:hAnsi="Times New Roman" w:cs="Times New Roman"/>
                <w:b/>
              </w:rPr>
            </w:pPr>
            <w:r>
              <w:rPr>
                <w:rFonts w:ascii="Times New Roman" w:eastAsia="Times New Roman" w:hAnsi="Times New Roman" w:cs="Times New Roman"/>
                <w:b/>
                <w:bCs/>
                <w:lang w:val="en-US"/>
              </w:rPr>
              <w:t>Elaborated by:</w:t>
            </w:r>
          </w:p>
        </w:tc>
        <w:tc>
          <w:tcPr>
            <w:tcW w:w="1595" w:type="dxa"/>
          </w:tcPr>
          <w:p w:rsidR="00361FBE" w:rsidRDefault="00D57855">
            <w:pPr>
              <w:tabs>
                <w:tab w:val="left" w:pos="1702"/>
              </w:tabs>
              <w:spacing w:line="276" w:lineRule="auto"/>
              <w:ind w:left="0" w:hanging="2"/>
              <w:rPr>
                <w:rFonts w:ascii="Times New Roman" w:eastAsia="Times New Roman" w:hAnsi="Times New Roman" w:cs="Times New Roman"/>
              </w:rPr>
            </w:pPr>
            <w:r w:rsidRPr="00D57855">
              <w:rPr>
                <w:rFonts w:ascii="Times New Roman" w:eastAsia="Times New Roman" w:hAnsi="Times New Roman" w:cs="Times New Roman"/>
              </w:rPr>
              <w:t>Pedro Henrique de Mesquita Pacheco</w:t>
            </w:r>
          </w:p>
        </w:tc>
        <w:tc>
          <w:tcPr>
            <w:tcW w:w="1965" w:type="dxa"/>
          </w:tcPr>
          <w:p w:rsidR="00361FBE" w:rsidRDefault="00D57855">
            <w:pPr>
              <w:tabs>
                <w:tab w:val="left" w:pos="1702"/>
              </w:tabs>
              <w:spacing w:line="276" w:lineRule="auto"/>
              <w:ind w:left="0" w:hanging="2"/>
              <w:rPr>
                <w:rFonts w:ascii="Times New Roman" w:eastAsia="Times New Roman" w:hAnsi="Times New Roman" w:cs="Times New Roman"/>
              </w:rPr>
            </w:pPr>
            <w:r>
              <w:rPr>
                <w:rFonts w:ascii="Times New Roman" w:eastAsia="Times New Roman" w:hAnsi="Times New Roman" w:cs="Times New Roman"/>
                <w:lang w:val="en-US"/>
              </w:rPr>
              <w:t>Biostatistics Analyst</w:t>
            </w:r>
          </w:p>
        </w:tc>
        <w:tc>
          <w:tcPr>
            <w:tcW w:w="1605" w:type="dxa"/>
          </w:tcPr>
          <w:p w:rsidR="00361FBE" w:rsidRDefault="00361FBE">
            <w:pPr>
              <w:tabs>
                <w:tab w:val="right" w:pos="2552"/>
              </w:tabs>
              <w:spacing w:line="276" w:lineRule="auto"/>
              <w:ind w:left="0" w:hanging="2"/>
              <w:rPr>
                <w:rFonts w:ascii="Times New Roman" w:eastAsia="Times New Roman" w:hAnsi="Times New Roman" w:cs="Times New Roman"/>
              </w:rPr>
            </w:pPr>
          </w:p>
        </w:tc>
        <w:tc>
          <w:tcPr>
            <w:tcW w:w="2955" w:type="dxa"/>
          </w:tcPr>
          <w:p w:rsidR="00361FBE" w:rsidRDefault="00361FBE">
            <w:pPr>
              <w:tabs>
                <w:tab w:val="right" w:pos="2977"/>
              </w:tabs>
              <w:spacing w:line="276" w:lineRule="auto"/>
              <w:ind w:left="0" w:hanging="2"/>
              <w:rPr>
                <w:rFonts w:ascii="Times New Roman" w:eastAsia="Times New Roman" w:hAnsi="Times New Roman" w:cs="Times New Roman"/>
              </w:rPr>
            </w:pPr>
          </w:p>
        </w:tc>
      </w:tr>
      <w:tr w:rsidR="00CB4726" w:rsidTr="00D57855">
        <w:trPr>
          <w:trHeight w:val="737"/>
        </w:trPr>
        <w:tc>
          <w:tcPr>
            <w:tcW w:w="1330" w:type="dxa"/>
          </w:tcPr>
          <w:p w:rsidR="00361FBE" w:rsidRDefault="00D57855">
            <w:pPr>
              <w:spacing w:line="276" w:lineRule="auto"/>
              <w:ind w:left="0" w:hanging="2"/>
              <w:rPr>
                <w:rFonts w:ascii="Times New Roman" w:eastAsia="Times New Roman" w:hAnsi="Times New Roman" w:cs="Times New Roman"/>
                <w:b/>
              </w:rPr>
            </w:pPr>
            <w:bookmarkStart w:id="21" w:name="_heading=h.2zbgiuw"/>
            <w:bookmarkEnd w:id="21"/>
            <w:r>
              <w:rPr>
                <w:rFonts w:ascii="Times New Roman" w:eastAsia="Times New Roman" w:hAnsi="Times New Roman" w:cs="Times New Roman"/>
                <w:b/>
                <w:bCs/>
                <w:lang w:val="en-US"/>
              </w:rPr>
              <w:t>Reviewed by:</w:t>
            </w:r>
          </w:p>
        </w:tc>
        <w:tc>
          <w:tcPr>
            <w:tcW w:w="1595" w:type="dxa"/>
          </w:tcPr>
          <w:p w:rsidR="00361FBE" w:rsidRDefault="00D57855">
            <w:pPr>
              <w:tabs>
                <w:tab w:val="left" w:pos="1702"/>
              </w:tabs>
              <w:spacing w:line="276" w:lineRule="auto"/>
              <w:ind w:left="0" w:hanging="2"/>
              <w:rPr>
                <w:rFonts w:ascii="Times New Roman" w:eastAsia="Times New Roman" w:hAnsi="Times New Roman" w:cs="Times New Roman"/>
              </w:rPr>
            </w:pPr>
            <w:bookmarkStart w:id="22" w:name="_heading=h.1egqt2p"/>
            <w:bookmarkEnd w:id="22"/>
            <w:r>
              <w:rPr>
                <w:rFonts w:ascii="Times New Roman" w:eastAsia="Times New Roman" w:hAnsi="Times New Roman" w:cs="Times New Roman"/>
                <w:lang w:val="en-US"/>
              </w:rPr>
              <w:t>Elizabeth Gonzalez Patiño</w:t>
            </w:r>
          </w:p>
        </w:tc>
        <w:tc>
          <w:tcPr>
            <w:tcW w:w="1965" w:type="dxa"/>
          </w:tcPr>
          <w:p w:rsidR="00361FBE" w:rsidRDefault="00D57855">
            <w:pPr>
              <w:tabs>
                <w:tab w:val="left" w:pos="1702"/>
              </w:tabs>
              <w:spacing w:line="276" w:lineRule="auto"/>
              <w:ind w:left="0" w:hanging="2"/>
              <w:rPr>
                <w:rFonts w:ascii="Times New Roman" w:eastAsia="Times New Roman" w:hAnsi="Times New Roman" w:cs="Times New Roman"/>
              </w:rPr>
            </w:pPr>
            <w:bookmarkStart w:id="23" w:name="_heading=h.3ygebqi"/>
            <w:bookmarkEnd w:id="23"/>
            <w:r>
              <w:rPr>
                <w:rFonts w:ascii="Times New Roman" w:eastAsia="Times New Roman" w:hAnsi="Times New Roman" w:cs="Times New Roman"/>
                <w:lang w:val="en-US"/>
              </w:rPr>
              <w:t>Biostatistics Coordinator</w:t>
            </w:r>
          </w:p>
        </w:tc>
        <w:tc>
          <w:tcPr>
            <w:tcW w:w="1605" w:type="dxa"/>
          </w:tcPr>
          <w:p w:rsidR="00361FBE" w:rsidRDefault="00361FBE">
            <w:pPr>
              <w:tabs>
                <w:tab w:val="right" w:pos="2552"/>
              </w:tabs>
              <w:spacing w:line="276" w:lineRule="auto"/>
              <w:ind w:left="0" w:hanging="2"/>
              <w:rPr>
                <w:rFonts w:ascii="Times New Roman" w:eastAsia="Times New Roman" w:hAnsi="Times New Roman" w:cs="Times New Roman"/>
              </w:rPr>
            </w:pPr>
          </w:p>
        </w:tc>
        <w:tc>
          <w:tcPr>
            <w:tcW w:w="2955" w:type="dxa"/>
          </w:tcPr>
          <w:p w:rsidR="00361FBE" w:rsidRDefault="00361FBE">
            <w:pPr>
              <w:tabs>
                <w:tab w:val="right" w:pos="2977"/>
              </w:tabs>
              <w:spacing w:line="276" w:lineRule="auto"/>
              <w:ind w:left="0" w:hanging="2"/>
              <w:rPr>
                <w:rFonts w:ascii="Times New Roman" w:eastAsia="Times New Roman" w:hAnsi="Times New Roman" w:cs="Times New Roman"/>
              </w:rPr>
            </w:pPr>
          </w:p>
        </w:tc>
      </w:tr>
      <w:tr w:rsidR="00CB4726" w:rsidTr="00D57855">
        <w:trPr>
          <w:trHeight w:val="737"/>
        </w:trPr>
        <w:tc>
          <w:tcPr>
            <w:tcW w:w="1330" w:type="dxa"/>
          </w:tcPr>
          <w:p w:rsidR="00361FBE" w:rsidRDefault="00D57855">
            <w:pPr>
              <w:spacing w:line="276" w:lineRule="auto"/>
              <w:ind w:left="0" w:hanging="2"/>
              <w:rPr>
                <w:rFonts w:ascii="Times New Roman" w:eastAsia="Times New Roman" w:hAnsi="Times New Roman" w:cs="Times New Roman"/>
              </w:rPr>
            </w:pPr>
            <w:bookmarkStart w:id="24" w:name="_heading=h.2dlolyb"/>
            <w:bookmarkEnd w:id="24"/>
            <w:r>
              <w:rPr>
                <w:rFonts w:ascii="Times New Roman" w:eastAsia="Times New Roman" w:hAnsi="Times New Roman" w:cs="Times New Roman"/>
                <w:b/>
                <w:bCs/>
                <w:lang w:val="en-US"/>
              </w:rPr>
              <w:t>Reviewed by:</w:t>
            </w:r>
          </w:p>
        </w:tc>
        <w:tc>
          <w:tcPr>
            <w:tcW w:w="1595" w:type="dxa"/>
          </w:tcPr>
          <w:p w:rsidR="00361FBE" w:rsidRDefault="00D57855">
            <w:pPr>
              <w:pBdr>
                <w:top w:val="nil"/>
                <w:left w:val="nil"/>
                <w:bottom w:val="nil"/>
                <w:right w:val="nil"/>
                <w:between w:val="nil"/>
              </w:pBdr>
              <w:spacing w:line="240" w:lineRule="auto"/>
              <w:ind w:left="0" w:hanging="2"/>
              <w:rPr>
                <w:rFonts w:ascii="Times New Roman" w:eastAsia="Times New Roman" w:hAnsi="Times New Roman" w:cs="Times New Roman"/>
                <w:color w:val="000000"/>
              </w:rPr>
            </w:pPr>
            <w:bookmarkStart w:id="25" w:name="_heading=h.sqyw64"/>
            <w:bookmarkEnd w:id="25"/>
            <w:r>
              <w:rPr>
                <w:rFonts w:ascii="Times New Roman" w:eastAsia="Times New Roman" w:hAnsi="Times New Roman" w:cs="Times New Roman"/>
                <w:lang w:val="en-US"/>
              </w:rPr>
              <w:t>Patrícia Emília Braga</w:t>
            </w:r>
          </w:p>
        </w:tc>
        <w:tc>
          <w:tcPr>
            <w:tcW w:w="1965" w:type="dxa"/>
          </w:tcPr>
          <w:p w:rsidR="00361FBE" w:rsidRDefault="00D57855">
            <w:pPr>
              <w:pBdr>
                <w:top w:val="nil"/>
                <w:left w:val="nil"/>
                <w:bottom w:val="nil"/>
                <w:right w:val="nil"/>
                <w:between w:val="nil"/>
              </w:pBdr>
              <w:spacing w:line="240" w:lineRule="auto"/>
              <w:ind w:left="0" w:hanging="2"/>
              <w:rPr>
                <w:rFonts w:ascii="Times New Roman" w:eastAsia="Times New Roman" w:hAnsi="Times New Roman" w:cs="Times New Roman"/>
                <w:color w:val="000000"/>
              </w:rPr>
            </w:pPr>
            <w:bookmarkStart w:id="26" w:name="_heading=h.3cqmetx"/>
            <w:bookmarkEnd w:id="26"/>
            <w:r>
              <w:rPr>
                <w:rFonts w:ascii="Times New Roman" w:eastAsia="Times New Roman" w:hAnsi="Times New Roman" w:cs="Times New Roman"/>
                <w:lang w:val="en-US"/>
              </w:rPr>
              <w:t>Biostatistics Manager</w:t>
            </w:r>
          </w:p>
        </w:tc>
        <w:tc>
          <w:tcPr>
            <w:tcW w:w="1605" w:type="dxa"/>
          </w:tcPr>
          <w:p w:rsidR="00361FBE" w:rsidRDefault="00361FBE">
            <w:pPr>
              <w:tabs>
                <w:tab w:val="right" w:pos="2552"/>
              </w:tabs>
              <w:spacing w:line="276" w:lineRule="auto"/>
              <w:ind w:left="0" w:hanging="2"/>
              <w:rPr>
                <w:rFonts w:ascii="Times New Roman" w:eastAsia="Times New Roman" w:hAnsi="Times New Roman" w:cs="Times New Roman"/>
              </w:rPr>
            </w:pPr>
          </w:p>
        </w:tc>
        <w:tc>
          <w:tcPr>
            <w:tcW w:w="2955" w:type="dxa"/>
          </w:tcPr>
          <w:p w:rsidR="00361FBE" w:rsidRDefault="00361FBE">
            <w:pPr>
              <w:tabs>
                <w:tab w:val="right" w:pos="2977"/>
              </w:tabs>
              <w:spacing w:line="276" w:lineRule="auto"/>
              <w:ind w:left="0" w:hanging="2"/>
              <w:rPr>
                <w:rFonts w:ascii="Times New Roman" w:eastAsia="Times New Roman" w:hAnsi="Times New Roman" w:cs="Times New Roman"/>
              </w:rPr>
            </w:pPr>
          </w:p>
        </w:tc>
      </w:tr>
      <w:tr w:rsidR="00CB4726" w:rsidTr="00D57855">
        <w:trPr>
          <w:trHeight w:val="737"/>
        </w:trPr>
        <w:tc>
          <w:tcPr>
            <w:tcW w:w="1330" w:type="dxa"/>
          </w:tcPr>
          <w:p w:rsidR="00361FBE" w:rsidRDefault="00D57855">
            <w:pPr>
              <w:spacing w:line="276" w:lineRule="auto"/>
              <w:ind w:left="0" w:hanging="2"/>
              <w:rPr>
                <w:rFonts w:ascii="Times New Roman" w:eastAsia="Times New Roman" w:hAnsi="Times New Roman" w:cs="Times New Roman"/>
              </w:rPr>
            </w:pPr>
            <w:bookmarkStart w:id="27" w:name="_heading=h.1rvwp1q"/>
            <w:bookmarkEnd w:id="27"/>
            <w:r>
              <w:rPr>
                <w:rFonts w:ascii="Times New Roman" w:eastAsia="Times New Roman" w:hAnsi="Times New Roman" w:cs="Times New Roman"/>
                <w:b/>
                <w:bCs/>
                <w:lang w:val="en-US"/>
              </w:rPr>
              <w:t>Approved by:</w:t>
            </w:r>
          </w:p>
        </w:tc>
        <w:tc>
          <w:tcPr>
            <w:tcW w:w="1595" w:type="dxa"/>
          </w:tcPr>
          <w:p w:rsidR="00361FBE" w:rsidRDefault="00D57855">
            <w:pPr>
              <w:spacing w:line="276" w:lineRule="auto"/>
              <w:ind w:left="0" w:hanging="2"/>
              <w:rPr>
                <w:rFonts w:ascii="Times New Roman" w:eastAsia="Times New Roman" w:hAnsi="Times New Roman" w:cs="Times New Roman"/>
              </w:rPr>
            </w:pPr>
            <w:bookmarkStart w:id="28" w:name="_heading=h.4bvk7pj"/>
            <w:bookmarkEnd w:id="28"/>
            <w:r>
              <w:rPr>
                <w:rFonts w:ascii="Times New Roman" w:eastAsia="Times New Roman" w:hAnsi="Times New Roman" w:cs="Times New Roman"/>
                <w:lang w:val="en-US"/>
              </w:rPr>
              <w:t>Eolo Morandi Junior</w:t>
            </w:r>
          </w:p>
        </w:tc>
        <w:tc>
          <w:tcPr>
            <w:tcW w:w="1965" w:type="dxa"/>
          </w:tcPr>
          <w:p w:rsidR="00361FBE" w:rsidRDefault="00D57855">
            <w:pPr>
              <w:spacing w:line="276" w:lineRule="auto"/>
              <w:ind w:left="0" w:hanging="2"/>
              <w:rPr>
                <w:rFonts w:ascii="Times New Roman" w:eastAsia="Times New Roman" w:hAnsi="Times New Roman" w:cs="Times New Roman"/>
              </w:rPr>
            </w:pPr>
            <w:bookmarkStart w:id="29" w:name="_heading=h.2r0uhxc"/>
            <w:bookmarkEnd w:id="29"/>
            <w:r>
              <w:rPr>
                <w:rFonts w:ascii="Times New Roman" w:eastAsia="Times New Roman" w:hAnsi="Times New Roman" w:cs="Times New Roman"/>
                <w:lang w:val="en-US"/>
              </w:rPr>
              <w:t>Clinical Development Manager</w:t>
            </w:r>
          </w:p>
        </w:tc>
        <w:tc>
          <w:tcPr>
            <w:tcW w:w="1605" w:type="dxa"/>
          </w:tcPr>
          <w:p w:rsidR="00361FBE" w:rsidRDefault="00361FBE">
            <w:pPr>
              <w:spacing w:line="276" w:lineRule="auto"/>
              <w:ind w:left="0" w:hanging="2"/>
              <w:rPr>
                <w:rFonts w:ascii="Times New Roman" w:eastAsia="Times New Roman" w:hAnsi="Times New Roman" w:cs="Times New Roman"/>
              </w:rPr>
            </w:pPr>
          </w:p>
        </w:tc>
        <w:tc>
          <w:tcPr>
            <w:tcW w:w="2955" w:type="dxa"/>
          </w:tcPr>
          <w:p w:rsidR="00361FBE" w:rsidRDefault="00361FBE">
            <w:pPr>
              <w:tabs>
                <w:tab w:val="right" w:pos="2977"/>
              </w:tabs>
              <w:spacing w:line="276" w:lineRule="auto"/>
              <w:ind w:left="0" w:hanging="2"/>
              <w:rPr>
                <w:rFonts w:ascii="Times New Roman" w:eastAsia="Times New Roman" w:hAnsi="Times New Roman" w:cs="Times New Roman"/>
              </w:rPr>
            </w:pPr>
          </w:p>
        </w:tc>
      </w:tr>
    </w:tbl>
    <w:p w:rsidR="00361FBE" w:rsidRDefault="00361FBE">
      <w:pPr>
        <w:spacing w:line="276" w:lineRule="auto"/>
        <w:ind w:left="0" w:hanging="2"/>
        <w:rPr>
          <w:rFonts w:ascii="Times New Roman" w:eastAsia="Times New Roman" w:hAnsi="Times New Roman" w:cs="Times New Roman"/>
        </w:rPr>
      </w:pPr>
    </w:p>
    <w:p w:rsidR="00361FBE" w:rsidRDefault="00361FBE">
      <w:pPr>
        <w:spacing w:line="276" w:lineRule="auto"/>
        <w:ind w:left="0" w:hanging="2"/>
        <w:rPr>
          <w:rFonts w:ascii="Times New Roman" w:eastAsia="Times New Roman" w:hAnsi="Times New Roman" w:cs="Times New Roman"/>
        </w:rPr>
      </w:pPr>
    </w:p>
    <w:p w:rsidR="00361FBE" w:rsidRDefault="00361FBE">
      <w:pPr>
        <w:spacing w:line="276" w:lineRule="auto"/>
        <w:ind w:left="0" w:hanging="2"/>
        <w:rPr>
          <w:rFonts w:ascii="Times New Roman" w:eastAsia="Times New Roman" w:hAnsi="Times New Roman" w:cs="Times New Roman"/>
        </w:rPr>
      </w:pPr>
    </w:p>
    <w:p w:rsidR="00361FBE" w:rsidRDefault="00D57855">
      <w:pPr>
        <w:spacing w:line="276" w:lineRule="auto"/>
        <w:ind w:left="0" w:hanging="2"/>
        <w:rPr>
          <w:rFonts w:ascii="Times New Roman" w:eastAsia="Times New Roman" w:hAnsi="Times New Roman" w:cs="Times New Roman"/>
        </w:rPr>
      </w:pPr>
      <w:r>
        <w:br w:type="page"/>
      </w:r>
    </w:p>
    <w:p w:rsidR="00361FBE" w:rsidRDefault="00D57855">
      <w:pPr>
        <w:keepNext/>
        <w:keepLines/>
        <w:pBdr>
          <w:top w:val="nil"/>
          <w:left w:val="nil"/>
          <w:bottom w:val="nil"/>
          <w:right w:val="nil"/>
          <w:between w:val="nil"/>
        </w:pBdr>
        <w:spacing w:before="240" w:after="240" w:line="276" w:lineRule="auto"/>
        <w:ind w:left="0" w:hanging="2"/>
        <w:rPr>
          <w:rFonts w:ascii="Times New Roman" w:eastAsia="Times New Roman" w:hAnsi="Times New Roman" w:cs="Times New Roman"/>
          <w:color w:val="000000"/>
        </w:rPr>
      </w:pPr>
      <w:bookmarkStart w:id="30" w:name="_heading=h.1664s55"/>
      <w:bookmarkEnd w:id="30"/>
      <w:r>
        <w:rPr>
          <w:rFonts w:ascii="Times New Roman" w:eastAsia="Times New Roman" w:hAnsi="Times New Roman" w:cs="Times New Roman"/>
          <w:b/>
          <w:bCs/>
          <w:color w:val="000000"/>
          <w:lang w:val="en-US"/>
        </w:rPr>
        <w:lastRenderedPageBreak/>
        <w:t>CONTENT</w:t>
      </w:r>
    </w:p>
    <w:sdt>
      <w:sdtPr>
        <w:id w:val="279000376"/>
        <w:docPartObj>
          <w:docPartGallery w:val="Table of Contents"/>
          <w:docPartUnique/>
        </w:docPartObj>
      </w:sdtPr>
      <w:sdtContent>
        <w:p w:rsidR="00361FBE" w:rsidRDefault="00D57855" w:rsidP="00D57855">
          <w:pPr>
            <w:widowControl w:val="0"/>
            <w:tabs>
              <w:tab w:val="right" w:leader="dot" w:pos="12000"/>
            </w:tabs>
            <w:spacing w:before="60"/>
            <w:ind w:left="0" w:hanging="2"/>
            <w:rPr>
              <w:rFonts w:ascii="Times New Roman" w:eastAsia="Times New Roman" w:hAnsi="Times New Roman" w:cs="Times New Roman"/>
              <w:b/>
              <w:color w:val="000000"/>
              <w:sz w:val="22"/>
              <w:szCs w:val="22"/>
            </w:rPr>
          </w:pPr>
          <w:r>
            <w:fldChar w:fldCharType="begin"/>
          </w:r>
          <w:r>
            <w:instrText xml:space="preserve"> TOC \h \u \z \t "Heading 1,1,Heading 2,2,Heading 3,3,"</w:instrText>
          </w:r>
          <w:r>
            <w:fldChar w:fldCharType="separate"/>
          </w:r>
          <w:hyperlink w:anchor="_heading=h.xvir7l" w:history="1">
            <w:r>
              <w:rPr>
                <w:rFonts w:ascii="Times New Roman" w:eastAsia="Times New Roman" w:hAnsi="Times New Roman" w:cs="Times New Roman"/>
                <w:b/>
              </w:rPr>
              <w:t>1. INTRODUCTION</w:t>
            </w:r>
            <w:r>
              <w:rPr>
                <w:rFonts w:ascii="Times New Roman" w:eastAsia="Times New Roman" w:hAnsi="Times New Roman" w:cs="Times New Roman"/>
                <w:b/>
              </w:rPr>
              <w:tab/>
              <w:t>4</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b/>
              <w:color w:val="000000"/>
              <w:sz w:val="22"/>
              <w:szCs w:val="22"/>
            </w:rPr>
          </w:pPr>
          <w:hyperlink w:anchor="_heading=h.39kk8xu" w:history="1">
            <w:r>
              <w:rPr>
                <w:rFonts w:ascii="Times New Roman" w:eastAsia="Times New Roman" w:hAnsi="Times New Roman" w:cs="Times New Roman"/>
                <w:b/>
              </w:rPr>
              <w:t>2. STUDY DESIGN</w:t>
            </w:r>
            <w:r>
              <w:rPr>
                <w:rFonts w:ascii="Times New Roman" w:eastAsia="Times New Roman" w:hAnsi="Times New Roman" w:cs="Times New Roman"/>
                <w:b/>
              </w:rPr>
              <w:tab/>
              <w:t>5</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1opuj5n" w:history="1">
            <w:r>
              <w:rPr>
                <w:rFonts w:ascii="Times New Roman" w:eastAsia="Times New Roman" w:hAnsi="Times New Roman" w:cs="Times New Roman"/>
                <w:color w:val="000000"/>
              </w:rPr>
              <w:t>2.1. Description and study groups</w:t>
            </w:r>
            <w:r>
              <w:rPr>
                <w:rFonts w:ascii="Times New Roman" w:eastAsia="Times New Roman" w:hAnsi="Times New Roman" w:cs="Times New Roman"/>
                <w:color w:val="000000"/>
              </w:rPr>
              <w:tab/>
              <w:t>5</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48pi1tg" w:history="1">
            <w:r>
              <w:rPr>
                <w:rFonts w:ascii="Times New Roman" w:eastAsia="Times New Roman" w:hAnsi="Times New Roman" w:cs="Times New Roman"/>
                <w:color w:val="000000"/>
              </w:rPr>
              <w:t>2.1.1. Study design</w:t>
            </w:r>
            <w:r>
              <w:rPr>
                <w:rFonts w:ascii="Times New Roman" w:eastAsia="Times New Roman" w:hAnsi="Times New Roman" w:cs="Times New Roman"/>
                <w:color w:val="000000"/>
              </w:rPr>
              <w:tab/>
              <w:t>5</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2nusc19" w:history="1">
            <w:r>
              <w:rPr>
                <w:rFonts w:ascii="Times New Roman" w:eastAsia="Times New Roman" w:hAnsi="Times New Roman" w:cs="Times New Roman"/>
                <w:color w:val="000000"/>
              </w:rPr>
              <w:t>2.1.2. Study population</w:t>
            </w:r>
            <w:r>
              <w:rPr>
                <w:rFonts w:ascii="Times New Roman" w:eastAsia="Times New Roman" w:hAnsi="Times New Roman" w:cs="Times New Roman"/>
                <w:color w:val="000000"/>
              </w:rPr>
              <w:tab/>
              <w:t>5</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1302m92" w:history="1">
            <w:r>
              <w:rPr>
                <w:rFonts w:ascii="Times New Roman" w:eastAsia="Times New Roman" w:hAnsi="Times New Roman" w:cs="Times New Roman"/>
                <w:color w:val="000000"/>
              </w:rPr>
              <w:t>2.1.3. Eligibility criteria</w:t>
            </w:r>
            <w:r>
              <w:rPr>
                <w:rFonts w:ascii="Times New Roman" w:eastAsia="Times New Roman" w:hAnsi="Times New Roman" w:cs="Times New Roman"/>
                <w:color w:val="000000"/>
              </w:rPr>
              <w:tab/>
              <w:t>5</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3mzq4wv" w:history="1">
            <w:r>
              <w:rPr>
                <w:rFonts w:ascii="Times New Roman" w:eastAsia="Times New Roman" w:hAnsi="Times New Roman" w:cs="Times New Roman"/>
                <w:color w:val="000000"/>
              </w:rPr>
              <w:t>2.1.3.1. Inclusion criteria:</w:t>
            </w:r>
            <w:r>
              <w:rPr>
                <w:rFonts w:ascii="Times New Roman" w:eastAsia="Times New Roman" w:hAnsi="Times New Roman" w:cs="Times New Roman"/>
                <w:color w:val="000000"/>
              </w:rPr>
              <w:tab/>
              <w:t>5</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2250f4o" w:history="1">
            <w:r>
              <w:rPr>
                <w:rFonts w:ascii="Times New Roman" w:eastAsia="Times New Roman" w:hAnsi="Times New Roman" w:cs="Times New Roman"/>
                <w:color w:val="000000"/>
              </w:rPr>
              <w:t>2.1.3.2. Exclusion criteria:</w:t>
            </w:r>
            <w:r>
              <w:rPr>
                <w:rFonts w:ascii="Times New Roman" w:eastAsia="Times New Roman" w:hAnsi="Times New Roman" w:cs="Times New Roman"/>
                <w:color w:val="000000"/>
              </w:rPr>
              <w:tab/>
              <w:t>5</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319y80a" w:history="1">
            <w:r>
              <w:rPr>
                <w:rFonts w:ascii="Times New Roman" w:eastAsia="Times New Roman" w:hAnsi="Times New Roman" w:cs="Times New Roman"/>
                <w:color w:val="000000"/>
              </w:rPr>
              <w:t xml:space="preserve">2.1.4. </w:t>
            </w:r>
            <w:r w:rsidRPr="00D57855">
              <w:rPr>
                <w:rFonts w:ascii="Times New Roman" w:eastAsia="Times New Roman" w:hAnsi="Times New Roman" w:cs="Times New Roman"/>
                <w:color w:val="000000"/>
              </w:rPr>
              <w:t>Definition of groups for statistical analysis</w:t>
            </w:r>
            <w:r>
              <w:rPr>
                <w:rFonts w:ascii="Times New Roman" w:eastAsia="Times New Roman" w:hAnsi="Times New Roman" w:cs="Times New Roman"/>
                <w:color w:val="000000"/>
              </w:rPr>
              <w:tab/>
              <w:t>7</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1gf8i83" w:history="1">
            <w:r>
              <w:rPr>
                <w:rFonts w:ascii="Times New Roman" w:eastAsia="Times New Roman" w:hAnsi="Times New Roman" w:cs="Times New Roman"/>
                <w:color w:val="000000"/>
              </w:rPr>
              <w:t>2.2. Sample size</w:t>
            </w:r>
            <w:r>
              <w:rPr>
                <w:rFonts w:ascii="Times New Roman" w:eastAsia="Times New Roman" w:hAnsi="Times New Roman" w:cs="Times New Roman"/>
                <w:color w:val="000000"/>
              </w:rPr>
              <w:tab/>
              <w:t>8</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f7f1v3rlqjwj" w:history="1">
            <w:r>
              <w:rPr>
                <w:rFonts w:ascii="Times New Roman" w:eastAsia="Times New Roman" w:hAnsi="Times New Roman" w:cs="Times New Roman"/>
                <w:color w:val="000000"/>
              </w:rPr>
              <w:t xml:space="preserve">2.2.1. </w:t>
            </w:r>
            <w:r w:rsidRPr="00D57855">
              <w:rPr>
                <w:rFonts w:ascii="Times New Roman" w:eastAsia="Times New Roman" w:hAnsi="Times New Roman" w:cs="Times New Roman"/>
                <w:color w:val="000000"/>
              </w:rPr>
              <w:t>Estimated number of subjects</w:t>
            </w:r>
            <w:r>
              <w:rPr>
                <w:rFonts w:ascii="Times New Roman" w:eastAsia="Times New Roman" w:hAnsi="Times New Roman" w:cs="Times New Roman"/>
                <w:color w:val="000000"/>
              </w:rPr>
              <w:tab/>
              <w:t>8</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b/>
              <w:color w:val="000000"/>
              <w:sz w:val="22"/>
              <w:szCs w:val="22"/>
            </w:rPr>
          </w:pPr>
          <w:hyperlink w:anchor="_heading=h.4du1wux" w:history="1">
            <w:r>
              <w:rPr>
                <w:rFonts w:ascii="Times New Roman" w:eastAsia="Times New Roman" w:hAnsi="Times New Roman" w:cs="Times New Roman"/>
                <w:b/>
              </w:rPr>
              <w:t xml:space="preserve">3. </w:t>
            </w:r>
            <w:r>
              <w:rPr>
                <w:rFonts w:ascii="Times New Roman" w:eastAsia="Times New Roman" w:hAnsi="Times New Roman" w:cs="Mangal"/>
                <w:b/>
                <w:bCs/>
                <w:color w:val="auto"/>
                <w:lang w:val="en-US"/>
              </w:rPr>
              <w:t>STUDY OBJECTIVES AND ENDPOINTS</w:t>
            </w:r>
            <w:r>
              <w:rPr>
                <w:rFonts w:ascii="Times New Roman" w:eastAsia="Times New Roman" w:hAnsi="Times New Roman" w:cs="Times New Roman"/>
                <w:b/>
              </w:rPr>
              <w:tab/>
            </w:r>
            <w:r w:rsidR="000978BD">
              <w:rPr>
                <w:rFonts w:ascii="Times New Roman" w:eastAsia="Times New Roman" w:hAnsi="Times New Roman" w:cs="Times New Roman"/>
                <w:b/>
              </w:rPr>
              <w:t>8</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b/>
              <w:color w:val="000000"/>
              <w:sz w:val="22"/>
              <w:szCs w:val="22"/>
            </w:rPr>
          </w:pPr>
          <w:hyperlink w:anchor="_heading=h.36ei31r" w:history="1">
            <w:r>
              <w:rPr>
                <w:rFonts w:ascii="Times New Roman" w:eastAsia="Times New Roman" w:hAnsi="Times New Roman" w:cs="Times New Roman"/>
                <w:b/>
              </w:rPr>
              <w:t>4. ANALYSIS POPULATIONS</w:t>
            </w:r>
            <w:r>
              <w:rPr>
                <w:rFonts w:ascii="Times New Roman" w:eastAsia="Times New Roman" w:hAnsi="Times New Roman" w:cs="Times New Roman"/>
                <w:b/>
              </w:rPr>
              <w:tab/>
              <w:t>11</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1ljsd9k" w:history="1">
            <w:r>
              <w:rPr>
                <w:rFonts w:ascii="Times New Roman" w:eastAsia="Times New Roman" w:hAnsi="Times New Roman" w:cs="Times New Roman"/>
                <w:color w:val="000000"/>
              </w:rPr>
              <w:t xml:space="preserve">4.1. </w:t>
            </w:r>
            <w:r w:rsidRPr="00D57855">
              <w:rPr>
                <w:rFonts w:ascii="Times New Roman" w:eastAsia="Times New Roman" w:hAnsi="Times New Roman" w:cs="Times New Roman"/>
                <w:color w:val="000000"/>
              </w:rPr>
              <w:t>Effectiveness population</w:t>
            </w:r>
            <w:r>
              <w:rPr>
                <w:rFonts w:ascii="Times New Roman" w:eastAsia="Times New Roman" w:hAnsi="Times New Roman" w:cs="Times New Roman"/>
                <w:color w:val="000000"/>
              </w:rPr>
              <w:tab/>
              <w:t>11</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45jfvxd" w:history="1">
            <w:r>
              <w:rPr>
                <w:rFonts w:ascii="Times New Roman" w:eastAsia="Times New Roman" w:hAnsi="Times New Roman" w:cs="Times New Roman"/>
                <w:color w:val="000000"/>
              </w:rPr>
              <w:t>4.2. Safety population</w:t>
            </w:r>
            <w:r>
              <w:rPr>
                <w:rFonts w:ascii="Times New Roman" w:eastAsia="Times New Roman" w:hAnsi="Times New Roman" w:cs="Times New Roman"/>
                <w:color w:val="000000"/>
              </w:rPr>
              <w:tab/>
              <w:t>1</w:t>
            </w:r>
            <w:r w:rsidR="000978BD">
              <w:rPr>
                <w:rFonts w:ascii="Times New Roman" w:eastAsia="Times New Roman" w:hAnsi="Times New Roman" w:cs="Times New Roman"/>
                <w:color w:val="000000"/>
              </w:rPr>
              <w:t>1</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3hk7hlyccl09" w:history="1">
            <w:r>
              <w:rPr>
                <w:rFonts w:ascii="Times New Roman" w:eastAsia="Times New Roman" w:hAnsi="Times New Roman" w:cs="Times New Roman"/>
                <w:color w:val="000000"/>
              </w:rPr>
              <w:t>4.3. Acceptability population</w:t>
            </w:r>
            <w:r>
              <w:rPr>
                <w:rFonts w:ascii="Times New Roman" w:eastAsia="Times New Roman" w:hAnsi="Times New Roman" w:cs="Times New Roman"/>
                <w:color w:val="000000"/>
              </w:rPr>
              <w:tab/>
              <w:t>1</w:t>
            </w:r>
            <w:r w:rsidR="000978BD">
              <w:rPr>
                <w:rFonts w:ascii="Times New Roman" w:eastAsia="Times New Roman" w:hAnsi="Times New Roman" w:cs="Times New Roman"/>
                <w:color w:val="000000"/>
              </w:rPr>
              <w:t>1</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76ll6iwjcvsn" w:history="1">
            <w:r>
              <w:rPr>
                <w:rFonts w:ascii="Times New Roman" w:eastAsia="Times New Roman" w:hAnsi="Times New Roman" w:cs="Times New Roman"/>
                <w:color w:val="000000"/>
                <w:sz w:val="22"/>
                <w:szCs w:val="22"/>
              </w:rPr>
              <w:t>4.4. Per-Protocol Population (PP)</w:t>
            </w:r>
            <w:r>
              <w:rPr>
                <w:rFonts w:ascii="Times New Roman" w:eastAsia="Times New Roman" w:hAnsi="Times New Roman" w:cs="Times New Roman"/>
                <w:color w:val="000000"/>
                <w:sz w:val="22"/>
                <w:szCs w:val="22"/>
              </w:rPr>
              <w:tab/>
              <w:t>1</w:t>
            </w:r>
            <w:r w:rsidR="000978BD">
              <w:rPr>
                <w:rFonts w:ascii="Times New Roman" w:eastAsia="Times New Roman" w:hAnsi="Times New Roman" w:cs="Times New Roman"/>
                <w:color w:val="000000"/>
                <w:sz w:val="22"/>
                <w:szCs w:val="22"/>
              </w:rPr>
              <w:t>1</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ok1ds3lbtfkr" w:history="1">
            <w:r>
              <w:rPr>
                <w:rFonts w:ascii="Times New Roman" w:eastAsia="Times New Roman" w:hAnsi="Times New Roman" w:cs="Times New Roman"/>
                <w:color w:val="000000"/>
                <w:sz w:val="22"/>
                <w:szCs w:val="22"/>
              </w:rPr>
              <w:t>4.5. Intention-to-Treat Population (ITT)</w:t>
            </w:r>
            <w:r>
              <w:rPr>
                <w:rFonts w:ascii="Times New Roman" w:eastAsia="Times New Roman" w:hAnsi="Times New Roman" w:cs="Times New Roman"/>
                <w:color w:val="000000"/>
                <w:sz w:val="22"/>
                <w:szCs w:val="22"/>
              </w:rPr>
              <w:tab/>
              <w:t>12</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b/>
              <w:color w:val="000000"/>
              <w:sz w:val="22"/>
              <w:szCs w:val="22"/>
            </w:rPr>
          </w:pPr>
          <w:hyperlink w:anchor="_heading=h.2koq656" w:history="1">
            <w:r>
              <w:rPr>
                <w:rFonts w:ascii="Times New Roman" w:eastAsia="Times New Roman" w:hAnsi="Times New Roman" w:cs="Times New Roman"/>
                <w:b/>
              </w:rPr>
              <w:t xml:space="preserve">5. </w:t>
            </w:r>
            <w:r w:rsidRPr="00D57855">
              <w:rPr>
                <w:rFonts w:ascii="Times New Roman" w:eastAsia="Times New Roman" w:hAnsi="Times New Roman" w:cs="Times New Roman"/>
                <w:b/>
              </w:rPr>
              <w:t>STATISTICAL CONSIDERATIONS</w:t>
            </w:r>
            <w:r>
              <w:rPr>
                <w:rFonts w:ascii="Times New Roman" w:eastAsia="Times New Roman" w:hAnsi="Times New Roman" w:cs="Times New Roman"/>
                <w:b/>
              </w:rPr>
              <w:tab/>
              <w:t>12</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zu0gcz" w:history="1">
            <w:r>
              <w:rPr>
                <w:rFonts w:ascii="Times New Roman" w:eastAsia="Times New Roman" w:hAnsi="Times New Roman" w:cs="Times New Roman"/>
                <w:color w:val="000000"/>
              </w:rPr>
              <w:t>5.1. General principles</w:t>
            </w:r>
            <w:r>
              <w:rPr>
                <w:rFonts w:ascii="Times New Roman" w:eastAsia="Times New Roman" w:hAnsi="Times New Roman" w:cs="Times New Roman"/>
                <w:color w:val="000000"/>
              </w:rPr>
              <w:tab/>
              <w:t>12</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3jtnz0s" w:history="1">
            <w:r>
              <w:rPr>
                <w:rFonts w:ascii="Times New Roman" w:eastAsia="Times New Roman" w:hAnsi="Times New Roman" w:cs="Times New Roman"/>
                <w:color w:val="000000"/>
              </w:rPr>
              <w:t>5.1.1. Effectiveness analyses</w:t>
            </w:r>
            <w:r>
              <w:rPr>
                <w:rFonts w:ascii="Times New Roman" w:eastAsia="Times New Roman" w:hAnsi="Times New Roman" w:cs="Times New Roman"/>
                <w:color w:val="000000"/>
              </w:rPr>
              <w:tab/>
              <w:t>12</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1yyy98l" w:history="1">
            <w:r>
              <w:rPr>
                <w:rFonts w:ascii="Times New Roman" w:eastAsia="Times New Roman" w:hAnsi="Times New Roman" w:cs="Times New Roman"/>
                <w:color w:val="000000"/>
              </w:rPr>
              <w:t>5.1.2. Safety analyses</w:t>
            </w:r>
            <w:r>
              <w:rPr>
                <w:rFonts w:ascii="Times New Roman" w:eastAsia="Times New Roman" w:hAnsi="Times New Roman" w:cs="Times New Roman"/>
                <w:color w:val="000000"/>
              </w:rPr>
              <w:tab/>
              <w:t>1</w:t>
            </w:r>
            <w:r w:rsidR="00876360">
              <w:rPr>
                <w:rFonts w:ascii="Times New Roman" w:eastAsia="Times New Roman" w:hAnsi="Times New Roman" w:cs="Times New Roman"/>
                <w:color w:val="000000"/>
              </w:rPr>
              <w:t>2</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4iylrwe" w:history="1">
            <w:r>
              <w:rPr>
                <w:rFonts w:ascii="Times New Roman" w:eastAsia="Times New Roman" w:hAnsi="Times New Roman" w:cs="Times New Roman"/>
                <w:color w:val="000000"/>
              </w:rPr>
              <w:t>5.2. Interim analysis</w:t>
            </w:r>
            <w:r>
              <w:rPr>
                <w:rFonts w:ascii="Times New Roman" w:eastAsia="Times New Roman" w:hAnsi="Times New Roman" w:cs="Times New Roman"/>
                <w:color w:val="000000"/>
              </w:rPr>
              <w:tab/>
              <w:t>1</w:t>
            </w:r>
            <w:r w:rsidR="00BA6462">
              <w:rPr>
                <w:rFonts w:ascii="Times New Roman" w:eastAsia="Times New Roman" w:hAnsi="Times New Roman" w:cs="Times New Roman"/>
                <w:color w:val="000000"/>
              </w:rPr>
              <w:t>2</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1d96cc0" w:history="1">
            <w:r>
              <w:rPr>
                <w:rFonts w:ascii="Times New Roman" w:eastAsia="Times New Roman" w:hAnsi="Times New Roman" w:cs="Times New Roman"/>
                <w:color w:val="000000"/>
              </w:rPr>
              <w:t>5.3. Blinding</w:t>
            </w:r>
            <w:r>
              <w:rPr>
                <w:rFonts w:ascii="Times New Roman" w:eastAsia="Times New Roman" w:hAnsi="Times New Roman" w:cs="Times New Roman"/>
                <w:color w:val="000000"/>
              </w:rPr>
              <w:tab/>
              <w:t>1</w:t>
            </w:r>
            <w:r w:rsidR="00BA6462">
              <w:rPr>
                <w:rFonts w:ascii="Times New Roman" w:eastAsia="Times New Roman" w:hAnsi="Times New Roman" w:cs="Times New Roman"/>
                <w:color w:val="000000"/>
              </w:rPr>
              <w:t>2</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3bj1y38" w:history="1">
            <w:r>
              <w:rPr>
                <w:rFonts w:ascii="Times New Roman" w:eastAsia="Times New Roman" w:hAnsi="Times New Roman" w:cs="Times New Roman"/>
                <w:color w:val="000000"/>
              </w:rPr>
              <w:t xml:space="preserve">5.4. </w:t>
            </w:r>
            <w:r w:rsidRPr="00D57855">
              <w:rPr>
                <w:rFonts w:ascii="Times New Roman" w:eastAsia="Times New Roman" w:hAnsi="Times New Roman" w:cs="Times New Roman"/>
                <w:color w:val="000000"/>
              </w:rPr>
              <w:t>Non-blind analysis</w:t>
            </w:r>
            <w:r>
              <w:rPr>
                <w:rFonts w:ascii="Times New Roman" w:eastAsia="Times New Roman" w:hAnsi="Times New Roman" w:cs="Times New Roman"/>
                <w:color w:val="000000"/>
              </w:rPr>
              <w:tab/>
              <w:t>13</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4anzqyu" w:history="1">
            <w:r>
              <w:rPr>
                <w:rFonts w:ascii="Times New Roman" w:eastAsia="Times New Roman" w:hAnsi="Times New Roman" w:cs="Times New Roman"/>
                <w:color w:val="000000"/>
              </w:rPr>
              <w:t>5.5. Missing data management</w:t>
            </w:r>
            <w:r>
              <w:rPr>
                <w:rFonts w:ascii="Times New Roman" w:eastAsia="Times New Roman" w:hAnsi="Times New Roman" w:cs="Times New Roman"/>
                <w:color w:val="000000"/>
              </w:rPr>
              <w:tab/>
              <w:t>13</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8d7ovu145lt7" w:history="1">
            <w:r>
              <w:rPr>
                <w:rFonts w:ascii="Times New Roman" w:eastAsia="Times New Roman" w:hAnsi="Times New Roman" w:cs="Times New Roman"/>
                <w:color w:val="000000"/>
              </w:rPr>
              <w:t>5.6. Statistical software</w:t>
            </w:r>
            <w:r>
              <w:rPr>
                <w:rFonts w:ascii="Times New Roman" w:eastAsia="Times New Roman" w:hAnsi="Times New Roman" w:cs="Times New Roman"/>
                <w:color w:val="000000"/>
              </w:rPr>
              <w:tab/>
              <w:t>13</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b/>
              <w:color w:val="000000"/>
              <w:sz w:val="22"/>
              <w:szCs w:val="22"/>
            </w:rPr>
          </w:pPr>
          <w:hyperlink w:anchor="_heading=h.2pta16n" w:history="1">
            <w:r>
              <w:rPr>
                <w:rFonts w:ascii="Times New Roman" w:eastAsia="Times New Roman" w:hAnsi="Times New Roman" w:cs="Times New Roman"/>
                <w:b/>
              </w:rPr>
              <w:t xml:space="preserve">6. </w:t>
            </w:r>
            <w:r>
              <w:rPr>
                <w:rFonts w:ascii="Times New Roman" w:eastAsia="Times New Roman" w:hAnsi="Times New Roman" w:cs="Mangal"/>
                <w:b/>
                <w:bCs/>
                <w:color w:val="auto"/>
                <w:lang w:val="en-US"/>
              </w:rPr>
              <w:t>STATISTICAL METHODOLOGY</w:t>
            </w:r>
            <w:r>
              <w:rPr>
                <w:rFonts w:ascii="Times New Roman" w:eastAsia="Times New Roman" w:hAnsi="Times New Roman" w:cs="Times New Roman"/>
                <w:b/>
              </w:rPr>
              <w:tab/>
              <w:t>13</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14ykbeg" w:history="1">
            <w:r>
              <w:rPr>
                <w:rFonts w:ascii="Times New Roman" w:eastAsia="Times New Roman" w:hAnsi="Times New Roman" w:cs="Times New Roman"/>
                <w:color w:val="000000"/>
              </w:rPr>
              <w:t>6.1. Study variables</w:t>
            </w:r>
            <w:r>
              <w:rPr>
                <w:rFonts w:ascii="Times New Roman" w:eastAsia="Times New Roman" w:hAnsi="Times New Roman" w:cs="Times New Roman"/>
                <w:color w:val="000000"/>
              </w:rPr>
              <w:tab/>
              <w:t>13</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3u2rp3q" w:history="1">
            <w:r>
              <w:rPr>
                <w:rFonts w:ascii="Times New Roman" w:eastAsia="Times New Roman" w:hAnsi="Times New Roman" w:cs="Times New Roman"/>
                <w:color w:val="000000"/>
              </w:rPr>
              <w:t>6.2. Descriptive analysis</w:t>
            </w:r>
            <w:r>
              <w:rPr>
                <w:rFonts w:ascii="Times New Roman" w:eastAsia="Times New Roman" w:hAnsi="Times New Roman" w:cs="Times New Roman"/>
                <w:color w:val="000000"/>
              </w:rPr>
              <w:tab/>
              <w:t>1</w:t>
            </w:r>
            <w:r w:rsidR="00000D32">
              <w:rPr>
                <w:rFonts w:ascii="Times New Roman" w:eastAsia="Times New Roman" w:hAnsi="Times New Roman" w:cs="Times New Roman"/>
                <w:color w:val="000000"/>
              </w:rPr>
              <w:t>3</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2981zbj" w:history="1">
            <w:r>
              <w:rPr>
                <w:rFonts w:ascii="Times New Roman" w:eastAsia="Times New Roman" w:hAnsi="Times New Roman" w:cs="Times New Roman"/>
                <w:color w:val="000000"/>
              </w:rPr>
              <w:t>6.3. Safety analysis</w:t>
            </w:r>
            <w:r>
              <w:rPr>
                <w:rFonts w:ascii="Times New Roman" w:eastAsia="Times New Roman" w:hAnsi="Times New Roman" w:cs="Times New Roman"/>
                <w:color w:val="000000"/>
              </w:rPr>
              <w:tab/>
              <w:t>14</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h.38czs75" w:history="1">
            <w:r>
              <w:rPr>
                <w:rFonts w:ascii="Times New Roman" w:eastAsia="Times New Roman" w:hAnsi="Times New Roman" w:cs="Times New Roman"/>
                <w:color w:val="000000"/>
              </w:rPr>
              <w:t>6.4. Effectiveness analysis</w:t>
            </w:r>
            <w:r>
              <w:rPr>
                <w:rFonts w:ascii="Times New Roman" w:eastAsia="Times New Roman" w:hAnsi="Times New Roman" w:cs="Times New Roman"/>
                <w:color w:val="000000"/>
              </w:rPr>
              <w:tab/>
              <w:t>14</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color w:val="000000"/>
              <w:sz w:val="22"/>
              <w:szCs w:val="22"/>
            </w:rPr>
          </w:pPr>
          <w:hyperlink w:anchor="_heading=" w:history="1">
            <w:r>
              <w:rPr>
                <w:rFonts w:ascii="Times New Roman" w:eastAsia="Times New Roman" w:hAnsi="Times New Roman" w:cs="Times New Roman"/>
                <w:color w:val="000000"/>
              </w:rPr>
              <w:t>6.5. Missing data analysis</w:t>
            </w:r>
            <w:r>
              <w:rPr>
                <w:rFonts w:ascii="Times New Roman" w:eastAsia="Times New Roman" w:hAnsi="Times New Roman" w:cs="Times New Roman"/>
                <w:color w:val="000000"/>
              </w:rPr>
              <w:tab/>
              <w:t>14</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b/>
              <w:color w:val="000000"/>
              <w:sz w:val="22"/>
              <w:szCs w:val="22"/>
            </w:rPr>
          </w:pPr>
          <w:hyperlink w:anchor="_heading=h.1nia2ey" w:history="1">
            <w:r>
              <w:rPr>
                <w:rFonts w:ascii="Times New Roman" w:eastAsia="Times New Roman" w:hAnsi="Times New Roman" w:cs="Times New Roman"/>
                <w:b/>
              </w:rPr>
              <w:t>7. REFERENCES</w:t>
            </w:r>
            <w:r>
              <w:rPr>
                <w:rFonts w:ascii="Times New Roman" w:eastAsia="Times New Roman" w:hAnsi="Times New Roman" w:cs="Times New Roman"/>
                <w:b/>
              </w:rPr>
              <w:tab/>
              <w:t>14</w:t>
            </w:r>
          </w:hyperlink>
        </w:p>
        <w:p w:rsidR="00361FBE" w:rsidRDefault="00D57855" w:rsidP="00D57855">
          <w:pPr>
            <w:widowControl w:val="0"/>
            <w:tabs>
              <w:tab w:val="right" w:leader="dot" w:pos="12000"/>
            </w:tabs>
            <w:spacing w:before="60"/>
            <w:ind w:left="0" w:hanging="2"/>
            <w:rPr>
              <w:rFonts w:ascii="Times New Roman" w:eastAsia="Times New Roman" w:hAnsi="Times New Roman" w:cs="Times New Roman"/>
              <w:b/>
              <w:color w:val="000000"/>
              <w:sz w:val="22"/>
              <w:szCs w:val="22"/>
            </w:rPr>
          </w:pPr>
          <w:hyperlink w:anchor="_heading=h.47hxl2r" w:history="1">
            <w:r>
              <w:rPr>
                <w:rFonts w:ascii="Times New Roman" w:eastAsia="Times New Roman" w:hAnsi="Times New Roman" w:cs="Times New Roman"/>
                <w:b/>
              </w:rPr>
              <w:t xml:space="preserve">8. </w:t>
            </w:r>
            <w:r w:rsidRPr="00D57855">
              <w:rPr>
                <w:rFonts w:ascii="Times New Roman" w:eastAsia="Times New Roman" w:hAnsi="Times New Roman" w:cs="Times New Roman"/>
                <w:b/>
              </w:rPr>
              <w:t>ABBREVIATIONS AND ACRONYMS</w:t>
            </w:r>
            <w:r>
              <w:rPr>
                <w:rFonts w:ascii="Times New Roman" w:eastAsia="Times New Roman" w:hAnsi="Times New Roman" w:cs="Times New Roman"/>
                <w:b/>
              </w:rPr>
              <w:tab/>
              <w:t>1</w:t>
            </w:r>
            <w:r w:rsidR="00721969">
              <w:rPr>
                <w:rFonts w:ascii="Times New Roman" w:eastAsia="Times New Roman" w:hAnsi="Times New Roman" w:cs="Times New Roman"/>
                <w:b/>
              </w:rPr>
              <w:t>4</w:t>
            </w:r>
          </w:hyperlink>
          <w:r>
            <w:fldChar w:fldCharType="end"/>
          </w:r>
        </w:p>
      </w:sdtContent>
    </w:sdt>
    <w:p w:rsidR="00361FBE" w:rsidRDefault="00361FBE">
      <w:pPr>
        <w:spacing w:before="120" w:after="120"/>
        <w:ind w:left="0" w:hanging="2"/>
        <w:rPr>
          <w:rFonts w:ascii="Times New Roman" w:eastAsia="Times New Roman" w:hAnsi="Times New Roman" w:cs="Times New Roman"/>
        </w:rPr>
      </w:pPr>
    </w:p>
    <w:p w:rsidR="00361FBE" w:rsidRDefault="00D57855">
      <w:pPr>
        <w:spacing w:line="276" w:lineRule="auto"/>
        <w:ind w:left="0" w:hanging="2"/>
        <w:rPr>
          <w:rFonts w:ascii="Times New Roman" w:eastAsia="Times New Roman" w:hAnsi="Times New Roman" w:cs="Times New Roman"/>
          <w:color w:val="000000"/>
        </w:rPr>
      </w:pPr>
      <w:r>
        <w:br w:type="page"/>
      </w:r>
    </w:p>
    <w:p w:rsidR="00361FBE" w:rsidRDefault="00D57855">
      <w:pPr>
        <w:keepNext/>
        <w:keepLines/>
        <w:pBdr>
          <w:top w:val="nil"/>
          <w:left w:val="nil"/>
          <w:bottom w:val="nil"/>
          <w:right w:val="nil"/>
          <w:between w:val="nil"/>
        </w:pBdr>
        <w:spacing w:line="276" w:lineRule="auto"/>
        <w:ind w:left="0" w:hanging="2"/>
        <w:rPr>
          <w:rFonts w:ascii="Times New Roman" w:eastAsia="Times New Roman" w:hAnsi="Times New Roman" w:cs="Times New Roman"/>
          <w:color w:val="000000"/>
        </w:rPr>
      </w:pPr>
      <w:bookmarkStart w:id="31" w:name="_heading=h.3q5sasy"/>
      <w:bookmarkEnd w:id="31"/>
      <w:r>
        <w:rPr>
          <w:rFonts w:ascii="Times New Roman" w:eastAsia="Times New Roman" w:hAnsi="Times New Roman" w:cs="Times New Roman"/>
          <w:b/>
          <w:bCs/>
          <w:color w:val="000000"/>
          <w:lang w:val="en-US"/>
        </w:rPr>
        <w:lastRenderedPageBreak/>
        <w:t>VERSION HISTORY</w:t>
      </w:r>
    </w:p>
    <w:p w:rsidR="00361FBE" w:rsidRDefault="00361FBE">
      <w:pPr>
        <w:spacing w:line="276" w:lineRule="auto"/>
        <w:ind w:left="0" w:hanging="2"/>
        <w:rPr>
          <w:rFonts w:ascii="Times New Roman" w:eastAsia="Times New Roman" w:hAnsi="Times New Roman" w:cs="Times New Roman"/>
        </w:rPr>
      </w:pPr>
    </w:p>
    <w:tbl>
      <w:tblPr>
        <w:tblStyle w:val="afff0"/>
        <w:tblW w:w="9628" w:type="dxa"/>
        <w:tblInd w:w="-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755"/>
        <w:gridCol w:w="6460"/>
      </w:tblGrid>
      <w:tr w:rsidR="00CB4726">
        <w:tc>
          <w:tcPr>
            <w:tcW w:w="1413" w:type="dxa"/>
          </w:tcPr>
          <w:p w:rsidR="00361FBE" w:rsidRDefault="00D57855">
            <w:pPr>
              <w:spacing w:line="276" w:lineRule="auto"/>
              <w:ind w:left="0" w:hanging="2"/>
              <w:rPr>
                <w:rFonts w:ascii="Times New Roman" w:eastAsia="Times New Roman" w:hAnsi="Times New Roman" w:cs="Times New Roman"/>
              </w:rPr>
            </w:pPr>
            <w:bookmarkStart w:id="32" w:name="_heading=h.25b2l0r"/>
            <w:bookmarkEnd w:id="32"/>
            <w:r>
              <w:rPr>
                <w:rFonts w:ascii="Times New Roman" w:eastAsia="Times New Roman" w:hAnsi="Times New Roman" w:cs="Times New Roman"/>
                <w:b/>
                <w:bCs/>
                <w:lang w:val="en-US"/>
              </w:rPr>
              <w:t>Version</w:t>
            </w:r>
          </w:p>
        </w:tc>
        <w:tc>
          <w:tcPr>
            <w:tcW w:w="1755" w:type="dxa"/>
          </w:tcPr>
          <w:p w:rsidR="00361FBE" w:rsidRDefault="00D57855">
            <w:pPr>
              <w:spacing w:line="276" w:lineRule="auto"/>
              <w:ind w:left="0" w:hanging="2"/>
              <w:rPr>
                <w:rFonts w:ascii="Times New Roman" w:eastAsia="Times New Roman" w:hAnsi="Times New Roman" w:cs="Times New Roman"/>
              </w:rPr>
            </w:pPr>
            <w:bookmarkStart w:id="33" w:name="_heading=h.kgcv8k"/>
            <w:bookmarkEnd w:id="33"/>
            <w:r>
              <w:rPr>
                <w:rFonts w:ascii="Times New Roman" w:eastAsia="Times New Roman" w:hAnsi="Times New Roman" w:cs="Times New Roman"/>
                <w:b/>
                <w:bCs/>
                <w:lang w:val="en-US"/>
              </w:rPr>
              <w:t>Date</w:t>
            </w:r>
          </w:p>
        </w:tc>
        <w:tc>
          <w:tcPr>
            <w:tcW w:w="6460" w:type="dxa"/>
          </w:tcPr>
          <w:p w:rsidR="00361FBE" w:rsidRDefault="00D57855">
            <w:pPr>
              <w:spacing w:line="276" w:lineRule="auto"/>
              <w:ind w:left="0" w:hanging="2"/>
              <w:rPr>
                <w:rFonts w:ascii="Times New Roman" w:eastAsia="Times New Roman" w:hAnsi="Times New Roman" w:cs="Times New Roman"/>
              </w:rPr>
            </w:pPr>
            <w:bookmarkStart w:id="34" w:name="_heading=h.34g0dwd"/>
            <w:bookmarkEnd w:id="34"/>
            <w:r>
              <w:rPr>
                <w:rFonts w:ascii="Times New Roman" w:eastAsia="Times New Roman" w:hAnsi="Times New Roman" w:cs="Times New Roman"/>
                <w:b/>
                <w:bCs/>
                <w:lang w:val="en-US"/>
              </w:rPr>
              <w:t>Comment</w:t>
            </w:r>
          </w:p>
        </w:tc>
      </w:tr>
      <w:tr w:rsidR="00CB4726">
        <w:tc>
          <w:tcPr>
            <w:tcW w:w="1413" w:type="dxa"/>
          </w:tcPr>
          <w:p w:rsidR="00361FBE" w:rsidRDefault="00D57855">
            <w:pPr>
              <w:spacing w:line="276" w:lineRule="auto"/>
              <w:ind w:left="0" w:hanging="2"/>
              <w:rPr>
                <w:rFonts w:ascii="Times New Roman" w:eastAsia="Times New Roman" w:hAnsi="Times New Roman" w:cs="Times New Roman"/>
              </w:rPr>
            </w:pPr>
            <w:bookmarkStart w:id="35" w:name="_heading=h.1jlao46"/>
            <w:bookmarkEnd w:id="35"/>
            <w:r>
              <w:rPr>
                <w:rFonts w:ascii="Times New Roman" w:eastAsia="Times New Roman" w:hAnsi="Times New Roman" w:cs="Times New Roman"/>
                <w:lang w:val="en-US"/>
              </w:rPr>
              <w:t>1.0</w:t>
            </w:r>
          </w:p>
        </w:tc>
        <w:tc>
          <w:tcPr>
            <w:tcW w:w="1755" w:type="dxa"/>
          </w:tcPr>
          <w:p w:rsidR="00361FBE" w:rsidRDefault="00D57855">
            <w:pPr>
              <w:spacing w:line="276" w:lineRule="auto"/>
              <w:ind w:left="0" w:hanging="2"/>
              <w:rPr>
                <w:rFonts w:ascii="Times New Roman" w:eastAsia="Times New Roman" w:hAnsi="Times New Roman" w:cs="Times New Roman"/>
              </w:rPr>
            </w:pPr>
            <w:bookmarkStart w:id="36" w:name="_heading=h.43ky6rz"/>
            <w:bookmarkEnd w:id="36"/>
            <w:r>
              <w:rPr>
                <w:rFonts w:ascii="Times New Roman" w:eastAsia="Times New Roman" w:hAnsi="Times New Roman" w:cs="Times New Roman"/>
                <w:lang w:val="en-US"/>
              </w:rPr>
              <w:t>06-Jul-2023</w:t>
            </w:r>
          </w:p>
        </w:tc>
        <w:tc>
          <w:tcPr>
            <w:tcW w:w="6460" w:type="dxa"/>
          </w:tcPr>
          <w:p w:rsidR="00361FBE" w:rsidRDefault="00D57855">
            <w:pPr>
              <w:spacing w:line="276" w:lineRule="auto"/>
              <w:ind w:left="0" w:hanging="2"/>
              <w:rPr>
                <w:rFonts w:ascii="Times New Roman" w:eastAsia="Times New Roman" w:hAnsi="Times New Roman" w:cs="Times New Roman"/>
              </w:rPr>
            </w:pPr>
            <w:bookmarkStart w:id="37" w:name="_heading=h.2iq8gzs"/>
            <w:bookmarkEnd w:id="37"/>
            <w:r>
              <w:rPr>
                <w:rFonts w:ascii="Times New Roman" w:eastAsia="Times New Roman" w:hAnsi="Times New Roman" w:cs="Times New Roman"/>
                <w:lang w:val="en-US"/>
              </w:rPr>
              <w:t>First version</w:t>
            </w:r>
          </w:p>
        </w:tc>
      </w:tr>
    </w:tbl>
    <w:p w:rsidR="00361FBE" w:rsidRDefault="00361FBE">
      <w:pPr>
        <w:spacing w:line="276" w:lineRule="auto"/>
        <w:ind w:left="0" w:hanging="2"/>
        <w:rPr>
          <w:rFonts w:ascii="Times New Roman" w:eastAsia="Times New Roman" w:hAnsi="Times New Roman" w:cs="Times New Roman"/>
        </w:rPr>
      </w:pPr>
    </w:p>
    <w:p w:rsidR="00361FBE" w:rsidRDefault="00D57855">
      <w:pPr>
        <w:pStyle w:val="Ttulo1"/>
        <w:spacing w:before="0" w:after="0"/>
        <w:ind w:left="0" w:hanging="2"/>
      </w:pPr>
      <w:bookmarkStart w:id="38" w:name="_heading=h.xvir7l"/>
      <w:bookmarkEnd w:id="38"/>
      <w:r>
        <w:rPr>
          <w:bCs/>
          <w:szCs w:val="24"/>
          <w:lang w:val="en-US"/>
        </w:rPr>
        <w:t>1.  INTRODUCTION</w:t>
      </w:r>
    </w:p>
    <w:p w:rsidR="00361FBE" w:rsidRDefault="00361FBE">
      <w:pPr>
        <w:spacing w:line="276" w:lineRule="auto"/>
        <w:ind w:left="0" w:hanging="2"/>
      </w:pPr>
    </w:p>
    <w:p w:rsidR="00361FBE" w:rsidRDefault="00D57855" w:rsidP="006A2ED7">
      <w:pPr>
        <w:spacing w:line="276" w:lineRule="auto"/>
        <w:ind w:leftChars="0" w:left="0" w:firstLineChars="0" w:firstLine="720"/>
        <w:jc w:val="both"/>
        <w:rPr>
          <w:rFonts w:ascii="Times New Roman" w:eastAsia="Times New Roman" w:hAnsi="Times New Roman" w:cs="Times New Roman"/>
        </w:rPr>
      </w:pPr>
      <w:bookmarkStart w:id="39" w:name="_heading=h.3hv69ve"/>
      <w:bookmarkEnd w:id="39"/>
      <w:r>
        <w:rPr>
          <w:rFonts w:ascii="Times New Roman" w:eastAsia="Times New Roman" w:hAnsi="Times New Roman" w:cs="Times New Roman"/>
          <w:lang w:val="en-US"/>
        </w:rPr>
        <w:t xml:space="preserve">This statistical analysis plan (SAP) describes the statistical methods to be used during the analysis of the data collected referring to the research protocol </w:t>
      </w:r>
      <w:r>
        <w:rPr>
          <w:rFonts w:ascii="Times New Roman" w:eastAsia="Times New Roman" w:hAnsi="Times New Roman" w:cs="Times New Roman"/>
          <w:color w:val="000000"/>
          <w:lang w:val="en-US"/>
        </w:rPr>
        <w:t>COV-04-IB: Stepped-wedge cluster randomized clinical trial to evaluate the effectiveness of using the adsorbed COVID-19 vaccine (inactivated) produced by Sinovac</w:t>
      </w:r>
      <w:r>
        <w:rPr>
          <w:rFonts w:ascii="Times New Roman" w:eastAsia="Times New Roman" w:hAnsi="Times New Roman" w:cs="Times New Roman"/>
          <w:lang w:val="en-US"/>
        </w:rPr>
        <w:t>. This SAP is described as follows:</w:t>
      </w:r>
    </w:p>
    <w:p w:rsidR="00361FBE" w:rsidRDefault="00361FBE">
      <w:pPr>
        <w:spacing w:line="276" w:lineRule="auto"/>
        <w:ind w:left="0" w:hanging="2"/>
        <w:jc w:val="both"/>
        <w:rPr>
          <w:rFonts w:ascii="Times New Roman" w:eastAsia="Times New Roman" w:hAnsi="Times New Roman" w:cs="Times New Roman"/>
        </w:rPr>
      </w:pPr>
      <w:bookmarkStart w:id="40" w:name="_heading=h.x59442sxfoph" w:colFirst="0" w:colLast="0"/>
      <w:bookmarkEnd w:id="40"/>
    </w:p>
    <w:p w:rsidR="00361FBE" w:rsidRDefault="00D57855" w:rsidP="006A2ED7">
      <w:pPr>
        <w:numPr>
          <w:ilvl w:val="0"/>
          <w:numId w:val="6"/>
        </w:numPr>
        <w:spacing w:line="276" w:lineRule="auto"/>
        <w:ind w:left="-2" w:firstLineChars="354" w:firstLine="850"/>
      </w:pPr>
      <w:bookmarkStart w:id="41" w:name="_heading=h.1x0gk37"/>
      <w:bookmarkEnd w:id="41"/>
      <w:r>
        <w:rPr>
          <w:rFonts w:ascii="Times New Roman" w:eastAsia="Times New Roman" w:hAnsi="Times New Roman" w:cs="Times New Roman"/>
          <w:lang w:val="en-US"/>
        </w:rPr>
        <w:t>Study design</w:t>
      </w:r>
    </w:p>
    <w:p w:rsidR="00361FBE" w:rsidRDefault="00D57855" w:rsidP="006A2ED7">
      <w:pPr>
        <w:numPr>
          <w:ilvl w:val="0"/>
          <w:numId w:val="6"/>
        </w:numPr>
        <w:spacing w:line="276" w:lineRule="auto"/>
        <w:ind w:left="-2" w:firstLineChars="354" w:firstLine="850"/>
      </w:pPr>
      <w:bookmarkStart w:id="42" w:name="_heading=h.4h042r0"/>
      <w:bookmarkEnd w:id="42"/>
      <w:r>
        <w:rPr>
          <w:rFonts w:ascii="Times New Roman" w:eastAsia="Times New Roman" w:hAnsi="Times New Roman" w:cs="Times New Roman"/>
          <w:lang w:val="en-US"/>
        </w:rPr>
        <w:t>Study objectives and endpoints</w:t>
      </w:r>
    </w:p>
    <w:p w:rsidR="00361FBE" w:rsidRDefault="00D57855" w:rsidP="006A2ED7">
      <w:pPr>
        <w:numPr>
          <w:ilvl w:val="0"/>
          <w:numId w:val="6"/>
        </w:numPr>
        <w:spacing w:line="276" w:lineRule="auto"/>
        <w:ind w:left="-2" w:firstLineChars="354" w:firstLine="850"/>
      </w:pPr>
      <w:bookmarkStart w:id="43" w:name="_heading=h.2w5ecyt"/>
      <w:bookmarkEnd w:id="43"/>
      <w:r>
        <w:rPr>
          <w:rFonts w:ascii="Times New Roman" w:eastAsia="Times New Roman" w:hAnsi="Times New Roman" w:cs="Times New Roman"/>
          <w:lang w:val="en-US"/>
        </w:rPr>
        <w:t>Analysis population</w:t>
      </w:r>
    </w:p>
    <w:p w:rsidR="00361FBE" w:rsidRDefault="00D57855" w:rsidP="006A2ED7">
      <w:pPr>
        <w:numPr>
          <w:ilvl w:val="0"/>
          <w:numId w:val="6"/>
        </w:numPr>
        <w:spacing w:line="276" w:lineRule="auto"/>
        <w:ind w:left="-2" w:firstLineChars="354" w:firstLine="850"/>
      </w:pPr>
      <w:bookmarkStart w:id="44" w:name="_heading=h.1baon6m"/>
      <w:bookmarkEnd w:id="44"/>
      <w:r>
        <w:rPr>
          <w:rFonts w:ascii="Times New Roman" w:eastAsia="Times New Roman" w:hAnsi="Times New Roman" w:cs="Times New Roman"/>
          <w:lang w:val="en-US"/>
        </w:rPr>
        <w:t>Statistical considerations of the study</w:t>
      </w:r>
    </w:p>
    <w:p w:rsidR="00361FBE" w:rsidRDefault="00D57855" w:rsidP="006A2ED7">
      <w:pPr>
        <w:numPr>
          <w:ilvl w:val="0"/>
          <w:numId w:val="6"/>
        </w:numPr>
        <w:spacing w:line="276" w:lineRule="auto"/>
        <w:ind w:left="-2" w:firstLineChars="354" w:firstLine="850"/>
      </w:pPr>
      <w:bookmarkStart w:id="45" w:name="_heading=h.3vac5uf"/>
      <w:bookmarkEnd w:id="45"/>
      <w:r>
        <w:rPr>
          <w:rFonts w:ascii="Times New Roman" w:eastAsia="Times New Roman" w:hAnsi="Times New Roman" w:cs="Times New Roman"/>
          <w:lang w:val="en-US"/>
        </w:rPr>
        <w:t>Statistical methodology</w:t>
      </w:r>
    </w:p>
    <w:p w:rsidR="00361FBE" w:rsidRDefault="00361FBE">
      <w:pPr>
        <w:spacing w:line="276" w:lineRule="auto"/>
        <w:ind w:left="0" w:hanging="2"/>
        <w:jc w:val="both"/>
        <w:rPr>
          <w:rFonts w:ascii="Times New Roman" w:eastAsia="Times New Roman" w:hAnsi="Times New Roman" w:cs="Times New Roman"/>
        </w:rPr>
      </w:pPr>
      <w:bookmarkStart w:id="46" w:name="_heading=h.xghuqnovjwaq" w:colFirst="0" w:colLast="0"/>
      <w:bookmarkEnd w:id="46"/>
    </w:p>
    <w:p w:rsidR="00361FBE" w:rsidRPr="00D57855" w:rsidRDefault="00D57855" w:rsidP="006A2ED7">
      <w:pPr>
        <w:spacing w:line="276" w:lineRule="auto"/>
        <w:ind w:leftChars="0" w:left="0" w:firstLineChars="0" w:firstLine="720"/>
        <w:jc w:val="both"/>
        <w:rPr>
          <w:rFonts w:ascii="Times New Roman" w:eastAsia="Times New Roman" w:hAnsi="Times New Roman" w:cs="Times New Roman"/>
          <w:lang w:val="en-US"/>
        </w:rPr>
      </w:pPr>
      <w:bookmarkStart w:id="47" w:name="_heading=h.2afmg28"/>
      <w:bookmarkEnd w:id="47"/>
      <w:r>
        <w:rPr>
          <w:rFonts w:ascii="Times New Roman" w:eastAsia="Times New Roman" w:hAnsi="Times New Roman" w:cs="Times New Roman"/>
          <w:lang w:val="en-US"/>
        </w:rPr>
        <w:t>This SAP should be read together with the study protocol and its case report forms (CRF). Future changes to the protocol or any study CRF may require an update to the SAP.</w:t>
      </w:r>
    </w:p>
    <w:p w:rsidR="00361FBE" w:rsidRPr="00D57855" w:rsidRDefault="00D57855" w:rsidP="006A2ED7">
      <w:pPr>
        <w:spacing w:line="276" w:lineRule="auto"/>
        <w:ind w:leftChars="0" w:left="0" w:firstLineChars="0" w:firstLine="720"/>
        <w:rPr>
          <w:rFonts w:ascii="Times New Roman" w:eastAsia="Times New Roman" w:hAnsi="Times New Roman" w:cs="Times New Roman"/>
          <w:lang w:val="en-US"/>
        </w:rPr>
      </w:pPr>
      <w:bookmarkStart w:id="48" w:name="_heading=h.pkwqa1"/>
      <w:bookmarkEnd w:id="48"/>
      <w:r>
        <w:rPr>
          <w:rFonts w:ascii="Times New Roman" w:eastAsia="Times New Roman" w:hAnsi="Times New Roman" w:cs="Times New Roman"/>
          <w:lang w:val="en-US"/>
        </w:rPr>
        <w:t>Final approval of this document must occur prior to database locking and initial statistical analyses.</w:t>
      </w:r>
    </w:p>
    <w:p w:rsidR="00361FBE" w:rsidRPr="00D57855" w:rsidRDefault="00361FBE">
      <w:pPr>
        <w:spacing w:line="276" w:lineRule="auto"/>
        <w:ind w:left="0" w:hanging="2"/>
        <w:rPr>
          <w:rFonts w:ascii="Times New Roman" w:eastAsia="Times New Roman" w:hAnsi="Times New Roman" w:cs="Times New Roman"/>
          <w:lang w:val="en-US"/>
        </w:rPr>
      </w:pPr>
      <w:bookmarkStart w:id="49" w:name="_heading=h.e6djzbvvr6ya" w:colFirst="0" w:colLast="0"/>
      <w:bookmarkEnd w:id="49"/>
    </w:p>
    <w:p w:rsidR="00361FBE" w:rsidRPr="00D57855" w:rsidRDefault="00D57855">
      <w:pPr>
        <w:pStyle w:val="Ttulo1"/>
        <w:spacing w:before="0" w:after="0"/>
        <w:ind w:left="0" w:hanging="2"/>
        <w:jc w:val="both"/>
        <w:rPr>
          <w:lang w:val="en-US"/>
        </w:rPr>
      </w:pPr>
      <w:bookmarkStart w:id="50" w:name="_heading=h.39kk8xu"/>
      <w:bookmarkEnd w:id="50"/>
      <w:r>
        <w:rPr>
          <w:bCs/>
          <w:szCs w:val="24"/>
          <w:lang w:val="en-US"/>
        </w:rPr>
        <w:t>2. STUDY DESIGN</w:t>
      </w:r>
    </w:p>
    <w:p w:rsidR="00361FBE" w:rsidRPr="00D57855" w:rsidRDefault="00361FBE">
      <w:pPr>
        <w:keepNext/>
        <w:spacing w:line="276" w:lineRule="auto"/>
        <w:ind w:left="0" w:hanging="2"/>
        <w:jc w:val="both"/>
        <w:rPr>
          <w:lang w:val="en-US"/>
        </w:rPr>
      </w:pPr>
    </w:p>
    <w:p w:rsidR="00361FBE" w:rsidRPr="00D57855" w:rsidRDefault="00D57855">
      <w:pPr>
        <w:pStyle w:val="Ttulo2"/>
        <w:spacing w:before="0" w:after="0"/>
        <w:ind w:left="0" w:hanging="2"/>
        <w:jc w:val="both"/>
        <w:rPr>
          <w:lang w:val="en-US"/>
        </w:rPr>
      </w:pPr>
      <w:bookmarkStart w:id="51" w:name="_heading=h.1opuj5n"/>
      <w:bookmarkEnd w:id="51"/>
      <w:r>
        <w:rPr>
          <w:bCs/>
          <w:szCs w:val="24"/>
          <w:lang w:val="en-US"/>
        </w:rPr>
        <w:t>2.1. Description and study groups</w:t>
      </w:r>
    </w:p>
    <w:p w:rsidR="00361FBE" w:rsidRPr="00D57855" w:rsidRDefault="00361FBE">
      <w:pPr>
        <w:keepNext/>
        <w:spacing w:line="276" w:lineRule="auto"/>
        <w:ind w:left="0" w:hanging="2"/>
        <w:jc w:val="both"/>
        <w:rPr>
          <w:lang w:val="en-US"/>
        </w:rPr>
      </w:pPr>
    </w:p>
    <w:p w:rsidR="00361FBE" w:rsidRPr="00D57855" w:rsidRDefault="00D57855">
      <w:pPr>
        <w:pStyle w:val="Ttulo2"/>
        <w:widowControl w:val="0"/>
        <w:spacing w:before="0" w:after="0"/>
        <w:ind w:left="0" w:hanging="2"/>
        <w:jc w:val="both"/>
        <w:rPr>
          <w:lang w:val="en-US"/>
        </w:rPr>
      </w:pPr>
      <w:bookmarkStart w:id="52" w:name="_heading=h.48pi1tg"/>
      <w:bookmarkEnd w:id="52"/>
      <w:r>
        <w:rPr>
          <w:bCs/>
          <w:szCs w:val="24"/>
          <w:lang w:val="en-US"/>
        </w:rPr>
        <w:t xml:space="preserve">2.1.1. </w:t>
      </w:r>
      <w:r>
        <w:rPr>
          <w:bCs/>
          <w:szCs w:val="24"/>
          <w:lang w:val="en-US"/>
        </w:rPr>
        <w:tab/>
        <w:t>Study design</w:t>
      </w:r>
    </w:p>
    <w:p w:rsidR="00361FBE" w:rsidRPr="00D57855" w:rsidRDefault="00361FBE">
      <w:pPr>
        <w:keepNext/>
        <w:keepLines/>
        <w:widowControl w:val="0"/>
        <w:spacing w:line="276" w:lineRule="auto"/>
        <w:ind w:left="0" w:hanging="2"/>
        <w:jc w:val="both"/>
        <w:rPr>
          <w:lang w:val="en-US"/>
        </w:rPr>
      </w:pPr>
    </w:p>
    <w:p w:rsidR="00361FBE" w:rsidRPr="00D57855" w:rsidRDefault="00D57855" w:rsidP="006A2ED7">
      <w:pPr>
        <w:keepNext/>
        <w:keepLines/>
        <w:widowControl w:val="0"/>
        <w:pBdr>
          <w:top w:val="nil"/>
          <w:left w:val="nil"/>
          <w:bottom w:val="nil"/>
          <w:right w:val="nil"/>
          <w:between w:val="nil"/>
        </w:pBdr>
        <w:spacing w:line="276" w:lineRule="auto"/>
        <w:ind w:leftChars="0" w:left="0" w:firstLineChars="0" w:firstLine="72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This is an open stepped-wedge cluster randomized clinical trial to evaluate the effectiveness of the two-dose vaccination schedule with the adsorbed COVID-19 vaccine (inactivated) produced by Sinovac. The clusters (organized into four groups) are defined based on geographic location within the urban area of ​​a municipality. Further detailing can be found in Annex B of this study protocol.</w:t>
      </w:r>
    </w:p>
    <w:p w:rsidR="00361FBE" w:rsidRPr="00D57855" w:rsidRDefault="00361FBE">
      <w:pPr>
        <w:keepNext/>
        <w:keepLines/>
        <w:pBdr>
          <w:top w:val="nil"/>
          <w:left w:val="nil"/>
          <w:bottom w:val="nil"/>
          <w:right w:val="nil"/>
          <w:between w:val="nil"/>
        </w:pBdr>
        <w:spacing w:line="276" w:lineRule="auto"/>
        <w:ind w:left="0" w:hanging="2"/>
        <w:jc w:val="both"/>
        <w:rPr>
          <w:rFonts w:ascii="Times New Roman" w:eastAsia="Times New Roman" w:hAnsi="Times New Roman" w:cs="Times New Roman"/>
          <w:color w:val="000000"/>
          <w:lang w:val="en-US"/>
        </w:rPr>
      </w:pPr>
    </w:p>
    <w:p w:rsidR="00361FBE" w:rsidRPr="00D57855" w:rsidRDefault="00D57855">
      <w:pPr>
        <w:pStyle w:val="Ttulo2"/>
        <w:spacing w:before="0" w:after="0"/>
        <w:ind w:left="0" w:hanging="2"/>
        <w:jc w:val="both"/>
        <w:rPr>
          <w:lang w:val="en-US"/>
        </w:rPr>
      </w:pPr>
      <w:bookmarkStart w:id="53" w:name="_heading=h.2nusc19"/>
      <w:bookmarkEnd w:id="53"/>
      <w:r>
        <w:rPr>
          <w:bCs/>
          <w:szCs w:val="24"/>
          <w:lang w:val="en-US"/>
        </w:rPr>
        <w:t xml:space="preserve">2.1.2. </w:t>
      </w:r>
      <w:r>
        <w:rPr>
          <w:bCs/>
          <w:szCs w:val="24"/>
          <w:lang w:val="en-US"/>
        </w:rPr>
        <w:tab/>
        <w:t>Study Population</w:t>
      </w:r>
    </w:p>
    <w:p w:rsidR="00361FBE" w:rsidRPr="00D57855" w:rsidRDefault="00361FBE">
      <w:pPr>
        <w:keepNext/>
        <w:keepLines/>
        <w:spacing w:line="276" w:lineRule="auto"/>
        <w:ind w:left="0" w:right="340" w:hanging="2"/>
        <w:jc w:val="both"/>
        <w:rPr>
          <w:rFonts w:ascii="Times New Roman" w:eastAsia="Times New Roman" w:hAnsi="Times New Roman" w:cs="Times New Roman"/>
          <w:color w:val="000000"/>
          <w:lang w:val="en-US"/>
        </w:rPr>
      </w:pPr>
    </w:p>
    <w:p w:rsidR="00361FBE" w:rsidRPr="00D57855" w:rsidRDefault="00D57855" w:rsidP="006A2ED7">
      <w:pPr>
        <w:keepNext/>
        <w:keepLines/>
        <w:spacing w:line="276" w:lineRule="auto"/>
        <w:ind w:leftChars="0" w:left="0" w:right="-7" w:firstLineChars="0" w:firstLine="72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The study will be carried out in the urban area of ​​the municipality of Serrana - SP, with a population of around 40 thousand inhabitants. Vaccination will be offered to healthy people and/or people with clinically controlled disease, of both genders, aged 18 or over</w:t>
      </w:r>
      <w:r>
        <w:rPr>
          <w:rFonts w:ascii="Times New Roman" w:eastAsia="Times New Roman" w:hAnsi="Times New Roman" w:cs="Times New Roman"/>
          <w:lang w:val="en-US"/>
        </w:rPr>
        <w:t>, residing in each of the clusters described in Annex B of the protocol.</w:t>
      </w:r>
    </w:p>
    <w:p w:rsidR="00361FBE" w:rsidRPr="00D57855" w:rsidRDefault="00361FBE">
      <w:pPr>
        <w:spacing w:line="276" w:lineRule="auto"/>
        <w:ind w:left="0" w:hanging="2"/>
        <w:jc w:val="both"/>
        <w:rPr>
          <w:rFonts w:ascii="Times New Roman" w:eastAsia="Times New Roman" w:hAnsi="Times New Roman" w:cs="Times New Roman"/>
          <w:lang w:val="en-US"/>
        </w:rPr>
      </w:pPr>
    </w:p>
    <w:p w:rsidR="00361FBE" w:rsidRDefault="00D57855">
      <w:pPr>
        <w:pStyle w:val="Ttulo2"/>
        <w:spacing w:before="0" w:after="0"/>
        <w:ind w:left="0" w:hanging="2"/>
      </w:pPr>
      <w:bookmarkStart w:id="54" w:name="_heading=h.1302m92"/>
      <w:bookmarkEnd w:id="54"/>
      <w:r>
        <w:rPr>
          <w:bCs/>
          <w:szCs w:val="24"/>
          <w:lang w:val="en-US"/>
        </w:rPr>
        <w:lastRenderedPageBreak/>
        <w:t>2.1.3.</w:t>
      </w:r>
      <w:r>
        <w:rPr>
          <w:bCs/>
          <w:szCs w:val="24"/>
          <w:lang w:val="en-US"/>
        </w:rPr>
        <w:tab/>
        <w:t>Eligibility criteria</w:t>
      </w:r>
    </w:p>
    <w:p w:rsidR="00361FBE" w:rsidRDefault="00361FBE">
      <w:pPr>
        <w:ind w:left="0" w:hanging="2"/>
      </w:pPr>
    </w:p>
    <w:p w:rsidR="00361FBE" w:rsidRDefault="00D57855">
      <w:pPr>
        <w:pStyle w:val="Ttulo2"/>
        <w:spacing w:before="0" w:after="0"/>
        <w:ind w:left="0" w:hanging="2"/>
      </w:pPr>
      <w:bookmarkStart w:id="55" w:name="_heading=h.3mzq4wv"/>
      <w:bookmarkEnd w:id="55"/>
      <w:r>
        <w:rPr>
          <w:bCs/>
          <w:szCs w:val="24"/>
          <w:lang w:val="en-US"/>
        </w:rPr>
        <w:t>2.1.3.1. Inclusion criteria:</w:t>
      </w:r>
    </w:p>
    <w:p w:rsidR="00361FBE" w:rsidRDefault="00361FBE">
      <w:pPr>
        <w:ind w:left="0" w:hanging="2"/>
      </w:pPr>
    </w:p>
    <w:p w:rsidR="00361FBE" w:rsidRPr="00D57855" w:rsidRDefault="00D57855" w:rsidP="006A2ED7">
      <w:pPr>
        <w:keepNext/>
        <w:keepLines/>
        <w:numPr>
          <w:ilvl w:val="0"/>
          <w:numId w:val="2"/>
        </w:numPr>
        <w:spacing w:line="276" w:lineRule="auto"/>
        <w:ind w:left="-2" w:firstLineChars="354" w:firstLine="85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Adults 18 years of age or older;</w:t>
      </w:r>
    </w:p>
    <w:p w:rsidR="00361FBE" w:rsidRPr="00D57855" w:rsidRDefault="00361FBE" w:rsidP="006A2ED7">
      <w:pPr>
        <w:keepNext/>
        <w:keepLines/>
        <w:spacing w:line="276" w:lineRule="auto"/>
        <w:ind w:left="-2" w:firstLineChars="354" w:firstLine="850"/>
        <w:rPr>
          <w:rFonts w:ascii="Times New Roman" w:eastAsia="Times New Roman" w:hAnsi="Times New Roman" w:cs="Times New Roman"/>
          <w:color w:val="000000"/>
          <w:lang w:val="en-US"/>
        </w:rPr>
      </w:pPr>
    </w:p>
    <w:p w:rsidR="00361FBE" w:rsidRPr="00D57855" w:rsidRDefault="00D57855" w:rsidP="006A2ED7">
      <w:pPr>
        <w:keepNext/>
        <w:keepLines/>
        <w:numPr>
          <w:ilvl w:val="0"/>
          <w:numId w:val="2"/>
        </w:numPr>
        <w:spacing w:line="276" w:lineRule="auto"/>
        <w:ind w:left="-2" w:firstLineChars="354" w:firstLine="85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Live in the study area;</w:t>
      </w:r>
    </w:p>
    <w:p w:rsidR="00361FBE" w:rsidRPr="00D57855" w:rsidRDefault="00361FBE" w:rsidP="006A2ED7">
      <w:pPr>
        <w:keepNext/>
        <w:keepLines/>
        <w:spacing w:line="276" w:lineRule="auto"/>
        <w:ind w:left="-2" w:firstLineChars="354" w:firstLine="850"/>
        <w:rPr>
          <w:rFonts w:ascii="Times New Roman" w:eastAsia="Times New Roman" w:hAnsi="Times New Roman" w:cs="Times New Roman"/>
          <w:color w:val="000000"/>
          <w:lang w:val="en-US"/>
        </w:rPr>
      </w:pPr>
    </w:p>
    <w:p w:rsidR="00361FBE" w:rsidRPr="00D57855" w:rsidRDefault="00D57855" w:rsidP="006A2ED7">
      <w:pPr>
        <w:keepNext/>
        <w:keepLines/>
        <w:numPr>
          <w:ilvl w:val="0"/>
          <w:numId w:val="2"/>
        </w:numPr>
        <w:spacing w:line="276" w:lineRule="auto"/>
        <w:ind w:left="-2" w:firstLineChars="354" w:firstLine="85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Demonstrate the intention to participate in the study, documented by the subject’s signature of the Informed Consent Form (ICF).</w:t>
      </w:r>
    </w:p>
    <w:p w:rsidR="00361FBE" w:rsidRPr="00D57855" w:rsidRDefault="00361FBE">
      <w:pPr>
        <w:keepNext/>
        <w:keepLines/>
        <w:spacing w:line="276" w:lineRule="auto"/>
        <w:ind w:left="0" w:hanging="2"/>
        <w:rPr>
          <w:rFonts w:ascii="Times New Roman" w:eastAsia="Times New Roman" w:hAnsi="Times New Roman" w:cs="Times New Roman"/>
          <w:color w:val="000000"/>
          <w:lang w:val="en-US"/>
        </w:rPr>
      </w:pPr>
    </w:p>
    <w:p w:rsidR="00361FBE" w:rsidRDefault="00D57855">
      <w:pPr>
        <w:pStyle w:val="Ttulo2"/>
        <w:spacing w:before="0" w:after="0"/>
        <w:ind w:left="0" w:hanging="2"/>
      </w:pPr>
      <w:bookmarkStart w:id="56" w:name="_heading=h.2250f4o"/>
      <w:bookmarkEnd w:id="56"/>
      <w:r>
        <w:rPr>
          <w:bCs/>
          <w:szCs w:val="24"/>
          <w:lang w:val="en-US"/>
        </w:rPr>
        <w:t>2.1.3.2. Exclusion criteria:</w:t>
      </w:r>
    </w:p>
    <w:p w:rsidR="00361FBE" w:rsidRDefault="00361FBE">
      <w:pPr>
        <w:ind w:left="0" w:hanging="2"/>
      </w:pPr>
    </w:p>
    <w:p w:rsidR="00361FBE" w:rsidRPr="00D57855" w:rsidRDefault="00D57855" w:rsidP="006A2ED7">
      <w:pPr>
        <w:pStyle w:val="Ttulo2"/>
        <w:keepNext w:val="0"/>
        <w:numPr>
          <w:ilvl w:val="0"/>
          <w:numId w:val="1"/>
        </w:numPr>
        <w:spacing w:before="0" w:after="0"/>
        <w:ind w:left="-2" w:firstLineChars="354" w:firstLine="850"/>
        <w:jc w:val="both"/>
        <w:rPr>
          <w:b w:val="0"/>
          <w:lang w:val="en-US"/>
        </w:rPr>
      </w:pPr>
      <w:bookmarkStart w:id="57" w:name="_heading=h.gf75t3tlegb2"/>
      <w:bookmarkEnd w:id="57"/>
      <w:r>
        <w:rPr>
          <w:b w:val="0"/>
          <w:szCs w:val="24"/>
          <w:lang w:val="en-US"/>
        </w:rPr>
        <w:t>For females: Pregnancy (confirmed by a positive β-hCG test), breastfeeding and/or expressing intention to engage in sexual practices with reproductive potential without using a contraceptive method in the three months following vaccination;</w:t>
      </w:r>
    </w:p>
    <w:p w:rsidR="00361FBE" w:rsidRPr="00D57855" w:rsidRDefault="00361FBE" w:rsidP="006A2ED7">
      <w:pPr>
        <w:spacing w:line="276" w:lineRule="auto"/>
        <w:ind w:left="-2" w:firstLineChars="354" w:firstLine="850"/>
        <w:rPr>
          <w:lang w:val="en-US"/>
        </w:rPr>
      </w:pPr>
    </w:p>
    <w:p w:rsidR="00361FBE" w:rsidRPr="00D57855" w:rsidRDefault="00D57855" w:rsidP="006A2ED7">
      <w:pPr>
        <w:numPr>
          <w:ilvl w:val="0"/>
          <w:numId w:val="1"/>
        </w:numPr>
        <w:spacing w:line="276" w:lineRule="auto"/>
        <w:ind w:left="-2"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Evidences of uncontrolled active neurological, cardiac, pulmonary, hepatic or renal disease, according to anamnesis or physical examination; Significant changes in treatment or hospitalizations due to worsening of the condition in the last three months are indicators of uncontrolled disease;</w:t>
      </w:r>
    </w:p>
    <w:p w:rsidR="00361FBE" w:rsidRPr="00D57855" w:rsidRDefault="00D57855" w:rsidP="006A2ED7">
      <w:pPr>
        <w:spacing w:line="276" w:lineRule="auto"/>
        <w:ind w:left="-2" w:firstLineChars="354" w:firstLine="850"/>
        <w:jc w:val="both"/>
        <w:rPr>
          <w:rFonts w:ascii="Times New Roman" w:eastAsia="Times New Roman" w:hAnsi="Times New Roman" w:cs="Times New Roman"/>
          <w:lang w:val="en-US"/>
        </w:rPr>
      </w:pPr>
      <w:r w:rsidRPr="00D57855">
        <w:rPr>
          <w:rFonts w:ascii="Times New Roman" w:eastAsia="Times New Roman" w:hAnsi="Times New Roman" w:cs="Times New Roman"/>
          <w:lang w:val="en-US"/>
        </w:rPr>
        <w:t xml:space="preserve"> </w:t>
      </w:r>
    </w:p>
    <w:p w:rsidR="00361FBE" w:rsidRPr="00D57855" w:rsidRDefault="00D57855" w:rsidP="006A2ED7">
      <w:pPr>
        <w:numPr>
          <w:ilvl w:val="0"/>
          <w:numId w:val="1"/>
        </w:numPr>
        <w:spacing w:line="276" w:lineRule="auto"/>
        <w:ind w:left="-2"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Diseases with compromised immune system, including: neoplasms (except basal cell carcinoma), congenital or acquired immunodeficiencies and uncontrolled autoimmune diseases according to anamnesis or physical examination; Significant changes in treatment or hospitalizations due to worsening of the condition in the last three months are indicators of uncontrolled disease; </w:t>
      </w:r>
    </w:p>
    <w:p w:rsidR="00361FBE" w:rsidRPr="00D57855" w:rsidRDefault="00361FBE" w:rsidP="006A2ED7">
      <w:pPr>
        <w:spacing w:line="276" w:lineRule="auto"/>
        <w:ind w:left="-2" w:right="340" w:firstLineChars="354" w:firstLine="850"/>
        <w:jc w:val="both"/>
        <w:rPr>
          <w:rFonts w:ascii="Times New Roman" w:eastAsia="Times New Roman" w:hAnsi="Times New Roman" w:cs="Times New Roman"/>
          <w:lang w:val="en-US"/>
        </w:rPr>
      </w:pPr>
    </w:p>
    <w:p w:rsidR="00361FBE" w:rsidRPr="00D57855" w:rsidRDefault="00D57855" w:rsidP="006A2ED7">
      <w:pPr>
        <w:numPr>
          <w:ilvl w:val="0"/>
          <w:numId w:val="1"/>
        </w:numPr>
        <w:spacing w:line="276" w:lineRule="auto"/>
        <w:ind w:left="-2" w:right="-7"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Behavioral, cognitive, or psychiatric illness that, in the opinion of the principal investigator or medical representative, affects the subject’s ability to understand and collaborate with the requirements of the study protocol;</w:t>
      </w:r>
    </w:p>
    <w:p w:rsidR="00361FBE" w:rsidRPr="00D57855" w:rsidRDefault="00361FBE" w:rsidP="006A2ED7">
      <w:pPr>
        <w:spacing w:line="276" w:lineRule="auto"/>
        <w:ind w:left="-2" w:right="-7" w:firstLineChars="354" w:firstLine="850"/>
        <w:jc w:val="both"/>
        <w:rPr>
          <w:rFonts w:ascii="Times New Roman" w:eastAsia="Times New Roman" w:hAnsi="Times New Roman" w:cs="Times New Roman"/>
          <w:lang w:val="en-US"/>
        </w:rPr>
      </w:pPr>
    </w:p>
    <w:p w:rsidR="00361FBE" w:rsidRPr="00D57855" w:rsidRDefault="00D57855" w:rsidP="006A2ED7">
      <w:pPr>
        <w:numPr>
          <w:ilvl w:val="0"/>
          <w:numId w:val="1"/>
        </w:numPr>
        <w:spacing w:line="276" w:lineRule="auto"/>
        <w:ind w:left="-2" w:right="-7"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History of any considered abusive use of alcohol or drugs in the last 12 months prior to study enrollment that has caused medical, professional or family problems, as indicated by the medical history;</w:t>
      </w:r>
    </w:p>
    <w:p w:rsidR="00361FBE" w:rsidRPr="00D57855" w:rsidRDefault="00361FBE" w:rsidP="006A2ED7">
      <w:pPr>
        <w:spacing w:line="276" w:lineRule="auto"/>
        <w:ind w:left="-2" w:right="-7" w:firstLineChars="354" w:firstLine="850"/>
        <w:jc w:val="both"/>
        <w:rPr>
          <w:rFonts w:ascii="Times New Roman" w:eastAsia="Times New Roman" w:hAnsi="Times New Roman" w:cs="Times New Roman"/>
          <w:lang w:val="en-US"/>
        </w:rPr>
      </w:pPr>
    </w:p>
    <w:p w:rsidR="00361FBE" w:rsidRPr="00D57855" w:rsidRDefault="00D57855" w:rsidP="006A2ED7">
      <w:pPr>
        <w:numPr>
          <w:ilvl w:val="0"/>
          <w:numId w:val="1"/>
        </w:numPr>
        <w:spacing w:line="276" w:lineRule="auto"/>
        <w:ind w:left="-2" w:right="-7"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History of severe allergic reaction or anaphylaxis to the vaccine or study vaccine components;</w:t>
      </w:r>
    </w:p>
    <w:p w:rsidR="00361FBE" w:rsidRPr="00D57855" w:rsidRDefault="00D57855" w:rsidP="006A2ED7">
      <w:pPr>
        <w:spacing w:line="276" w:lineRule="auto"/>
        <w:ind w:left="-2" w:right="-7" w:firstLineChars="354" w:firstLine="850"/>
        <w:jc w:val="both"/>
        <w:rPr>
          <w:rFonts w:ascii="Times New Roman" w:eastAsia="Times New Roman" w:hAnsi="Times New Roman" w:cs="Times New Roman"/>
          <w:lang w:val="en-US"/>
        </w:rPr>
      </w:pPr>
      <w:r w:rsidRPr="00D57855">
        <w:rPr>
          <w:rFonts w:ascii="Times New Roman" w:eastAsia="Times New Roman" w:hAnsi="Times New Roman" w:cs="Times New Roman"/>
          <w:lang w:val="en-US"/>
        </w:rPr>
        <w:t xml:space="preserve"> </w:t>
      </w:r>
    </w:p>
    <w:p w:rsidR="00361FBE" w:rsidRDefault="00D57855" w:rsidP="006A2ED7">
      <w:pPr>
        <w:numPr>
          <w:ilvl w:val="0"/>
          <w:numId w:val="1"/>
        </w:numPr>
        <w:spacing w:line="276" w:lineRule="auto"/>
        <w:ind w:left="-2" w:right="-7" w:firstLineChars="354" w:firstLine="850"/>
        <w:jc w:val="both"/>
        <w:rPr>
          <w:rFonts w:ascii="Times New Roman" w:eastAsia="Times New Roman" w:hAnsi="Times New Roman" w:cs="Times New Roman"/>
        </w:rPr>
      </w:pPr>
      <w:r>
        <w:rPr>
          <w:rFonts w:ascii="Times New Roman" w:eastAsia="Times New Roman" w:hAnsi="Times New Roman" w:cs="Times New Roman"/>
          <w:lang w:val="en-US"/>
        </w:rPr>
        <w:t>History of asplenia;</w:t>
      </w:r>
    </w:p>
    <w:p w:rsidR="00361FBE" w:rsidRDefault="00361FBE" w:rsidP="006A2ED7">
      <w:pPr>
        <w:spacing w:line="276" w:lineRule="auto"/>
        <w:ind w:left="-2" w:right="-7" w:firstLineChars="354" w:firstLine="850"/>
        <w:jc w:val="both"/>
        <w:rPr>
          <w:rFonts w:ascii="Times New Roman" w:eastAsia="Times New Roman" w:hAnsi="Times New Roman" w:cs="Times New Roman"/>
        </w:rPr>
      </w:pPr>
    </w:p>
    <w:p w:rsidR="00361FBE" w:rsidRPr="00D57855" w:rsidRDefault="00D57855" w:rsidP="006A2ED7">
      <w:pPr>
        <w:numPr>
          <w:ilvl w:val="0"/>
          <w:numId w:val="1"/>
        </w:numPr>
        <w:spacing w:line="276" w:lineRule="auto"/>
        <w:ind w:left="-2" w:right="-7"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Participation in another clinical trial with administration of the investigational product during the six months preceding its inclusion in this study or scheduled participation in another clinical trial in the two years following enrollment;</w:t>
      </w:r>
    </w:p>
    <w:p w:rsidR="00361FBE" w:rsidRPr="00D57855" w:rsidRDefault="00D57855" w:rsidP="006A2ED7">
      <w:pPr>
        <w:spacing w:line="276" w:lineRule="auto"/>
        <w:ind w:left="-2" w:right="-7" w:firstLineChars="354" w:firstLine="850"/>
        <w:jc w:val="both"/>
        <w:rPr>
          <w:rFonts w:ascii="Times New Roman" w:eastAsia="Times New Roman" w:hAnsi="Times New Roman" w:cs="Times New Roman"/>
          <w:lang w:val="en-US"/>
        </w:rPr>
      </w:pPr>
      <w:r w:rsidRPr="00D57855">
        <w:rPr>
          <w:rFonts w:ascii="Times New Roman" w:eastAsia="Times New Roman" w:hAnsi="Times New Roman" w:cs="Times New Roman"/>
          <w:lang w:val="en-US"/>
        </w:rPr>
        <w:lastRenderedPageBreak/>
        <w:t xml:space="preserve"> </w:t>
      </w:r>
    </w:p>
    <w:p w:rsidR="00361FBE" w:rsidRPr="00D57855" w:rsidRDefault="00D57855" w:rsidP="006A2ED7">
      <w:pPr>
        <w:numPr>
          <w:ilvl w:val="0"/>
          <w:numId w:val="1"/>
        </w:numPr>
        <w:spacing w:line="276" w:lineRule="auto"/>
        <w:ind w:left="-2" w:right="-7"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Previous participation in a COVID-19 vaccine evaluation study or previous exposure to a COVID-19 vaccine;</w:t>
      </w:r>
    </w:p>
    <w:p w:rsidR="00361FBE" w:rsidRPr="00D57855" w:rsidRDefault="00D57855" w:rsidP="006A2ED7">
      <w:pPr>
        <w:spacing w:line="276" w:lineRule="auto"/>
        <w:ind w:left="-2" w:right="-7" w:firstLineChars="354" w:firstLine="850"/>
        <w:jc w:val="both"/>
        <w:rPr>
          <w:rFonts w:ascii="Times New Roman" w:eastAsia="Times New Roman" w:hAnsi="Times New Roman" w:cs="Times New Roman"/>
          <w:lang w:val="en-US"/>
        </w:rPr>
      </w:pPr>
      <w:r w:rsidRPr="00D57855">
        <w:rPr>
          <w:rFonts w:ascii="Times New Roman" w:eastAsia="Times New Roman" w:hAnsi="Times New Roman" w:cs="Times New Roman"/>
          <w:lang w:val="en-US"/>
        </w:rPr>
        <w:t xml:space="preserve"> </w:t>
      </w:r>
    </w:p>
    <w:p w:rsidR="00361FBE" w:rsidRPr="00D57855" w:rsidRDefault="00D57855" w:rsidP="006A2ED7">
      <w:pPr>
        <w:numPr>
          <w:ilvl w:val="0"/>
          <w:numId w:val="1"/>
        </w:numPr>
        <w:spacing w:line="276" w:lineRule="auto"/>
        <w:ind w:left="-2" w:right="-7"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Use of immunosuppressive therapies six months prior to inclusion in the study or schedule use of immunosuppressants within two years of study enrollment; The following therapies are considered immunosuppressive: antineoplastic drugs, radiotherapy, immunosuppressants to induce tolerance to transplants, among others;</w:t>
      </w:r>
    </w:p>
    <w:p w:rsidR="00361FBE" w:rsidRPr="00D57855" w:rsidRDefault="00D57855" w:rsidP="006A2ED7">
      <w:pPr>
        <w:spacing w:line="276" w:lineRule="auto"/>
        <w:ind w:left="-2" w:right="-7" w:firstLineChars="354" w:firstLine="850"/>
        <w:jc w:val="both"/>
        <w:rPr>
          <w:rFonts w:ascii="Times New Roman" w:eastAsia="Times New Roman" w:hAnsi="Times New Roman" w:cs="Times New Roman"/>
          <w:lang w:val="en-US"/>
        </w:rPr>
      </w:pPr>
      <w:r w:rsidRPr="00D57855">
        <w:rPr>
          <w:rFonts w:ascii="Times New Roman" w:eastAsia="Times New Roman" w:hAnsi="Times New Roman" w:cs="Times New Roman"/>
          <w:lang w:val="en-US"/>
        </w:rPr>
        <w:t xml:space="preserve"> </w:t>
      </w:r>
    </w:p>
    <w:p w:rsidR="00361FBE" w:rsidRPr="00D57855" w:rsidRDefault="00D57855" w:rsidP="006A2ED7">
      <w:pPr>
        <w:numPr>
          <w:ilvl w:val="0"/>
          <w:numId w:val="1"/>
        </w:numPr>
        <w:spacing w:line="276" w:lineRule="auto"/>
        <w:ind w:left="-2" w:right="-7"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Having received blood products (transfusions or immunoglobulins) in the last three months prior to inclusion in the study, or schedule administration of blood products or immunoglobulins within six months of study enrollment; The dose of corticosteroids considered immunosuppressive is the equivalent to prednisone at a dose of 20 mg/day for adults, for more than a week; The continuous use of topical or nasal corticosteroids is not considered immunosuppressive;</w:t>
      </w:r>
    </w:p>
    <w:p w:rsidR="00361FBE" w:rsidRPr="00D57855" w:rsidRDefault="00D57855" w:rsidP="006A2ED7">
      <w:pPr>
        <w:spacing w:line="276" w:lineRule="auto"/>
        <w:ind w:left="-2" w:right="-7" w:firstLineChars="354" w:firstLine="850"/>
        <w:jc w:val="both"/>
        <w:rPr>
          <w:rFonts w:ascii="Times New Roman" w:eastAsia="Times New Roman" w:hAnsi="Times New Roman" w:cs="Times New Roman"/>
          <w:lang w:val="en-US"/>
        </w:rPr>
      </w:pPr>
      <w:r w:rsidRPr="00D57855">
        <w:rPr>
          <w:rFonts w:ascii="Times New Roman" w:eastAsia="Times New Roman" w:hAnsi="Times New Roman" w:cs="Times New Roman"/>
          <w:lang w:val="en-US"/>
        </w:rPr>
        <w:t xml:space="preserve"> </w:t>
      </w:r>
    </w:p>
    <w:p w:rsidR="00361FBE" w:rsidRPr="00D57855" w:rsidRDefault="00D57855" w:rsidP="006A2ED7">
      <w:pPr>
        <w:numPr>
          <w:ilvl w:val="0"/>
          <w:numId w:val="1"/>
        </w:numPr>
        <w:spacing w:line="276" w:lineRule="auto"/>
        <w:ind w:left="-2" w:right="-7"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Having received blood products (transfusions or immunoglobulins) in the last three months prior to study enrollment, or scheduled administration of blood products or immunoglobulins within two years of study enrollment;</w:t>
      </w:r>
    </w:p>
    <w:p w:rsidR="00361FBE" w:rsidRPr="00D57855" w:rsidRDefault="00D57855" w:rsidP="006A2ED7">
      <w:pPr>
        <w:spacing w:line="276" w:lineRule="auto"/>
        <w:ind w:left="-2" w:right="-7" w:firstLineChars="354" w:firstLine="850"/>
        <w:jc w:val="both"/>
        <w:rPr>
          <w:rFonts w:ascii="Times New Roman" w:eastAsia="Times New Roman" w:hAnsi="Times New Roman" w:cs="Times New Roman"/>
          <w:lang w:val="en-US"/>
        </w:rPr>
      </w:pPr>
      <w:r w:rsidRPr="00D57855">
        <w:rPr>
          <w:rFonts w:ascii="Times New Roman" w:eastAsia="Times New Roman" w:hAnsi="Times New Roman" w:cs="Times New Roman"/>
          <w:lang w:val="en-US"/>
        </w:rPr>
        <w:t xml:space="preserve"> </w:t>
      </w:r>
    </w:p>
    <w:p w:rsidR="00361FBE" w:rsidRPr="00D57855" w:rsidRDefault="00D57855" w:rsidP="006A2ED7">
      <w:pPr>
        <w:numPr>
          <w:ilvl w:val="0"/>
          <w:numId w:val="1"/>
        </w:numPr>
        <w:spacing w:line="276" w:lineRule="auto"/>
        <w:ind w:left="-2" w:right="-7"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Suspected or confirmed fever within 72 hours prior to vaccination or an axillary temperature greater than 37.8°C* on the day of vaccination (enrollment may be postponed until subject completes 72 hours without fever);</w:t>
      </w:r>
    </w:p>
    <w:p w:rsidR="00361FBE" w:rsidRPr="00D57855" w:rsidRDefault="00D57855" w:rsidP="006A2ED7">
      <w:pPr>
        <w:spacing w:line="276" w:lineRule="auto"/>
        <w:ind w:left="-2" w:firstLineChars="354" w:firstLine="850"/>
        <w:rPr>
          <w:rFonts w:ascii="Times New Roman" w:eastAsia="Times New Roman" w:hAnsi="Times New Roman" w:cs="Times New Roman"/>
          <w:lang w:val="en-US"/>
        </w:rPr>
      </w:pPr>
      <w:r w:rsidRPr="00D57855">
        <w:rPr>
          <w:rFonts w:ascii="Times New Roman" w:eastAsia="Times New Roman" w:hAnsi="Times New Roman" w:cs="Times New Roman"/>
          <w:lang w:val="en-US"/>
        </w:rPr>
        <w:t xml:space="preserve"> </w:t>
      </w:r>
    </w:p>
    <w:p w:rsidR="00361FBE" w:rsidRPr="00D57855" w:rsidRDefault="00D57855" w:rsidP="006A2ED7">
      <w:pPr>
        <w:numPr>
          <w:ilvl w:val="0"/>
          <w:numId w:val="1"/>
        </w:numPr>
        <w:spacing w:line="276" w:lineRule="auto"/>
        <w:ind w:left="-2" w:right="-7"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Possible or confirmed case of COVID-19 on the day of vaccination (vaccination may be postponed until subject completes 72 hours without symptoms or the diagnosis is ruled out);</w:t>
      </w:r>
    </w:p>
    <w:p w:rsidR="00361FBE" w:rsidRPr="00D57855" w:rsidRDefault="00D57855" w:rsidP="006A2ED7">
      <w:pPr>
        <w:spacing w:line="276" w:lineRule="auto"/>
        <w:ind w:left="-2" w:right="-7" w:firstLineChars="354" w:firstLine="850"/>
        <w:rPr>
          <w:rFonts w:ascii="Times New Roman" w:eastAsia="Times New Roman" w:hAnsi="Times New Roman" w:cs="Times New Roman"/>
          <w:lang w:val="en-US"/>
        </w:rPr>
      </w:pPr>
      <w:r w:rsidRPr="00D57855">
        <w:rPr>
          <w:rFonts w:ascii="Times New Roman" w:eastAsia="Times New Roman" w:hAnsi="Times New Roman" w:cs="Times New Roman"/>
          <w:lang w:val="en-US"/>
        </w:rPr>
        <w:t xml:space="preserve"> </w:t>
      </w:r>
    </w:p>
    <w:p w:rsidR="00361FBE" w:rsidRPr="00D57855" w:rsidRDefault="00D57855" w:rsidP="006A2ED7">
      <w:pPr>
        <w:numPr>
          <w:ilvl w:val="0"/>
          <w:numId w:val="1"/>
        </w:numPr>
        <w:spacing w:line="276" w:lineRule="auto"/>
        <w:ind w:left="-2" w:right="-7"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Having received a live attenuated virus vaccine in the last 28 days or an inactivated vaccine in the last 14 days prior to study enrollment, or having immunization scheduled for the first 28 days after study enrollment;</w:t>
      </w:r>
    </w:p>
    <w:p w:rsidR="00361FBE" w:rsidRPr="00D57855" w:rsidRDefault="00D57855" w:rsidP="006A2ED7">
      <w:pPr>
        <w:spacing w:line="276" w:lineRule="auto"/>
        <w:ind w:left="-2" w:right="-7" w:firstLineChars="354" w:firstLine="850"/>
        <w:rPr>
          <w:rFonts w:ascii="Times New Roman" w:eastAsia="Times New Roman" w:hAnsi="Times New Roman" w:cs="Times New Roman"/>
          <w:lang w:val="en-US"/>
        </w:rPr>
      </w:pPr>
      <w:r w:rsidRPr="00D57855">
        <w:rPr>
          <w:rFonts w:ascii="Times New Roman" w:eastAsia="Times New Roman" w:hAnsi="Times New Roman" w:cs="Times New Roman"/>
          <w:lang w:val="en-US"/>
        </w:rPr>
        <w:t xml:space="preserve"> </w:t>
      </w:r>
    </w:p>
    <w:p w:rsidR="00361FBE" w:rsidRPr="00D57855" w:rsidRDefault="00D57855" w:rsidP="006A2ED7">
      <w:pPr>
        <w:numPr>
          <w:ilvl w:val="0"/>
          <w:numId w:val="1"/>
        </w:numPr>
        <w:spacing w:line="276" w:lineRule="auto"/>
        <w:ind w:left="-2" w:right="-15" w:firstLineChars="354" w:firstLine="850"/>
        <w:jc w:val="both"/>
        <w:rPr>
          <w:rFonts w:ascii="Times New Roman" w:eastAsia="Times New Roman" w:hAnsi="Times New Roman" w:cs="Times New Roman"/>
          <w:lang w:val="en-US"/>
        </w:rPr>
      </w:pPr>
      <w:r>
        <w:rPr>
          <w:rFonts w:ascii="Times New Roman" w:eastAsia="Times New Roman" w:hAnsi="Times New Roman" w:cs="Times New Roman"/>
          <w:lang w:val="en-US"/>
        </w:rPr>
        <w:t>Having a history of bleeding disorders (e.g., clotting factor deficiency, coagulopathy, platelet dysfunction), or prior history of significant bleeding or bruising after IM injection or venipuncture;</w:t>
      </w:r>
    </w:p>
    <w:p w:rsidR="00361FBE" w:rsidRPr="00D57855" w:rsidRDefault="00361FBE" w:rsidP="006A2ED7">
      <w:pPr>
        <w:spacing w:line="276" w:lineRule="auto"/>
        <w:ind w:left="-2" w:right="-15" w:firstLineChars="354" w:firstLine="850"/>
        <w:rPr>
          <w:rFonts w:ascii="Times New Roman" w:eastAsia="Times New Roman" w:hAnsi="Times New Roman" w:cs="Times New Roman"/>
          <w:lang w:val="en-US"/>
        </w:rPr>
      </w:pPr>
    </w:p>
    <w:p w:rsidR="00361FBE" w:rsidRPr="00D57855" w:rsidRDefault="00D57855" w:rsidP="006A2ED7">
      <w:pPr>
        <w:numPr>
          <w:ilvl w:val="0"/>
          <w:numId w:val="1"/>
        </w:numPr>
        <w:spacing w:line="276" w:lineRule="auto"/>
        <w:ind w:left="-2" w:right="-15" w:firstLineChars="354" w:firstLine="850"/>
        <w:rPr>
          <w:rFonts w:ascii="Times New Roman" w:eastAsia="Times New Roman" w:hAnsi="Times New Roman" w:cs="Times New Roman"/>
          <w:lang w:val="en-US"/>
        </w:rPr>
      </w:pPr>
      <w:r>
        <w:rPr>
          <w:rFonts w:ascii="Times New Roman" w:eastAsia="Times New Roman" w:hAnsi="Times New Roman" w:cs="Times New Roman"/>
          <w:lang w:val="en-US"/>
        </w:rPr>
        <w:t>Any other condition that, in the opinion of the principal investigator or medical representative, may jeopardize the safety or rights of a potential subject or prevent them from complying with this protocol.</w:t>
      </w:r>
    </w:p>
    <w:p w:rsidR="00361FBE" w:rsidRPr="00D57855" w:rsidRDefault="00361FBE" w:rsidP="006A2ED7">
      <w:pPr>
        <w:spacing w:line="276" w:lineRule="auto"/>
        <w:ind w:left="-2" w:right="340" w:firstLineChars="354" w:firstLine="850"/>
        <w:rPr>
          <w:rFonts w:ascii="Times New Roman" w:eastAsia="Times New Roman" w:hAnsi="Times New Roman" w:cs="Times New Roman"/>
          <w:lang w:val="en-US"/>
        </w:rPr>
      </w:pPr>
    </w:p>
    <w:p w:rsidR="00361FBE" w:rsidRPr="00D57855" w:rsidRDefault="00D57855" w:rsidP="006A2ED7">
      <w:pPr>
        <w:spacing w:line="276" w:lineRule="auto"/>
        <w:ind w:left="-2" w:right="-7" w:firstLineChars="354" w:firstLine="850"/>
        <w:jc w:val="both"/>
        <w:rPr>
          <w:rFonts w:ascii="Times New Roman" w:eastAsia="Times New Roman" w:hAnsi="Times New Roman" w:cs="Times New Roman"/>
          <w:i/>
          <w:lang w:val="en-US"/>
        </w:rPr>
      </w:pPr>
      <w:r>
        <w:rPr>
          <w:rFonts w:ascii="Times New Roman" w:eastAsia="Times New Roman" w:hAnsi="Times New Roman" w:cs="Times New Roman"/>
          <w:lang w:val="en-US"/>
        </w:rPr>
        <w:t xml:space="preserve">* </w:t>
      </w:r>
      <w:r>
        <w:rPr>
          <w:rFonts w:ascii="Times New Roman" w:eastAsia="Times New Roman" w:hAnsi="Times New Roman" w:cs="Times New Roman"/>
          <w:i/>
          <w:iCs/>
          <w:lang w:val="en-US"/>
        </w:rPr>
        <w:t>The temperature measured with a temporal thermometer is considered equivalent to the axillary temperature.</w:t>
      </w:r>
    </w:p>
    <w:p w:rsidR="00361FBE" w:rsidRPr="00D57855" w:rsidRDefault="00361FBE">
      <w:pPr>
        <w:spacing w:line="276" w:lineRule="auto"/>
        <w:ind w:left="0" w:right="-15" w:hanging="2"/>
        <w:rPr>
          <w:rFonts w:ascii="Times New Roman" w:eastAsia="Times New Roman" w:hAnsi="Times New Roman" w:cs="Times New Roman"/>
          <w:lang w:val="en-US"/>
        </w:rPr>
      </w:pPr>
    </w:p>
    <w:p w:rsidR="00361FBE" w:rsidRPr="00D57855" w:rsidRDefault="00361FBE">
      <w:pPr>
        <w:pStyle w:val="Ttulo2"/>
        <w:spacing w:before="0" w:after="0"/>
        <w:ind w:left="0" w:hanging="2"/>
        <w:rPr>
          <w:lang w:val="en-US"/>
        </w:rPr>
      </w:pPr>
      <w:bookmarkStart w:id="58" w:name="_heading=h.mfrl2n3alyxp" w:colFirst="0" w:colLast="0"/>
      <w:bookmarkEnd w:id="58"/>
    </w:p>
    <w:p w:rsidR="00361FBE" w:rsidRPr="00D57855" w:rsidRDefault="00D57855">
      <w:pPr>
        <w:pStyle w:val="Ttulo2"/>
        <w:spacing w:before="0" w:after="0"/>
        <w:ind w:left="0" w:hanging="2"/>
        <w:rPr>
          <w:lang w:val="en-US"/>
        </w:rPr>
      </w:pPr>
      <w:bookmarkStart w:id="59" w:name="_heading=h.319y80a"/>
      <w:bookmarkEnd w:id="59"/>
      <w:r>
        <w:rPr>
          <w:bCs/>
          <w:szCs w:val="24"/>
          <w:lang w:val="en-US"/>
        </w:rPr>
        <w:t xml:space="preserve">2.1.4. </w:t>
      </w:r>
      <w:r>
        <w:rPr>
          <w:bCs/>
          <w:szCs w:val="24"/>
          <w:lang w:val="en-US"/>
        </w:rPr>
        <w:tab/>
        <w:t>Definition of groups for statistical analysis</w:t>
      </w:r>
    </w:p>
    <w:p w:rsidR="00361FBE" w:rsidRPr="00D57855" w:rsidRDefault="00361FBE">
      <w:pPr>
        <w:ind w:left="0" w:hanging="2"/>
        <w:rPr>
          <w:lang w:val="en-US"/>
        </w:rPr>
      </w:pPr>
    </w:p>
    <w:p w:rsidR="00361FBE" w:rsidRPr="00D57855" w:rsidRDefault="00D57855" w:rsidP="006A2ED7">
      <w:pPr>
        <w:spacing w:line="276" w:lineRule="auto"/>
        <w:ind w:leftChars="0" w:left="0" w:firstLineChars="0"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Initially, the city hall, the Urban and Housing Development Company, the State Hospital of the municipality of Serrana, Instituto Butantan and local workers created a participatory mapping of the city and the urban region was divided into 25 subareas, according to the use of ground. Then, the 25 urban subareas were regrouped into four color-coded groups (green, yellow, gray and blue), balancing the population between groups and avoiding contiguous areas coded with the same color (Figure 1).</w:t>
      </w:r>
    </w:p>
    <w:p w:rsidR="00361FBE" w:rsidRDefault="00D57855">
      <w:pP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4152900" cy="2449481"/>
            <wp:effectExtent l="0" t="0" r="0" b="0"/>
            <wp:docPr id="1301517075" name="image3.png"/>
            <wp:cNvGraphicFramePr/>
            <a:graphic xmlns:a="http://schemas.openxmlformats.org/drawingml/2006/main">
              <a:graphicData uri="http://schemas.openxmlformats.org/drawingml/2006/picture">
                <pic:pic xmlns:pic="http://schemas.openxmlformats.org/drawingml/2006/picture">
                  <pic:nvPicPr>
                    <pic:cNvPr id="1603996277" name="image3.png"/>
                    <pic:cNvPicPr/>
                  </pic:nvPicPr>
                  <pic:blipFill>
                    <a:blip r:embed="rId16"/>
                    <a:stretch>
                      <a:fillRect/>
                    </a:stretch>
                  </pic:blipFill>
                  <pic:spPr>
                    <a:xfrm>
                      <a:off x="0" y="0"/>
                      <a:ext cx="4152900" cy="2449481"/>
                    </a:xfrm>
                    <a:prstGeom prst="rect">
                      <a:avLst/>
                    </a:prstGeom>
                  </pic:spPr>
                </pic:pic>
              </a:graphicData>
            </a:graphic>
          </wp:inline>
        </w:drawing>
      </w:r>
    </w:p>
    <w:p w:rsidR="00361FBE" w:rsidRPr="00D57855" w:rsidRDefault="00D57855">
      <w:pPr>
        <w:spacing w:line="276" w:lineRule="auto"/>
        <w:ind w:left="0" w:hanging="2"/>
        <w:jc w:val="center"/>
        <w:rPr>
          <w:rFonts w:ascii="Times New Roman" w:eastAsia="Times New Roman" w:hAnsi="Times New Roman" w:cs="Times New Roman"/>
          <w:lang w:val="en-US"/>
        </w:rPr>
      </w:pPr>
      <w:r>
        <w:rPr>
          <w:rFonts w:ascii="Times New Roman" w:eastAsia="Times New Roman" w:hAnsi="Times New Roman" w:cs="Times New Roman"/>
          <w:lang w:val="en-US"/>
        </w:rPr>
        <w:t>Figure 1. Map of the City of Serrana with clusters identified using the colors blue, yellow, green and gray. Source: own authorship.</w:t>
      </w:r>
    </w:p>
    <w:p w:rsidR="00361FBE" w:rsidRPr="00D57855" w:rsidRDefault="00361FBE">
      <w:pPr>
        <w:spacing w:line="276" w:lineRule="auto"/>
        <w:ind w:left="0" w:hanging="2"/>
        <w:jc w:val="center"/>
        <w:rPr>
          <w:rFonts w:ascii="Times New Roman" w:eastAsia="Times New Roman" w:hAnsi="Times New Roman" w:cs="Times New Roman"/>
          <w:lang w:val="en-US"/>
        </w:rPr>
      </w:pPr>
    </w:p>
    <w:p w:rsidR="00361FBE" w:rsidRPr="00D57855" w:rsidRDefault="00D57855">
      <w:pPr>
        <w:pStyle w:val="Ttulo2"/>
        <w:spacing w:before="0" w:after="0"/>
        <w:ind w:left="0" w:hanging="2"/>
        <w:rPr>
          <w:lang w:val="en-US"/>
        </w:rPr>
      </w:pPr>
      <w:bookmarkStart w:id="60" w:name="_heading=h.1gf8i83"/>
      <w:bookmarkEnd w:id="60"/>
      <w:r>
        <w:rPr>
          <w:bCs/>
          <w:szCs w:val="24"/>
          <w:lang w:val="en-US"/>
        </w:rPr>
        <w:t>2.2.</w:t>
      </w:r>
      <w:r>
        <w:rPr>
          <w:bCs/>
          <w:szCs w:val="24"/>
          <w:lang w:val="en-US"/>
        </w:rPr>
        <w:tab/>
        <w:t>Sample size</w:t>
      </w:r>
    </w:p>
    <w:p w:rsidR="00361FBE" w:rsidRPr="00D57855" w:rsidRDefault="00361FBE">
      <w:pPr>
        <w:pStyle w:val="Ttulo2"/>
        <w:spacing w:before="0" w:after="0"/>
        <w:ind w:left="0" w:hanging="2"/>
        <w:rPr>
          <w:lang w:val="en-US"/>
        </w:rPr>
      </w:pPr>
      <w:bookmarkStart w:id="61" w:name="_heading=h.vro0ejum4ews" w:colFirst="0" w:colLast="0"/>
      <w:bookmarkEnd w:id="61"/>
    </w:p>
    <w:p w:rsidR="00361FBE" w:rsidRPr="00D57855" w:rsidRDefault="00D57855">
      <w:pPr>
        <w:pStyle w:val="Ttulo2"/>
        <w:spacing w:before="0" w:after="0"/>
        <w:ind w:left="0" w:hanging="2"/>
        <w:rPr>
          <w:lang w:val="en-US"/>
        </w:rPr>
      </w:pPr>
      <w:bookmarkStart w:id="62" w:name="_heading=h.f7f1v3rlqjwj"/>
      <w:bookmarkEnd w:id="62"/>
      <w:r>
        <w:rPr>
          <w:bCs/>
          <w:szCs w:val="24"/>
          <w:lang w:val="en-US"/>
        </w:rPr>
        <w:t>2.2.1. Estimated number of subjects</w:t>
      </w:r>
    </w:p>
    <w:p w:rsidR="00361FBE" w:rsidRPr="00D57855" w:rsidRDefault="00361FBE">
      <w:pPr>
        <w:ind w:left="0" w:hanging="2"/>
        <w:rPr>
          <w:lang w:val="en-US"/>
        </w:rPr>
      </w:pPr>
    </w:p>
    <w:p w:rsidR="00361FBE" w:rsidRPr="00D57855" w:rsidRDefault="00D57855" w:rsidP="006A2ED7">
      <w:pPr>
        <w:spacing w:line="276" w:lineRule="auto"/>
        <w:ind w:leftChars="0" w:left="0" w:firstLineChars="0" w:firstLine="720"/>
        <w:jc w:val="both"/>
        <w:rPr>
          <w:rFonts w:ascii="Cambria" w:eastAsia="Cambria" w:hAnsi="Cambria" w:cs="Cambria"/>
          <w:sz w:val="20"/>
          <w:szCs w:val="20"/>
          <w:lang w:val="en-US"/>
        </w:rPr>
      </w:pPr>
      <w:r>
        <w:rPr>
          <w:rFonts w:ascii="Times New Roman" w:eastAsia="Times New Roman" w:hAnsi="Times New Roman" w:cs="Times New Roman"/>
          <w:lang w:val="en-US"/>
        </w:rPr>
        <w:t xml:space="preserve">Adults aged 18 years or over, residing in the urban areas of the city of Serrana (Chart 1) and who meet the eligibility criteria (described in section </w:t>
      </w:r>
      <w:r>
        <w:rPr>
          <w:rFonts w:ascii="Times New Roman" w:eastAsia="Times New Roman" w:hAnsi="Times New Roman" w:cs="Times New Roman"/>
          <w:color w:val="000000"/>
          <w:lang w:val="en-US"/>
        </w:rPr>
        <w:t>2.1.3 of this SAP)</w:t>
      </w:r>
      <w:r>
        <w:rPr>
          <w:rFonts w:ascii="Times New Roman" w:eastAsia="Times New Roman" w:hAnsi="Times New Roman" w:cs="Times New Roman"/>
          <w:lang w:val="en-US"/>
        </w:rPr>
        <w:t xml:space="preserve"> will be eligible for the study.</w:t>
      </w:r>
    </w:p>
    <w:p w:rsidR="00361FBE" w:rsidRPr="00D57855" w:rsidRDefault="00361FBE">
      <w:pPr>
        <w:spacing w:line="276" w:lineRule="auto"/>
        <w:ind w:left="0" w:hanging="2"/>
        <w:rPr>
          <w:rFonts w:ascii="Cambria" w:eastAsia="Cambria" w:hAnsi="Cambria" w:cs="Cambria"/>
          <w:sz w:val="20"/>
          <w:szCs w:val="20"/>
          <w:lang w:val="en-US"/>
        </w:rPr>
      </w:pPr>
    </w:p>
    <w:p w:rsidR="00361FBE" w:rsidRPr="00D57855" w:rsidRDefault="00D57855">
      <w:pPr>
        <w:spacing w:line="276" w:lineRule="auto"/>
        <w:ind w:left="0" w:hanging="2"/>
        <w:rPr>
          <w:rFonts w:ascii="Times New Roman" w:eastAsia="Times New Roman" w:hAnsi="Times New Roman" w:cs="Times New Roman"/>
          <w:lang w:val="en-US"/>
        </w:rPr>
      </w:pPr>
      <w:r>
        <w:rPr>
          <w:rFonts w:ascii="Times New Roman" w:eastAsia="Times New Roman" w:hAnsi="Times New Roman" w:cs="Times New Roman"/>
          <w:lang w:val="en-US"/>
        </w:rPr>
        <w:t>Chart 1. Estimated urban population in the city of Serrana in 2020.</w:t>
      </w:r>
    </w:p>
    <w:tbl>
      <w:tblPr>
        <w:tblStyle w:val="afff1"/>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6"/>
        <w:gridCol w:w="1606"/>
        <w:gridCol w:w="1607"/>
        <w:gridCol w:w="1607"/>
        <w:gridCol w:w="1607"/>
        <w:gridCol w:w="1607"/>
      </w:tblGrid>
      <w:tr w:rsidR="00CB4726">
        <w:trPr>
          <w:trHeight w:val="1028"/>
        </w:trPr>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Estimated population</w:t>
            </w:r>
          </w:p>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(n, %)</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General</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Green group</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Group</w:t>
            </w:r>
          </w:p>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Yellow</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Group</w:t>
            </w:r>
          </w:p>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Gray</w:t>
            </w:r>
          </w:p>
          <w:p w:rsidR="00361FBE" w:rsidRDefault="00361FBE">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Group</w:t>
            </w:r>
          </w:p>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Blue</w:t>
            </w:r>
          </w:p>
        </w:tc>
      </w:tr>
      <w:tr w:rsidR="00CB4726">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b/>
                <w:bCs/>
                <w:lang w:val="en-US"/>
              </w:rPr>
              <w:t>Total urban population</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44,183 (100)</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10,716 (24.3)</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10,399 (23.5)</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9,918 (22.4)</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13,150 (29.8)</w:t>
            </w:r>
          </w:p>
        </w:tc>
      </w:tr>
      <w:tr w:rsidR="00CB4726">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Total adults</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33,074 (74.9)</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8,026 (74.9)</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7,835 (75.3)</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7,323 (73.8)</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9,890 (75.2)</w:t>
            </w:r>
          </w:p>
        </w:tc>
      </w:tr>
      <w:tr w:rsidR="00CB4726">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 xml:space="preserve">0-17 years of </w:t>
            </w:r>
            <w:r>
              <w:rPr>
                <w:rFonts w:ascii="Times New Roman" w:eastAsia="Times New Roman" w:hAnsi="Times New Roman" w:cs="Times New Roman"/>
                <w:lang w:val="en-US"/>
              </w:rPr>
              <w:lastRenderedPageBreak/>
              <w:t>age</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lastRenderedPageBreak/>
              <w:t>11,109 (25.1)</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2,690 (25.1)</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2,564 (24.7)</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2,595 (26.2)</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3,260 (24.8)</w:t>
            </w:r>
          </w:p>
        </w:tc>
      </w:tr>
      <w:tr w:rsidR="00CB4726">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18-59 years of age</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28,104 (63.6)</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6,704 (62.6)</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6,586 (63.3)</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6,319 (63.7)</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8,495 (64.6)</w:t>
            </w:r>
          </w:p>
        </w:tc>
      </w:tr>
      <w:tr w:rsidR="00CB4726">
        <w:tc>
          <w:tcPr>
            <w:tcW w:w="1606" w:type="dxa"/>
            <w:tcMar>
              <w:top w:w="100" w:type="dxa"/>
              <w:left w:w="100" w:type="dxa"/>
              <w:bottom w:w="100" w:type="dxa"/>
              <w:right w:w="100" w:type="dxa"/>
            </w:tcMar>
          </w:tcPr>
          <w:p w:rsidR="00361FBE" w:rsidRDefault="00000000">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sdt>
              <w:sdtPr>
                <w:tag w:val="goog_rdk_0"/>
                <w:id w:val="-127481393"/>
              </w:sdtPr>
              <w:sdtContent>
                <w:r w:rsidR="00D57855">
                  <w:rPr>
                    <w:rFonts w:ascii="Gungsuh" w:eastAsia="Gungsuh" w:hAnsi="Gungsuh" w:cs="Gungsuh"/>
                    <w:lang w:val="en-US"/>
                  </w:rPr>
                  <w:t>≥ 60 years of age</w:t>
                </w:r>
              </w:sdtContent>
            </w:sdt>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4,970 (11.2)</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1,322 (12.3)</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1,249 (12.0)</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1,004 (10.1)</w:t>
            </w:r>
          </w:p>
        </w:tc>
        <w:tc>
          <w:tcPr>
            <w:tcW w:w="1606"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rPr>
            </w:pPr>
            <w:r>
              <w:rPr>
                <w:rFonts w:ascii="Times New Roman" w:eastAsia="Times New Roman" w:hAnsi="Times New Roman" w:cs="Times New Roman"/>
                <w:lang w:val="en-US"/>
              </w:rPr>
              <w:t>1,395 (10.6)</w:t>
            </w:r>
          </w:p>
        </w:tc>
      </w:tr>
    </w:tbl>
    <w:p w:rsidR="00361FBE" w:rsidRDefault="00361FBE">
      <w:pPr>
        <w:spacing w:line="276" w:lineRule="auto"/>
        <w:ind w:left="0" w:hanging="2"/>
        <w:rPr>
          <w:rFonts w:ascii="Cambria" w:eastAsia="Cambria" w:hAnsi="Cambria" w:cs="Cambria"/>
          <w:sz w:val="20"/>
          <w:szCs w:val="20"/>
        </w:rPr>
      </w:pPr>
    </w:p>
    <w:p w:rsidR="00361FBE" w:rsidRPr="00D57855" w:rsidRDefault="00D57855">
      <w:pPr>
        <w:spacing w:line="276" w:lineRule="auto"/>
        <w:ind w:left="0" w:hanging="2"/>
        <w:rPr>
          <w:rFonts w:ascii="Times New Roman" w:eastAsia="Times New Roman" w:hAnsi="Times New Roman" w:cs="Times New Roman"/>
          <w:lang w:val="en-US"/>
        </w:rPr>
      </w:pPr>
      <w:r>
        <w:rPr>
          <w:rFonts w:ascii="Times New Roman" w:eastAsia="Times New Roman" w:hAnsi="Times New Roman" w:cs="Times New Roman"/>
          <w:lang w:val="en-US"/>
        </w:rPr>
        <w:t>Therefore, the enrollment of 30,000 subjects was expected.</w:t>
      </w:r>
    </w:p>
    <w:p w:rsidR="00361FBE" w:rsidRPr="00D57855" w:rsidRDefault="00361FBE">
      <w:pPr>
        <w:spacing w:line="276" w:lineRule="auto"/>
        <w:ind w:left="0" w:hanging="2"/>
        <w:rPr>
          <w:lang w:val="en-US"/>
        </w:rPr>
      </w:pPr>
    </w:p>
    <w:p w:rsidR="00361FBE" w:rsidRPr="00D57855" w:rsidRDefault="00361FBE">
      <w:pPr>
        <w:pStyle w:val="Ttulo2"/>
        <w:spacing w:before="0" w:after="0"/>
        <w:ind w:left="0" w:hanging="2"/>
        <w:rPr>
          <w:lang w:val="en-US"/>
        </w:rPr>
      </w:pPr>
      <w:bookmarkStart w:id="63" w:name="_heading=h.1tuee74" w:colFirst="0" w:colLast="0"/>
      <w:bookmarkEnd w:id="63"/>
    </w:p>
    <w:p w:rsidR="00361FBE" w:rsidRPr="00D57855" w:rsidRDefault="00D57855">
      <w:pPr>
        <w:pStyle w:val="Ttulo1"/>
        <w:spacing w:before="0" w:after="0"/>
        <w:ind w:left="0" w:hanging="2"/>
        <w:rPr>
          <w:lang w:val="en-US"/>
        </w:rPr>
      </w:pPr>
      <w:bookmarkStart w:id="64" w:name="_heading=h.4du1wux"/>
      <w:bookmarkEnd w:id="64"/>
      <w:r>
        <w:rPr>
          <w:bCs/>
          <w:szCs w:val="24"/>
          <w:lang w:val="en-US"/>
        </w:rPr>
        <w:t>3. STUDY OBJECTIVES AND ENDPOINTS</w:t>
      </w:r>
    </w:p>
    <w:p w:rsidR="00361FBE" w:rsidRPr="00D57855" w:rsidRDefault="00361FBE">
      <w:pPr>
        <w:spacing w:line="276" w:lineRule="auto"/>
        <w:ind w:left="0" w:hanging="2"/>
        <w:jc w:val="both"/>
        <w:rPr>
          <w:rFonts w:ascii="Times New Roman" w:eastAsia="Times New Roman" w:hAnsi="Times New Roman" w:cs="Times New Roman"/>
          <w:lang w:val="en-US"/>
        </w:rPr>
      </w:pPr>
      <w:bookmarkStart w:id="65" w:name="_heading=h.tii8z4us221" w:colFirst="0" w:colLast="0"/>
      <w:bookmarkEnd w:id="65"/>
    </w:p>
    <w:p w:rsidR="00361FBE" w:rsidRPr="00D57855" w:rsidRDefault="00D57855" w:rsidP="006A2ED7">
      <w:pPr>
        <w:spacing w:line="276" w:lineRule="auto"/>
        <w:ind w:leftChars="0" w:left="0" w:firstLineChars="0" w:firstLine="720"/>
        <w:jc w:val="both"/>
        <w:rPr>
          <w:rFonts w:ascii="Times New Roman" w:eastAsia="Times New Roman" w:hAnsi="Times New Roman" w:cs="Times New Roman"/>
          <w:color w:val="000000"/>
          <w:lang w:val="en-US"/>
        </w:rPr>
      </w:pPr>
      <w:bookmarkStart w:id="66" w:name="_heading=h.2szc72q"/>
      <w:bookmarkEnd w:id="66"/>
      <w:r>
        <w:rPr>
          <w:rFonts w:ascii="Times New Roman" w:eastAsia="Times New Roman" w:hAnsi="Times New Roman" w:cs="Times New Roman"/>
          <w:lang w:val="en-US"/>
        </w:rPr>
        <w:t xml:space="preserve">Chart 1 shows the effectiveness objective and primary endpoints of clinical research protocol COV-04-IB. </w:t>
      </w:r>
    </w:p>
    <w:p w:rsidR="00361FBE" w:rsidRPr="00D57855" w:rsidRDefault="00361FBE">
      <w:pPr>
        <w:spacing w:line="276" w:lineRule="auto"/>
        <w:ind w:left="0" w:hanging="2"/>
        <w:rPr>
          <w:rFonts w:ascii="Times New Roman" w:eastAsia="Times New Roman" w:hAnsi="Times New Roman" w:cs="Times New Roman"/>
          <w:lang w:val="en-US"/>
        </w:rPr>
      </w:pPr>
    </w:p>
    <w:p w:rsidR="00361FBE" w:rsidRPr="00D57855" w:rsidRDefault="00D57855">
      <w:pPr>
        <w:keepNext/>
        <w:pBdr>
          <w:top w:val="nil"/>
          <w:left w:val="nil"/>
          <w:bottom w:val="nil"/>
          <w:right w:val="nil"/>
          <w:between w:val="nil"/>
        </w:pBdr>
        <w:spacing w:line="276" w:lineRule="auto"/>
        <w:ind w:left="0" w:hanging="2"/>
        <w:rPr>
          <w:rFonts w:ascii="Times New Roman" w:eastAsia="Times New Roman" w:hAnsi="Times New Roman" w:cs="Times New Roman"/>
          <w:lang w:val="en-US"/>
        </w:rPr>
      </w:pPr>
      <w:bookmarkStart w:id="67" w:name="_heading=h.z337ya"/>
      <w:bookmarkEnd w:id="67"/>
      <w:r>
        <w:rPr>
          <w:rFonts w:ascii="Times New Roman" w:eastAsia="Times New Roman" w:hAnsi="Times New Roman" w:cs="Times New Roman"/>
          <w:i/>
          <w:iCs/>
          <w:color w:val="000000"/>
          <w:lang w:val="en-US"/>
        </w:rPr>
        <w:t>Chart 1. Effectiveness objective and primary endpoints</w:t>
      </w:r>
    </w:p>
    <w:tbl>
      <w:tblPr>
        <w:tblStyle w:val="afff2"/>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CB4726">
        <w:tc>
          <w:tcPr>
            <w:tcW w:w="4820"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Objective</w:t>
            </w:r>
          </w:p>
        </w:tc>
        <w:tc>
          <w:tcPr>
            <w:tcW w:w="4820"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Endpoints</w:t>
            </w:r>
          </w:p>
        </w:tc>
      </w:tr>
      <w:tr w:rsidR="00CB4726" w:rsidRPr="00B616BF">
        <w:trPr>
          <w:trHeight w:val="440"/>
        </w:trPr>
        <w:tc>
          <w:tcPr>
            <w:tcW w:w="4820" w:type="dxa"/>
            <w:vMerge w:val="restart"/>
            <w:tcMar>
              <w:top w:w="100" w:type="dxa"/>
              <w:left w:w="100" w:type="dxa"/>
              <w:bottom w:w="100" w:type="dxa"/>
              <w:right w:w="100" w:type="dxa"/>
            </w:tcMar>
          </w:tcPr>
          <w:p w:rsidR="00361FBE" w:rsidRPr="00D57855" w:rsidRDefault="00D57855">
            <w:pPr>
              <w:widowControl w:val="0"/>
              <w:pBdr>
                <w:top w:val="nil"/>
                <w:left w:val="nil"/>
                <w:bottom w:val="nil"/>
                <w:right w:val="nil"/>
                <w:between w:val="nil"/>
              </w:pBd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To evaluate the effectiveness of administering two doses of the adsorbed COVID-19 vaccine (inactivated) produced by Sinovac to individuals with 18 years of age or over to decrease the incidence of symptomatic COVID-19 cases in groups from week six onwards after the introduction of vaccination until the first quarter (13th week) of the study.</w:t>
            </w:r>
          </w:p>
        </w:tc>
        <w:tc>
          <w:tcPr>
            <w:tcW w:w="4820" w:type="dxa"/>
            <w:vMerge w:val="restart"/>
            <w:tcMar>
              <w:top w:w="100" w:type="dxa"/>
              <w:left w:w="100" w:type="dxa"/>
              <w:bottom w:w="100" w:type="dxa"/>
              <w:right w:w="100" w:type="dxa"/>
            </w:tcMar>
          </w:tcPr>
          <w:p w:rsidR="00361FBE" w:rsidRPr="00D57855" w:rsidRDefault="00D57855">
            <w:pPr>
              <w:widowControl w:val="0"/>
              <w:numPr>
                <w:ilvl w:val="0"/>
                <w:numId w:val="3"/>
              </w:numPr>
              <w:pBdr>
                <w:top w:val="nil"/>
                <w:left w:val="nil"/>
                <w:bottom w:val="nil"/>
                <w:right w:val="nil"/>
                <w:between w:val="nil"/>
              </w:pBd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General incidence density of symptomatic cases of COVID-19 in the groups before and after the sixth week of vaccination introduction in the first study quarter.</w:t>
            </w:r>
          </w:p>
          <w:p w:rsidR="00361FBE" w:rsidRPr="00D57855" w:rsidRDefault="00D57855">
            <w:pPr>
              <w:widowControl w:val="0"/>
              <w:numPr>
                <w:ilvl w:val="0"/>
                <w:numId w:val="3"/>
              </w:numPr>
              <w:pBdr>
                <w:top w:val="nil"/>
                <w:left w:val="nil"/>
                <w:bottom w:val="nil"/>
                <w:right w:val="nil"/>
                <w:between w:val="nil"/>
              </w:pBd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Incidence density of symptomatic cases of COVID-19 among vaccinated and unvaccinated people in the first study quarter.</w:t>
            </w:r>
          </w:p>
        </w:tc>
      </w:tr>
      <w:tr w:rsidR="00CB4726" w:rsidRPr="00B616BF">
        <w:trPr>
          <w:trHeight w:val="440"/>
        </w:trPr>
        <w:tc>
          <w:tcPr>
            <w:tcW w:w="4820" w:type="dxa"/>
            <w:vMerge/>
            <w:tcMar>
              <w:top w:w="100" w:type="dxa"/>
              <w:left w:w="100" w:type="dxa"/>
              <w:bottom w:w="100" w:type="dxa"/>
              <w:right w:w="100" w:type="dxa"/>
            </w:tcMar>
          </w:tcPr>
          <w:p w:rsidR="00361FBE" w:rsidRPr="00D57855" w:rsidRDefault="00361FBE">
            <w:pPr>
              <w:widowControl w:val="0"/>
              <w:pBdr>
                <w:top w:val="nil"/>
                <w:left w:val="nil"/>
                <w:bottom w:val="nil"/>
                <w:right w:val="nil"/>
                <w:between w:val="nil"/>
              </w:pBdr>
              <w:spacing w:line="276" w:lineRule="auto"/>
              <w:ind w:left="0" w:hanging="2"/>
              <w:rPr>
                <w:rFonts w:ascii="Times New Roman" w:eastAsia="Times New Roman" w:hAnsi="Times New Roman" w:cs="Times New Roman"/>
                <w:lang w:val="en-US"/>
              </w:rPr>
            </w:pPr>
          </w:p>
        </w:tc>
        <w:tc>
          <w:tcPr>
            <w:tcW w:w="4820" w:type="dxa"/>
            <w:vMerge/>
            <w:tcMar>
              <w:top w:w="100" w:type="dxa"/>
              <w:left w:w="100" w:type="dxa"/>
              <w:bottom w:w="100" w:type="dxa"/>
              <w:right w:w="100" w:type="dxa"/>
            </w:tcMar>
          </w:tcPr>
          <w:p w:rsidR="00361FBE" w:rsidRPr="00D57855" w:rsidRDefault="00361FBE">
            <w:pPr>
              <w:widowControl w:val="0"/>
              <w:pBdr>
                <w:top w:val="nil"/>
                <w:left w:val="nil"/>
                <w:bottom w:val="nil"/>
                <w:right w:val="nil"/>
                <w:between w:val="nil"/>
              </w:pBdr>
              <w:spacing w:line="276" w:lineRule="auto"/>
              <w:ind w:left="0" w:hanging="2"/>
              <w:rPr>
                <w:rFonts w:ascii="Times New Roman" w:eastAsia="Times New Roman" w:hAnsi="Times New Roman" w:cs="Times New Roman"/>
                <w:lang w:val="en-US"/>
              </w:rPr>
            </w:pPr>
          </w:p>
        </w:tc>
      </w:tr>
    </w:tbl>
    <w:p w:rsidR="00361FBE" w:rsidRPr="00D57855" w:rsidRDefault="00361FBE">
      <w:pPr>
        <w:spacing w:line="276" w:lineRule="auto"/>
        <w:ind w:left="0" w:hanging="2"/>
        <w:jc w:val="both"/>
        <w:rPr>
          <w:rFonts w:ascii="Times New Roman" w:eastAsia="Times New Roman" w:hAnsi="Times New Roman" w:cs="Times New Roman"/>
          <w:lang w:val="en-US"/>
        </w:rPr>
      </w:pPr>
    </w:p>
    <w:p w:rsidR="00361FBE" w:rsidRPr="00D57855" w:rsidRDefault="00D57855" w:rsidP="006A2ED7">
      <w:pPr>
        <w:spacing w:line="276" w:lineRule="auto"/>
        <w:ind w:leftChars="0" w:left="0" w:firstLineChars="0" w:firstLine="720"/>
        <w:jc w:val="both"/>
        <w:rPr>
          <w:rFonts w:ascii="Times New Roman" w:eastAsia="Times New Roman" w:hAnsi="Times New Roman" w:cs="Times New Roman"/>
          <w:color w:val="000000"/>
          <w:highlight w:val="white"/>
          <w:lang w:val="en-US"/>
        </w:rPr>
      </w:pPr>
      <w:bookmarkStart w:id="68" w:name="_heading=h.184mhaj"/>
      <w:bookmarkEnd w:id="68"/>
      <w:r>
        <w:rPr>
          <w:rFonts w:ascii="Times New Roman" w:eastAsia="Times New Roman" w:hAnsi="Times New Roman" w:cs="Times New Roman"/>
          <w:highlight w:val="white"/>
          <w:lang w:val="en-US"/>
        </w:rPr>
        <w:t>Chart 2 presents the effectiveness and safety objectives and secondary endpoints.</w:t>
      </w:r>
    </w:p>
    <w:p w:rsidR="00361FBE" w:rsidRPr="00D57855" w:rsidRDefault="00361FBE">
      <w:pPr>
        <w:keepNext/>
        <w:pBdr>
          <w:top w:val="nil"/>
          <w:left w:val="nil"/>
          <w:bottom w:val="nil"/>
          <w:right w:val="nil"/>
          <w:between w:val="nil"/>
        </w:pBdr>
        <w:spacing w:line="276" w:lineRule="auto"/>
        <w:ind w:left="0" w:hanging="2"/>
        <w:rPr>
          <w:rFonts w:ascii="Times New Roman" w:eastAsia="Times New Roman" w:hAnsi="Times New Roman" w:cs="Times New Roman"/>
          <w:i/>
          <w:color w:val="000000"/>
          <w:lang w:val="en-US"/>
        </w:rPr>
      </w:pPr>
      <w:bookmarkStart w:id="69" w:name="_heading=h.vnwguqt6zml6" w:colFirst="0" w:colLast="0"/>
      <w:bookmarkEnd w:id="69"/>
    </w:p>
    <w:p w:rsidR="00361FBE" w:rsidRPr="00D57855" w:rsidRDefault="00D57855">
      <w:pPr>
        <w:keepNext/>
        <w:pBdr>
          <w:top w:val="nil"/>
          <w:left w:val="nil"/>
          <w:bottom w:val="nil"/>
          <w:right w:val="nil"/>
          <w:between w:val="nil"/>
        </w:pBdr>
        <w:spacing w:line="276" w:lineRule="auto"/>
        <w:ind w:left="0" w:hanging="2"/>
        <w:rPr>
          <w:rFonts w:ascii="Times New Roman" w:eastAsia="Times New Roman" w:hAnsi="Times New Roman" w:cs="Times New Roman"/>
          <w:lang w:val="en-US"/>
        </w:rPr>
      </w:pPr>
      <w:bookmarkStart w:id="70" w:name="_heading=h.3s49zyc"/>
      <w:bookmarkEnd w:id="70"/>
      <w:r>
        <w:rPr>
          <w:rFonts w:ascii="Times New Roman" w:eastAsia="Times New Roman" w:hAnsi="Times New Roman" w:cs="Times New Roman"/>
          <w:i/>
          <w:iCs/>
          <w:color w:val="000000"/>
          <w:lang w:val="en-US"/>
        </w:rPr>
        <w:t>Chart 2. Effectiveness and safety objectives and secondary endpoints</w:t>
      </w:r>
    </w:p>
    <w:tbl>
      <w:tblPr>
        <w:tblStyle w:val="afff3"/>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CB4726">
        <w:tc>
          <w:tcPr>
            <w:tcW w:w="4820" w:type="dxa"/>
            <w:tcMar>
              <w:top w:w="100" w:type="dxa"/>
              <w:left w:w="100" w:type="dxa"/>
              <w:bottom w:w="100" w:type="dxa"/>
              <w:right w:w="100" w:type="dxa"/>
            </w:tcMar>
          </w:tcPr>
          <w:p w:rsidR="00361FBE" w:rsidRDefault="00D57855">
            <w:pPr>
              <w:widowControl w:val="0"/>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Objectives</w:t>
            </w:r>
          </w:p>
        </w:tc>
        <w:tc>
          <w:tcPr>
            <w:tcW w:w="4820" w:type="dxa"/>
            <w:tcMar>
              <w:top w:w="100" w:type="dxa"/>
              <w:left w:w="100" w:type="dxa"/>
              <w:bottom w:w="100" w:type="dxa"/>
              <w:right w:w="100" w:type="dxa"/>
            </w:tcMar>
          </w:tcPr>
          <w:p w:rsidR="00361FBE" w:rsidRDefault="00D57855">
            <w:pPr>
              <w:widowControl w:val="0"/>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Endpoints</w:t>
            </w:r>
          </w:p>
        </w:tc>
      </w:tr>
      <w:tr w:rsidR="00CB4726" w:rsidRPr="00B616BF">
        <w:trPr>
          <w:trHeight w:val="440"/>
        </w:trPr>
        <w:tc>
          <w:tcPr>
            <w:tcW w:w="4820" w:type="dxa"/>
            <w:vMerge w:val="restart"/>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To evaluate the effectiveness of administering at least two doses of the adsorbed COVID-19 vaccine (inactivated) produced by Sinovac to individuals with 18 years of age or older to decrease the incidence of symptomatic COVID-19 cases in groups from week six onwards after the introduction of vaccination in the 2nd study quarter (26th week), 3rd (39th week), 4th (52nd </w:t>
            </w:r>
            <w:r>
              <w:rPr>
                <w:rFonts w:ascii="Times New Roman" w:eastAsia="Times New Roman" w:hAnsi="Times New Roman" w:cs="Times New Roman"/>
                <w:lang w:val="en-US"/>
              </w:rPr>
              <w:lastRenderedPageBreak/>
              <w:t>week), 5th (65 weeks), 6th (78 weeks), 7th (91 weeks) and 8th (104 weeks).</w:t>
            </w:r>
          </w:p>
        </w:tc>
        <w:tc>
          <w:tcPr>
            <w:tcW w:w="4820" w:type="dxa"/>
            <w:vMerge w:val="restart"/>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lastRenderedPageBreak/>
              <w:t>General incidence density of symptomatic cases of COVID-19 in the groups before and after the sixth week of vaccination introduction for two years. Assessments will be carried out for the second, third, fourth, fifth, sixth, seventh and eighth study quarter.</w:t>
            </w:r>
          </w:p>
        </w:tc>
      </w:tr>
      <w:tr w:rsidR="00CB4726" w:rsidRPr="00B616BF">
        <w:trPr>
          <w:trHeight w:val="440"/>
        </w:trPr>
        <w:tc>
          <w:tcPr>
            <w:tcW w:w="4820" w:type="dxa"/>
            <w:vMerge/>
            <w:tcMar>
              <w:top w:w="100" w:type="dxa"/>
              <w:left w:w="100" w:type="dxa"/>
              <w:bottom w:w="100" w:type="dxa"/>
              <w:right w:w="100" w:type="dxa"/>
            </w:tcMar>
          </w:tcPr>
          <w:p w:rsidR="00361FBE" w:rsidRPr="00D57855" w:rsidRDefault="00361FBE">
            <w:pPr>
              <w:widowControl w:val="0"/>
              <w:spacing w:line="276" w:lineRule="auto"/>
              <w:ind w:left="0" w:hanging="2"/>
              <w:rPr>
                <w:rFonts w:ascii="Times New Roman" w:eastAsia="Times New Roman" w:hAnsi="Times New Roman" w:cs="Times New Roman"/>
                <w:lang w:val="en-US"/>
              </w:rPr>
            </w:pPr>
          </w:p>
        </w:tc>
        <w:tc>
          <w:tcPr>
            <w:tcW w:w="4820" w:type="dxa"/>
            <w:vMerge/>
            <w:tcMar>
              <w:top w:w="100" w:type="dxa"/>
              <w:left w:w="100" w:type="dxa"/>
              <w:bottom w:w="100" w:type="dxa"/>
              <w:right w:w="100" w:type="dxa"/>
            </w:tcMar>
          </w:tcPr>
          <w:p w:rsidR="00361FBE" w:rsidRPr="00D57855" w:rsidRDefault="00361FBE">
            <w:pPr>
              <w:widowControl w:val="0"/>
              <w:spacing w:line="276" w:lineRule="auto"/>
              <w:ind w:left="0" w:hanging="2"/>
              <w:rPr>
                <w:rFonts w:ascii="Times New Roman" w:eastAsia="Times New Roman" w:hAnsi="Times New Roman" w:cs="Times New Roman"/>
                <w:lang w:val="en-US"/>
              </w:rPr>
            </w:pPr>
          </w:p>
        </w:tc>
      </w:tr>
      <w:tr w:rsidR="00CB4726" w:rsidRPr="00B616BF">
        <w:trPr>
          <w:trHeight w:val="440"/>
        </w:trPr>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To evaluate the effectiveness of administering at least two doses of the adsorbed COVID-19 vaccine (inactivated) produced by Sinovac to individuals with 18 years of age or older to decrease the incidence of symptomatic COVID-19 cases in groups from week six onwards after the introduction of vaccination according to immunization status in each study quarter.</w:t>
            </w:r>
          </w:p>
        </w:tc>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General incidence density of symptomatic cases of COVID-19 in the groups before and after the sixth week of introduction of vaccination according to immunization.</w:t>
            </w:r>
          </w:p>
        </w:tc>
      </w:tr>
      <w:tr w:rsidR="00CB4726" w:rsidRPr="00B616BF">
        <w:trPr>
          <w:trHeight w:val="440"/>
        </w:trPr>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To evaluate the effectiveness of administering at least two doses of the adsorbed COVID-19 vaccine (inactivated) produced by Sinovac to individuals with 18 years of age or older to decrease the incidence of symptomatic COVID-19 cases in groups from week six onwards after the introduction of vaccination according to the presence of antibodies against SARS-CoV-2 before immunization per study quarter.</w:t>
            </w:r>
          </w:p>
        </w:tc>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General incidence density of symptomatic cases of COVID-19 in the groups after the sixth week of introduction of vaccination according to the presence of antibodies against SARS-CoV-2 before immunization.</w:t>
            </w:r>
          </w:p>
        </w:tc>
      </w:tr>
      <w:tr w:rsidR="00CB4726" w:rsidRPr="00B616BF">
        <w:trPr>
          <w:trHeight w:val="440"/>
        </w:trPr>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To assess the impact of vaccination coverage on the effectiveness of administering two doses of the adsorbed COVID-19 vaccine (inactivated) produced by Sinovac in individuals aged 18 years or older to reduce the incidence of symptomatic cases of COVID-19 in groups up to the first study quarter.</w:t>
            </w:r>
          </w:p>
        </w:tc>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General incidence density of symptomatic cases of COVID-19 in the groups according to vaccination coverage up to the first study quarter.</w:t>
            </w:r>
          </w:p>
        </w:tc>
      </w:tr>
      <w:tr w:rsidR="00CB4726" w:rsidRPr="00B616BF">
        <w:trPr>
          <w:trHeight w:val="440"/>
        </w:trPr>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To evaluate the effectiveness of administering at least two doses of the adsorbed COVID-19 vaccine (inactivated) produced by Sinovac to individuals with 18 years of age or older to decrease the incidence of hospitalization and death by COVID-19 in groups from week six onwards after the introduction of vaccination according to immunization per study quarter.</w:t>
            </w:r>
          </w:p>
        </w:tc>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General incidence density of hospitalizations and deaths by COVID-19 in the groups before and after the sixth week of introduction of vaccination according to immunization.</w:t>
            </w:r>
          </w:p>
        </w:tc>
      </w:tr>
      <w:tr w:rsidR="00CB4726" w:rsidRPr="00B616BF">
        <w:trPr>
          <w:trHeight w:val="440"/>
        </w:trPr>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To assess trends in the incidence of COVID-19 between the study area and other municipalities belonging to the same geographic microregion per study quarter.</w:t>
            </w:r>
          </w:p>
        </w:tc>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Moving average of COVID-19 cases reported in the study area and in other municipalities belonging to the same geographic microregion.</w:t>
            </w:r>
          </w:p>
        </w:tc>
      </w:tr>
      <w:tr w:rsidR="00CB4726" w:rsidRPr="00B616BF">
        <w:trPr>
          <w:trHeight w:val="440"/>
        </w:trPr>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lastRenderedPageBreak/>
              <w:t>To assess severe cases of COVID-19 in subjects who have received at least one dose of the adsorbed COVID-19 vaccine (inactivated) produced by Sinovac throughout the study.</w:t>
            </w:r>
          </w:p>
        </w:tc>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Frequency (n,%) of severe cases of COVID-19 in subjects who have received at least one dose of the adsorbed COVID-19 vaccine (inactivated) produced by Sinovac throughout the study.</w:t>
            </w:r>
          </w:p>
        </w:tc>
      </w:tr>
      <w:tr w:rsidR="00CB4726" w:rsidRPr="00B616BF">
        <w:trPr>
          <w:trHeight w:val="440"/>
        </w:trPr>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To assess Serious Adverse Events and Adverse Events of Special Interest in subjects who have received at least one dose of the adsorbed COVID-19 vaccine (inactivated) produced by Sinovac throughout the study.</w:t>
            </w:r>
          </w:p>
        </w:tc>
        <w:tc>
          <w:tcPr>
            <w:tcW w:w="4820" w:type="dxa"/>
            <w:tcMar>
              <w:top w:w="100" w:type="dxa"/>
              <w:left w:w="100" w:type="dxa"/>
              <w:bottom w:w="100" w:type="dxa"/>
              <w:right w:w="100" w:type="dxa"/>
            </w:tcMar>
          </w:tcPr>
          <w:p w:rsidR="00361FBE" w:rsidRPr="00D57855" w:rsidRDefault="00D57855">
            <w:pPr>
              <w:widowControl w:val="0"/>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Frequency (n,%) of Serious Adverse Events (SAE) and Adverse Events of Special Interest (AESI) in subjects who have received at least one dose of the adsorbed COVID-19 vaccine (inactivated) produced by Sinovac throughout the study.</w:t>
            </w:r>
          </w:p>
        </w:tc>
      </w:tr>
    </w:tbl>
    <w:p w:rsidR="00361FBE" w:rsidRPr="00D57855" w:rsidRDefault="00361FBE">
      <w:pPr>
        <w:spacing w:line="276" w:lineRule="auto"/>
        <w:ind w:left="0" w:hanging="2"/>
        <w:jc w:val="both"/>
        <w:rPr>
          <w:rFonts w:ascii="Times New Roman" w:eastAsia="Times New Roman" w:hAnsi="Times New Roman" w:cs="Times New Roman"/>
          <w:i/>
          <w:color w:val="000000"/>
          <w:lang w:val="en-US"/>
        </w:rPr>
      </w:pPr>
    </w:p>
    <w:p w:rsidR="00361FBE" w:rsidRPr="00D57855" w:rsidRDefault="00D57855" w:rsidP="006A2ED7">
      <w:pPr>
        <w:spacing w:line="276" w:lineRule="auto"/>
        <w:ind w:leftChars="0" w:left="0" w:firstLineChars="0" w:firstLine="720"/>
        <w:rPr>
          <w:rFonts w:ascii="Times New Roman" w:eastAsia="Times New Roman" w:hAnsi="Times New Roman" w:cs="Times New Roman"/>
          <w:lang w:val="en-US"/>
        </w:rPr>
      </w:pPr>
      <w:r>
        <w:rPr>
          <w:rFonts w:ascii="Times New Roman" w:eastAsia="Times New Roman" w:hAnsi="Times New Roman" w:cs="Times New Roman"/>
          <w:lang w:val="en-US"/>
        </w:rPr>
        <w:t>Chart 3 presents the acceptability objectives and endpoints</w:t>
      </w:r>
    </w:p>
    <w:p w:rsidR="00361FBE" w:rsidRPr="00D57855" w:rsidRDefault="00361FBE">
      <w:pPr>
        <w:spacing w:line="276" w:lineRule="auto"/>
        <w:ind w:left="0" w:hanging="2"/>
        <w:rPr>
          <w:rFonts w:ascii="Times New Roman" w:eastAsia="Times New Roman" w:hAnsi="Times New Roman" w:cs="Times New Roman"/>
          <w:lang w:val="en-US"/>
        </w:rPr>
      </w:pPr>
    </w:p>
    <w:p w:rsidR="00361FBE" w:rsidRDefault="00D57855">
      <w:pPr>
        <w:keepNext/>
        <w:spacing w:line="276" w:lineRule="auto"/>
        <w:ind w:left="0" w:hanging="2"/>
        <w:rPr>
          <w:rFonts w:ascii="Times New Roman" w:eastAsia="Times New Roman" w:hAnsi="Times New Roman" w:cs="Times New Roman"/>
        </w:rPr>
      </w:pPr>
      <w:r>
        <w:rPr>
          <w:rFonts w:ascii="Times New Roman" w:eastAsia="Times New Roman" w:hAnsi="Times New Roman" w:cs="Times New Roman"/>
          <w:i/>
          <w:iCs/>
          <w:color w:val="000000"/>
          <w:lang w:val="en-US"/>
        </w:rPr>
        <w:t>Chart 3. Acceptability objectives and endpoints</w:t>
      </w:r>
    </w:p>
    <w:tbl>
      <w:tblPr>
        <w:tblStyle w:val="afff4"/>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CB4726">
        <w:tc>
          <w:tcPr>
            <w:tcW w:w="4820"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Objectives</w:t>
            </w:r>
          </w:p>
        </w:tc>
        <w:tc>
          <w:tcPr>
            <w:tcW w:w="4820"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rPr>
            </w:pPr>
            <w:r>
              <w:rPr>
                <w:rFonts w:ascii="Times New Roman" w:eastAsia="Times New Roman" w:hAnsi="Times New Roman" w:cs="Times New Roman"/>
                <w:b/>
                <w:bCs/>
                <w:lang w:val="en-US"/>
              </w:rPr>
              <w:t>Endpoints</w:t>
            </w:r>
          </w:p>
        </w:tc>
      </w:tr>
      <w:tr w:rsidR="00CB4726" w:rsidRPr="00B616BF">
        <w:tc>
          <w:tcPr>
            <w:tcW w:w="4820" w:type="dxa"/>
            <w:tcMar>
              <w:top w:w="100" w:type="dxa"/>
              <w:left w:w="100" w:type="dxa"/>
              <w:bottom w:w="100" w:type="dxa"/>
              <w:right w:w="100" w:type="dxa"/>
            </w:tcMar>
          </w:tcPr>
          <w:p w:rsidR="00361FBE" w:rsidRPr="00D57855" w:rsidRDefault="00D57855">
            <w:pPr>
              <w:widowControl w:val="0"/>
              <w:pBdr>
                <w:top w:val="nil"/>
                <w:left w:val="nil"/>
                <w:bottom w:val="nil"/>
                <w:right w:val="nil"/>
                <w:between w:val="nil"/>
              </w:pBd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To assess the vaccination acceptance rate in groups in which immunization with the adsorbed COVID-19 vaccine (inactivated) produced by Sinovac is offered.</w:t>
            </w:r>
          </w:p>
        </w:tc>
        <w:tc>
          <w:tcPr>
            <w:tcW w:w="4820" w:type="dxa"/>
            <w:tcMar>
              <w:top w:w="100" w:type="dxa"/>
              <w:left w:w="100" w:type="dxa"/>
              <w:bottom w:w="100" w:type="dxa"/>
              <w:right w:w="100" w:type="dxa"/>
            </w:tcMar>
          </w:tcPr>
          <w:p w:rsidR="00361FBE" w:rsidRPr="00D57855" w:rsidRDefault="00D57855">
            <w:pPr>
              <w:widowControl w:val="0"/>
              <w:pBdr>
                <w:top w:val="nil"/>
                <w:left w:val="nil"/>
                <w:bottom w:val="nil"/>
                <w:right w:val="nil"/>
                <w:between w:val="nil"/>
              </w:pBd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Vaccination acceptance rate in groups in which immunization with the adsorbed COVID-19 vaccine (inactivated) produced by Sinovac is offered</w:t>
            </w:r>
          </w:p>
        </w:tc>
      </w:tr>
      <w:tr w:rsidR="00CB4726" w:rsidRPr="00B616BF">
        <w:tc>
          <w:tcPr>
            <w:tcW w:w="4820" w:type="dxa"/>
            <w:tcMar>
              <w:top w:w="100" w:type="dxa"/>
              <w:left w:w="100" w:type="dxa"/>
              <w:bottom w:w="100" w:type="dxa"/>
              <w:right w:w="100" w:type="dxa"/>
            </w:tcMar>
          </w:tcPr>
          <w:p w:rsidR="00361FBE" w:rsidRPr="00D57855" w:rsidRDefault="00D57855">
            <w:pPr>
              <w:widowControl w:val="0"/>
              <w:pBdr>
                <w:top w:val="nil"/>
                <w:left w:val="nil"/>
                <w:bottom w:val="nil"/>
                <w:right w:val="nil"/>
                <w:between w:val="nil"/>
              </w:pBd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To assess the adherence rate to the vaccination schedule in groups in which immunization with the adsorbed COVID-19 vaccine (inactivated) produced by Sinovac is offered.</w:t>
            </w:r>
          </w:p>
        </w:tc>
        <w:tc>
          <w:tcPr>
            <w:tcW w:w="4820" w:type="dxa"/>
            <w:tcMar>
              <w:top w:w="100" w:type="dxa"/>
              <w:left w:w="100" w:type="dxa"/>
              <w:bottom w:w="100" w:type="dxa"/>
              <w:right w:w="100" w:type="dxa"/>
            </w:tcMar>
          </w:tcPr>
          <w:p w:rsidR="00361FBE" w:rsidRPr="00D57855" w:rsidRDefault="00D57855">
            <w:pPr>
              <w:widowControl w:val="0"/>
              <w:pBdr>
                <w:top w:val="nil"/>
                <w:left w:val="nil"/>
                <w:bottom w:val="nil"/>
                <w:right w:val="nil"/>
                <w:between w:val="nil"/>
              </w:pBd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Adherence rate to the vaccination schedule in groups in which immunization with the adsorbed COVID-19 vaccine (inactivated) produced by Sinovac is offered</w:t>
            </w:r>
          </w:p>
        </w:tc>
      </w:tr>
    </w:tbl>
    <w:p w:rsidR="00361FBE" w:rsidRPr="00D57855" w:rsidRDefault="00361FBE">
      <w:pPr>
        <w:spacing w:line="276" w:lineRule="auto"/>
        <w:ind w:left="0" w:hanging="2"/>
        <w:rPr>
          <w:rFonts w:ascii="Times New Roman" w:eastAsia="Times New Roman" w:hAnsi="Times New Roman" w:cs="Times New Roman"/>
          <w:lang w:val="en-US"/>
        </w:rPr>
      </w:pPr>
    </w:p>
    <w:p w:rsidR="00361FBE" w:rsidRPr="00D57855" w:rsidRDefault="00D57855" w:rsidP="006A2ED7">
      <w:pPr>
        <w:spacing w:line="276" w:lineRule="auto"/>
        <w:ind w:leftChars="0" w:left="0" w:firstLineChars="0" w:firstLine="720"/>
        <w:rPr>
          <w:rFonts w:ascii="Times New Roman" w:eastAsia="Times New Roman" w:hAnsi="Times New Roman" w:cs="Times New Roman"/>
          <w:lang w:val="en-US"/>
        </w:rPr>
      </w:pPr>
      <w:bookmarkStart w:id="71" w:name="_heading=h.279ka65"/>
      <w:bookmarkEnd w:id="71"/>
      <w:r>
        <w:rPr>
          <w:rFonts w:ascii="Times New Roman" w:eastAsia="Times New Roman" w:hAnsi="Times New Roman" w:cs="Times New Roman"/>
          <w:lang w:val="en-US"/>
        </w:rPr>
        <w:t>Chart 4 presents the exploratory objective and endpoint.</w:t>
      </w:r>
    </w:p>
    <w:p w:rsidR="00361FBE" w:rsidRPr="00D57855" w:rsidRDefault="00361FBE">
      <w:pPr>
        <w:keepNext/>
        <w:spacing w:line="276" w:lineRule="auto"/>
        <w:ind w:left="0" w:hanging="2"/>
        <w:rPr>
          <w:rFonts w:ascii="Times New Roman" w:eastAsia="Times New Roman" w:hAnsi="Times New Roman" w:cs="Times New Roman"/>
          <w:i/>
          <w:color w:val="000000"/>
          <w:lang w:val="en-US"/>
        </w:rPr>
      </w:pPr>
      <w:bookmarkStart w:id="72" w:name="_heading=h.a6wgoqjcneeq" w:colFirst="0" w:colLast="0"/>
      <w:bookmarkEnd w:id="72"/>
    </w:p>
    <w:p w:rsidR="00361FBE" w:rsidRDefault="00D57855">
      <w:pPr>
        <w:keepNext/>
        <w:spacing w:line="276" w:lineRule="auto"/>
        <w:ind w:left="0" w:hanging="2"/>
        <w:rPr>
          <w:rFonts w:ascii="Times New Roman" w:eastAsia="Times New Roman" w:hAnsi="Times New Roman" w:cs="Times New Roman"/>
          <w:i/>
          <w:color w:val="000000"/>
        </w:rPr>
      </w:pPr>
      <w:bookmarkStart w:id="73" w:name="_heading=h.meukdy"/>
      <w:bookmarkEnd w:id="73"/>
      <w:r>
        <w:rPr>
          <w:rFonts w:ascii="Times New Roman" w:eastAsia="Times New Roman" w:hAnsi="Times New Roman" w:cs="Times New Roman"/>
          <w:i/>
          <w:iCs/>
          <w:color w:val="000000"/>
          <w:lang w:val="en-US"/>
        </w:rPr>
        <w:t>Chart 4. Exploratory objective and endpoint</w:t>
      </w:r>
    </w:p>
    <w:tbl>
      <w:tblPr>
        <w:tblStyle w:val="afff5"/>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CB4726">
        <w:tc>
          <w:tcPr>
            <w:tcW w:w="4820"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Objective</w:t>
            </w:r>
          </w:p>
        </w:tc>
        <w:tc>
          <w:tcPr>
            <w:tcW w:w="4820" w:type="dxa"/>
            <w:tcMar>
              <w:top w:w="100" w:type="dxa"/>
              <w:left w:w="100" w:type="dxa"/>
              <w:bottom w:w="100" w:type="dxa"/>
              <w:right w:w="100" w:type="dxa"/>
            </w:tcMar>
          </w:tcPr>
          <w:p w:rsidR="00361FBE" w:rsidRDefault="00D57855">
            <w:pPr>
              <w:widowControl w:val="0"/>
              <w:pBdr>
                <w:top w:val="nil"/>
                <w:left w:val="nil"/>
                <w:bottom w:val="nil"/>
                <w:right w:val="nil"/>
                <w:between w:val="nil"/>
              </w:pBdr>
              <w:spacing w:line="276" w:lineRule="auto"/>
              <w:ind w:left="0" w:hanging="2"/>
              <w:jc w:val="center"/>
              <w:rPr>
                <w:rFonts w:ascii="Times New Roman" w:eastAsia="Times New Roman" w:hAnsi="Times New Roman" w:cs="Times New Roman"/>
                <w:b/>
                <w:color w:val="000000"/>
              </w:rPr>
            </w:pPr>
            <w:r>
              <w:rPr>
                <w:rFonts w:ascii="Times New Roman" w:eastAsia="Times New Roman" w:hAnsi="Times New Roman" w:cs="Times New Roman"/>
                <w:b/>
                <w:bCs/>
                <w:color w:val="000000"/>
                <w:lang w:val="en-US"/>
              </w:rPr>
              <w:t>Endpoint</w:t>
            </w:r>
          </w:p>
        </w:tc>
      </w:tr>
      <w:tr w:rsidR="00CB4726" w:rsidRPr="00B616BF">
        <w:tc>
          <w:tcPr>
            <w:tcW w:w="4820" w:type="dxa"/>
            <w:tcMar>
              <w:top w:w="100" w:type="dxa"/>
              <w:left w:w="100" w:type="dxa"/>
              <w:bottom w:w="100" w:type="dxa"/>
              <w:right w:w="100" w:type="dxa"/>
            </w:tcMar>
          </w:tcPr>
          <w:p w:rsidR="00361FBE" w:rsidRPr="00D57855" w:rsidRDefault="00D57855">
            <w:pPr>
              <w:widowControl w:val="0"/>
              <w:pBdr>
                <w:top w:val="nil"/>
                <w:left w:val="nil"/>
                <w:bottom w:val="nil"/>
                <w:right w:val="nil"/>
                <w:between w:val="nil"/>
              </w:pBdr>
              <w:spacing w:line="276" w:lineRule="auto"/>
              <w:ind w:left="0" w:hanging="2"/>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To assess the viral variants circulating in the population before, during and after the introduction of vaccination in the community, checking potential differences between vaccinated and unvaccinated individuals.</w:t>
            </w:r>
          </w:p>
        </w:tc>
        <w:tc>
          <w:tcPr>
            <w:tcW w:w="4820" w:type="dxa"/>
            <w:tcMar>
              <w:top w:w="100" w:type="dxa"/>
              <w:left w:w="100" w:type="dxa"/>
              <w:bottom w:w="100" w:type="dxa"/>
              <w:right w:w="100" w:type="dxa"/>
            </w:tcMar>
          </w:tcPr>
          <w:p w:rsidR="00361FBE" w:rsidRPr="00D57855" w:rsidRDefault="00D57855">
            <w:pPr>
              <w:widowControl w:val="0"/>
              <w:pBdr>
                <w:top w:val="nil"/>
                <w:left w:val="nil"/>
                <w:bottom w:val="nil"/>
                <w:right w:val="nil"/>
                <w:between w:val="nil"/>
              </w:pBdr>
              <w:spacing w:line="276" w:lineRule="auto"/>
              <w:ind w:left="0" w:hanging="2"/>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Frequency (n,%) of viral variants circulating in different periods and study populations.</w:t>
            </w:r>
          </w:p>
        </w:tc>
      </w:tr>
    </w:tbl>
    <w:p w:rsidR="00361FBE" w:rsidRPr="00D57855" w:rsidRDefault="00361FBE">
      <w:pPr>
        <w:keepNext/>
        <w:spacing w:line="276" w:lineRule="auto"/>
        <w:ind w:left="0" w:hanging="2"/>
        <w:rPr>
          <w:rFonts w:ascii="Times New Roman" w:eastAsia="Times New Roman" w:hAnsi="Times New Roman" w:cs="Times New Roman"/>
          <w:i/>
          <w:color w:val="000000"/>
          <w:lang w:val="en-US"/>
        </w:rPr>
      </w:pPr>
      <w:bookmarkStart w:id="74" w:name="_heading=h.rh7pns1yso5o" w:colFirst="0" w:colLast="0"/>
      <w:bookmarkEnd w:id="74"/>
    </w:p>
    <w:p w:rsidR="00361FBE" w:rsidRPr="00D57855" w:rsidRDefault="00D57855">
      <w:pPr>
        <w:pStyle w:val="Ttulo1"/>
        <w:spacing w:before="0" w:after="0"/>
        <w:ind w:left="0" w:hanging="2"/>
        <w:rPr>
          <w:lang w:val="en-US"/>
        </w:rPr>
      </w:pPr>
      <w:bookmarkStart w:id="75" w:name="_heading=h.36ei31r"/>
      <w:bookmarkEnd w:id="75"/>
      <w:r>
        <w:rPr>
          <w:bCs/>
          <w:szCs w:val="24"/>
          <w:lang w:val="en-US"/>
        </w:rPr>
        <w:t>4. ANALYSIS POPULATION</w:t>
      </w:r>
    </w:p>
    <w:p w:rsidR="00361FBE" w:rsidRPr="00D57855" w:rsidRDefault="00361FBE">
      <w:pPr>
        <w:pBdr>
          <w:top w:val="nil"/>
          <w:left w:val="nil"/>
          <w:bottom w:val="nil"/>
          <w:right w:val="nil"/>
          <w:between w:val="nil"/>
        </w:pBdr>
        <w:spacing w:line="276" w:lineRule="auto"/>
        <w:ind w:left="0" w:hanging="2"/>
        <w:jc w:val="both"/>
        <w:rPr>
          <w:rFonts w:ascii="Times New Roman" w:eastAsia="Times New Roman" w:hAnsi="Times New Roman" w:cs="Times New Roman"/>
          <w:lang w:val="en-US"/>
        </w:rPr>
      </w:pPr>
    </w:p>
    <w:p w:rsidR="00361FBE" w:rsidRPr="00D57855" w:rsidRDefault="00D57855">
      <w:pPr>
        <w:pStyle w:val="Ttulo2"/>
        <w:spacing w:before="0" w:after="0"/>
        <w:ind w:left="0" w:hanging="2"/>
        <w:rPr>
          <w:lang w:val="en-US"/>
        </w:rPr>
      </w:pPr>
      <w:bookmarkStart w:id="76" w:name="_heading=h.1ljsd9k"/>
      <w:bookmarkEnd w:id="76"/>
      <w:r>
        <w:rPr>
          <w:bCs/>
          <w:szCs w:val="24"/>
          <w:lang w:val="en-US"/>
        </w:rPr>
        <w:lastRenderedPageBreak/>
        <w:t>4.1. Effectiveness population</w:t>
      </w:r>
    </w:p>
    <w:p w:rsidR="00361FBE" w:rsidRPr="00D57855" w:rsidRDefault="00361FBE">
      <w:pPr>
        <w:ind w:left="0" w:hanging="2"/>
        <w:rPr>
          <w:lang w:val="en-US"/>
        </w:rPr>
      </w:pPr>
    </w:p>
    <w:p w:rsidR="00361FBE" w:rsidRPr="00D57855" w:rsidRDefault="00D57855" w:rsidP="006A2ED7">
      <w:pPr>
        <w:pBdr>
          <w:top w:val="nil"/>
          <w:left w:val="nil"/>
          <w:bottom w:val="nil"/>
          <w:right w:val="nil"/>
          <w:between w:val="nil"/>
        </w:pBdr>
        <w:spacing w:line="276" w:lineRule="auto"/>
        <w:ind w:leftChars="0" w:left="0" w:firstLineChars="0"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To evaluate effectiveness, all adult residents in the study area will be included, regardless of whether they have received the vaccine or not. Unless there is a major protocol deviation (e.g., vaccination with other COVID-19 vaccines), individuals will remain in the analysis set and will be followed until an exclusion event occurs.</w:t>
      </w:r>
    </w:p>
    <w:p w:rsidR="00361FBE" w:rsidRPr="00D57855" w:rsidRDefault="00361FBE">
      <w:pPr>
        <w:pBdr>
          <w:top w:val="nil"/>
          <w:left w:val="nil"/>
          <w:bottom w:val="nil"/>
          <w:right w:val="nil"/>
          <w:between w:val="nil"/>
        </w:pBdr>
        <w:spacing w:line="276" w:lineRule="auto"/>
        <w:ind w:left="0" w:hanging="2"/>
        <w:jc w:val="both"/>
        <w:rPr>
          <w:lang w:val="en-US"/>
        </w:rPr>
      </w:pPr>
    </w:p>
    <w:p w:rsidR="00361FBE" w:rsidRPr="00D57855" w:rsidRDefault="00D57855">
      <w:pPr>
        <w:pStyle w:val="Ttulo2"/>
        <w:spacing w:before="0" w:after="0"/>
        <w:ind w:left="0" w:hanging="2"/>
        <w:jc w:val="both"/>
        <w:rPr>
          <w:lang w:val="en-US"/>
        </w:rPr>
      </w:pPr>
      <w:bookmarkStart w:id="77" w:name="_heading=h.45jfvxd"/>
      <w:bookmarkEnd w:id="77"/>
      <w:r>
        <w:rPr>
          <w:bCs/>
          <w:szCs w:val="24"/>
          <w:lang w:val="en-US"/>
        </w:rPr>
        <w:t>4.2. Safety population</w:t>
      </w:r>
    </w:p>
    <w:p w:rsidR="00361FBE" w:rsidRPr="00D57855" w:rsidRDefault="00361FBE">
      <w:pPr>
        <w:ind w:left="0" w:hanging="2"/>
        <w:jc w:val="both"/>
        <w:rPr>
          <w:lang w:val="en-US"/>
        </w:rPr>
      </w:pPr>
    </w:p>
    <w:p w:rsidR="00361FBE" w:rsidRPr="00D57855" w:rsidRDefault="00D57855" w:rsidP="006A2ED7">
      <w:pPr>
        <w:spacing w:line="276" w:lineRule="auto"/>
        <w:ind w:leftChars="0" w:left="0" w:firstLineChars="0"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For the evaluation of safety, all subjects who received at least one dose of the study vaccine and who have safety data available will be included.</w:t>
      </w:r>
    </w:p>
    <w:p w:rsidR="00361FBE" w:rsidRPr="00D57855" w:rsidRDefault="00361FBE">
      <w:pPr>
        <w:ind w:left="0" w:hanging="2"/>
        <w:jc w:val="both"/>
        <w:rPr>
          <w:lang w:val="en-US"/>
        </w:rPr>
      </w:pPr>
    </w:p>
    <w:p w:rsidR="00361FBE" w:rsidRPr="00D57855" w:rsidRDefault="00D57855">
      <w:pPr>
        <w:pStyle w:val="Ttulo2"/>
        <w:spacing w:before="0" w:after="0"/>
        <w:ind w:left="1" w:hanging="3"/>
        <w:jc w:val="both"/>
        <w:rPr>
          <w:lang w:val="en-US"/>
        </w:rPr>
      </w:pPr>
      <w:bookmarkStart w:id="78" w:name="_heading=h.3hk7hlyccl09"/>
      <w:bookmarkEnd w:id="78"/>
      <w:r>
        <w:rPr>
          <w:bCs/>
          <w:sz w:val="28"/>
          <w:szCs w:val="28"/>
          <w:lang w:val="en-US"/>
        </w:rPr>
        <w:t xml:space="preserve">4.3. </w:t>
      </w:r>
      <w:r>
        <w:rPr>
          <w:bCs/>
          <w:szCs w:val="24"/>
          <w:lang w:val="en-US"/>
        </w:rPr>
        <w:t>Acceptability population</w:t>
      </w:r>
    </w:p>
    <w:p w:rsidR="00361FBE" w:rsidRPr="00D57855" w:rsidRDefault="00D57855">
      <w:pPr>
        <w:ind w:left="0" w:hanging="2"/>
        <w:jc w:val="both"/>
        <w:rPr>
          <w:rFonts w:ascii="Times New Roman" w:eastAsia="Times New Roman" w:hAnsi="Times New Roman" w:cs="Times New Roman"/>
          <w:b/>
          <w:i/>
          <w:lang w:val="en-US"/>
        </w:rPr>
      </w:pPr>
      <w:r w:rsidRPr="00D57855">
        <w:rPr>
          <w:b/>
          <w:i/>
          <w:sz w:val="23"/>
          <w:szCs w:val="23"/>
          <w:lang w:val="en-US"/>
        </w:rPr>
        <w:t xml:space="preserve"> </w:t>
      </w:r>
    </w:p>
    <w:p w:rsidR="00361FBE" w:rsidRPr="00D57855" w:rsidRDefault="00D57855" w:rsidP="006A2ED7">
      <w:pPr>
        <w:ind w:leftChars="0" w:left="0" w:firstLineChars="0"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For the evaluation of acceptability, all screened subjects who signed the Informed Consent Form (ICF) and who are eligible to participate in the study will be included, regardless of whether they have received the vaccine or not.</w:t>
      </w:r>
    </w:p>
    <w:p w:rsidR="00361FBE" w:rsidRPr="00D57855" w:rsidRDefault="00361FBE">
      <w:pPr>
        <w:ind w:left="0" w:hanging="2"/>
        <w:jc w:val="both"/>
        <w:rPr>
          <w:rFonts w:ascii="Times New Roman" w:eastAsia="Times New Roman" w:hAnsi="Times New Roman" w:cs="Times New Roman"/>
          <w:lang w:val="en-US"/>
        </w:rPr>
      </w:pPr>
    </w:p>
    <w:p w:rsidR="00361FBE" w:rsidRPr="00D57855" w:rsidRDefault="00D57855">
      <w:pPr>
        <w:pStyle w:val="Ttulo2"/>
        <w:spacing w:before="0" w:after="0"/>
        <w:ind w:left="0" w:hanging="2"/>
        <w:jc w:val="both"/>
        <w:rPr>
          <w:lang w:val="en-US"/>
        </w:rPr>
      </w:pPr>
      <w:bookmarkStart w:id="79" w:name="_heading=h.76ll6iwjcvsn"/>
      <w:bookmarkEnd w:id="79"/>
      <w:r>
        <w:rPr>
          <w:bCs/>
          <w:szCs w:val="24"/>
          <w:lang w:val="en-US"/>
        </w:rPr>
        <w:t>4.4. Per-Protocol population (PP)</w:t>
      </w:r>
    </w:p>
    <w:p w:rsidR="00361FBE" w:rsidRPr="00D57855" w:rsidRDefault="00D57855">
      <w:pPr>
        <w:spacing w:line="276" w:lineRule="auto"/>
        <w:ind w:left="0" w:hanging="2"/>
        <w:jc w:val="both"/>
        <w:rPr>
          <w:rFonts w:ascii="Times New Roman" w:eastAsia="Times New Roman" w:hAnsi="Times New Roman" w:cs="Times New Roman"/>
          <w:lang w:val="en-US"/>
        </w:rPr>
      </w:pPr>
      <w:r w:rsidRPr="00D57855">
        <w:rPr>
          <w:rFonts w:ascii="Times New Roman" w:eastAsia="Times New Roman" w:hAnsi="Times New Roman" w:cs="Times New Roman"/>
          <w:b/>
          <w:i/>
          <w:sz w:val="23"/>
          <w:szCs w:val="23"/>
          <w:lang w:val="en-US"/>
        </w:rPr>
        <w:t xml:space="preserve"> </w:t>
      </w:r>
    </w:p>
    <w:p w:rsidR="00361FBE" w:rsidRPr="00D57855" w:rsidRDefault="00D57855" w:rsidP="006A2ED7">
      <w:pPr>
        <w:spacing w:line="276" w:lineRule="auto"/>
        <w:ind w:leftChars="0" w:left="0" w:firstLineChars="0"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The Per-Protocol population is defined as all subjects who: meet the inclusion criteria and do not meet any exclusion criteria; receive two doses of the investigational product, according to the basic immunization schedule, within the period recommended by the protocol, under the handling and administration conditions recommended by the manufacturer (Section 3.4.1.1.2 of the protocol) and do not use medications restricted by the protocol (Section 3.4.2).</w:t>
      </w:r>
    </w:p>
    <w:p w:rsidR="00361FBE" w:rsidRPr="00D57855" w:rsidRDefault="00D57855">
      <w:pP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Subjects will remain in the Per-Protocol population until a major or critical deviation occurs (e.g. receiving another COVID-19 vaccine) and will contribute to the follow-up time for per-protocol analyses until the exclusion event. If the subject does not have any relevant protocol deviation, they will contribute until the end of their follow-up. The Per-Protocol analysis is the main effectiveness analysis of the study.</w:t>
      </w:r>
    </w:p>
    <w:p w:rsidR="00361FBE" w:rsidRPr="00D57855" w:rsidRDefault="00361FBE">
      <w:pPr>
        <w:pStyle w:val="Ttulo2"/>
        <w:spacing w:before="0" w:after="0"/>
        <w:ind w:left="0" w:hanging="2"/>
        <w:jc w:val="both"/>
        <w:rPr>
          <w:lang w:val="en-US"/>
        </w:rPr>
      </w:pPr>
      <w:bookmarkStart w:id="80" w:name="_heading=h.7eq3pr76a87i" w:colFirst="0" w:colLast="0"/>
      <w:bookmarkEnd w:id="80"/>
    </w:p>
    <w:p w:rsidR="00361FBE" w:rsidRPr="00D57855" w:rsidRDefault="00D57855">
      <w:pPr>
        <w:pStyle w:val="Ttulo2"/>
        <w:spacing w:before="0" w:after="0"/>
        <w:ind w:left="0" w:hanging="2"/>
        <w:jc w:val="both"/>
        <w:rPr>
          <w:lang w:val="en-US"/>
        </w:rPr>
      </w:pPr>
      <w:bookmarkStart w:id="81" w:name="_heading=h.ok1ds3lbtfkr"/>
      <w:bookmarkEnd w:id="81"/>
      <w:r>
        <w:rPr>
          <w:bCs/>
          <w:szCs w:val="24"/>
          <w:lang w:val="en-US"/>
        </w:rPr>
        <w:t>4.5. Intention-to-Treat population (ITT)</w:t>
      </w:r>
    </w:p>
    <w:p w:rsidR="00361FBE" w:rsidRPr="00D57855" w:rsidRDefault="00361FBE">
      <w:pPr>
        <w:ind w:left="0" w:hanging="2"/>
        <w:rPr>
          <w:lang w:val="en-US"/>
        </w:rPr>
      </w:pPr>
    </w:p>
    <w:p w:rsidR="00361FBE" w:rsidRPr="00D57855" w:rsidRDefault="00D57855" w:rsidP="006A2ED7">
      <w:pPr>
        <w:pStyle w:val="Ttulo2"/>
        <w:spacing w:before="0" w:after="0"/>
        <w:ind w:leftChars="0" w:left="0" w:right="320" w:firstLineChars="0" w:firstLine="720"/>
        <w:jc w:val="both"/>
        <w:rPr>
          <w:b w:val="0"/>
          <w:lang w:val="en-US"/>
        </w:rPr>
      </w:pPr>
      <w:bookmarkStart w:id="82" w:name="_heading=h.z4j87bp5alss"/>
      <w:bookmarkEnd w:id="82"/>
      <w:r>
        <w:rPr>
          <w:b w:val="0"/>
          <w:szCs w:val="24"/>
          <w:lang w:val="en-US"/>
        </w:rPr>
        <w:t>The Intention-to-Treat population will include all randomized subjects who receive at least one dose of the investigational product. The Intention-to-Treat analysis is considered a secondary effectiveness analysis for this study.</w:t>
      </w:r>
    </w:p>
    <w:p w:rsidR="00361FBE" w:rsidRPr="00D57855" w:rsidRDefault="00361FBE">
      <w:pPr>
        <w:spacing w:line="276" w:lineRule="auto"/>
        <w:ind w:left="0" w:hanging="2"/>
        <w:rPr>
          <w:lang w:val="en-US"/>
        </w:rPr>
      </w:pPr>
    </w:p>
    <w:p w:rsidR="00361FBE" w:rsidRPr="00D57855" w:rsidRDefault="00D57855">
      <w:pPr>
        <w:pStyle w:val="Ttulo1"/>
        <w:spacing w:before="0" w:after="0"/>
        <w:ind w:left="0" w:hanging="2"/>
        <w:rPr>
          <w:lang w:val="en-US"/>
        </w:rPr>
      </w:pPr>
      <w:bookmarkStart w:id="83" w:name="_heading=h.2koq656"/>
      <w:bookmarkEnd w:id="83"/>
      <w:r>
        <w:rPr>
          <w:bCs/>
          <w:szCs w:val="24"/>
          <w:lang w:val="en-US"/>
        </w:rPr>
        <w:t>5. STATISTICAL CONSIDERATIONS</w:t>
      </w:r>
    </w:p>
    <w:p w:rsidR="00361FBE" w:rsidRPr="00D57855" w:rsidRDefault="00361FBE">
      <w:pPr>
        <w:pStyle w:val="Ttulo2"/>
        <w:spacing w:before="0" w:after="0"/>
        <w:ind w:left="0" w:hanging="2"/>
        <w:rPr>
          <w:lang w:val="en-US"/>
        </w:rPr>
      </w:pPr>
    </w:p>
    <w:p w:rsidR="00361FBE" w:rsidRPr="00D57855" w:rsidRDefault="00D57855">
      <w:pPr>
        <w:pStyle w:val="Ttulo2"/>
        <w:spacing w:before="0" w:after="0"/>
        <w:ind w:left="0" w:hanging="2"/>
        <w:rPr>
          <w:lang w:val="en-US"/>
        </w:rPr>
      </w:pPr>
      <w:bookmarkStart w:id="84" w:name="_heading=h.zu0gcz"/>
      <w:bookmarkEnd w:id="84"/>
      <w:r>
        <w:rPr>
          <w:bCs/>
          <w:szCs w:val="24"/>
          <w:lang w:val="en-US"/>
        </w:rPr>
        <w:t>5.1. General principles</w:t>
      </w:r>
    </w:p>
    <w:p w:rsidR="00361FBE" w:rsidRPr="00D57855" w:rsidRDefault="00D57855" w:rsidP="006A2ED7">
      <w:pPr>
        <w:spacing w:before="120" w:after="120" w:line="276" w:lineRule="auto"/>
        <w:ind w:leftChars="0" w:left="0" w:firstLineChars="0" w:firstLine="720"/>
        <w:jc w:val="both"/>
        <w:rPr>
          <w:rFonts w:ascii="Times New Roman" w:eastAsia="Times New Roman" w:hAnsi="Times New Roman" w:cs="Times New Roman"/>
          <w:highlight w:val="white"/>
          <w:lang w:val="en-US"/>
        </w:rPr>
      </w:pPr>
      <w:r>
        <w:rPr>
          <w:rFonts w:ascii="Times New Roman" w:eastAsia="Times New Roman" w:hAnsi="Times New Roman" w:cs="Times New Roman"/>
          <w:highlight w:val="white"/>
          <w:lang w:val="en-US"/>
        </w:rPr>
        <w:t xml:space="preserve">All primary and secondary endpoints will be summarized by study quarter and groups (where applicable). In cases where </w:t>
      </w:r>
      <w:r>
        <w:rPr>
          <w:rFonts w:ascii="Times New Roman" w:eastAsia="Times New Roman" w:hAnsi="Times New Roman" w:cs="Times New Roman"/>
          <w:lang w:val="en-US"/>
        </w:rPr>
        <w:t xml:space="preserve">the number of unknown values ​​of a variable </w:t>
      </w:r>
      <w:r>
        <w:rPr>
          <w:rFonts w:ascii="Times New Roman" w:eastAsia="Times New Roman" w:hAnsi="Times New Roman" w:cs="Times New Roman"/>
          <w:highlight w:val="white"/>
          <w:lang w:val="en-US"/>
        </w:rPr>
        <w:t>is relevant, a category named ‘Unknown’ will be created.</w:t>
      </w:r>
    </w:p>
    <w:p w:rsidR="00361FBE" w:rsidRPr="00D57855" w:rsidRDefault="00361FBE">
      <w:pPr>
        <w:spacing w:line="276" w:lineRule="auto"/>
        <w:ind w:left="0" w:hanging="2"/>
        <w:jc w:val="both"/>
        <w:rPr>
          <w:rFonts w:ascii="Times New Roman" w:eastAsia="Times New Roman" w:hAnsi="Times New Roman" w:cs="Times New Roman"/>
          <w:lang w:val="en-US"/>
        </w:rPr>
      </w:pPr>
    </w:p>
    <w:p w:rsidR="00361FBE" w:rsidRPr="00D57855" w:rsidRDefault="00D57855">
      <w:pPr>
        <w:pStyle w:val="Ttulo2"/>
        <w:spacing w:before="0" w:after="0"/>
        <w:ind w:left="0" w:hanging="2"/>
        <w:rPr>
          <w:lang w:val="en-US"/>
        </w:rPr>
      </w:pPr>
      <w:bookmarkStart w:id="85" w:name="_heading=h.3jtnz0s"/>
      <w:bookmarkEnd w:id="85"/>
      <w:r>
        <w:rPr>
          <w:bCs/>
          <w:szCs w:val="24"/>
          <w:lang w:val="en-US"/>
        </w:rPr>
        <w:t>5.1.1. Effectiveness analyses</w:t>
      </w:r>
    </w:p>
    <w:p w:rsidR="00361FBE" w:rsidRPr="00D57855" w:rsidRDefault="00361FBE">
      <w:pPr>
        <w:ind w:left="0" w:hanging="2"/>
        <w:rPr>
          <w:lang w:val="en-US"/>
        </w:rPr>
      </w:pPr>
    </w:p>
    <w:p w:rsidR="00361FBE" w:rsidRPr="00D57855" w:rsidRDefault="00D57855" w:rsidP="006A2ED7">
      <w:pPr>
        <w:spacing w:line="276" w:lineRule="auto"/>
        <w:ind w:leftChars="0" w:left="0" w:firstLineChars="0" w:firstLine="72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Effectiveness analyses will be carried out with subjects who receive the investigational product (adsorbed COVID-19 vaccine (inactivated) produced by Sinovac) in relation to the unvaccinated population during the analysis period. When possible, the incidence of the indicated endpoint and the effectiveness of the vaccine will be calculated by quarter and study group.</w:t>
      </w:r>
    </w:p>
    <w:p w:rsidR="00361FBE" w:rsidRPr="00D57855" w:rsidRDefault="00361FBE">
      <w:pPr>
        <w:spacing w:line="276" w:lineRule="auto"/>
        <w:ind w:left="0" w:hanging="2"/>
        <w:jc w:val="both"/>
        <w:rPr>
          <w:rFonts w:ascii="Times New Roman" w:eastAsia="Times New Roman" w:hAnsi="Times New Roman" w:cs="Times New Roman"/>
          <w:color w:val="000000"/>
          <w:lang w:val="en-US"/>
        </w:rPr>
      </w:pPr>
    </w:p>
    <w:p w:rsidR="00361FBE" w:rsidRPr="00D57855" w:rsidRDefault="00D57855">
      <w:pPr>
        <w:pStyle w:val="Ttulo2"/>
        <w:spacing w:before="0" w:after="0"/>
        <w:ind w:left="0" w:hanging="2"/>
        <w:rPr>
          <w:lang w:val="en-US"/>
        </w:rPr>
      </w:pPr>
      <w:bookmarkStart w:id="86" w:name="_heading=h.1yyy98l"/>
      <w:bookmarkEnd w:id="86"/>
      <w:r>
        <w:rPr>
          <w:bCs/>
          <w:szCs w:val="24"/>
          <w:lang w:val="en-US"/>
        </w:rPr>
        <w:t>5.1.2. Safety analyses</w:t>
      </w:r>
    </w:p>
    <w:p w:rsidR="00361FBE" w:rsidRPr="00D57855" w:rsidRDefault="00361FBE">
      <w:pPr>
        <w:ind w:left="0" w:hanging="2"/>
        <w:rPr>
          <w:lang w:val="en-US"/>
        </w:rPr>
      </w:pPr>
    </w:p>
    <w:p w:rsidR="00C65657" w:rsidRPr="00D57855" w:rsidRDefault="00D57855" w:rsidP="00BA6462">
      <w:pPr>
        <w:spacing w:line="276" w:lineRule="auto"/>
        <w:ind w:leftChars="0" w:left="0" w:firstLineChars="0"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The safety analyses will include all subjects who received at least one dose of the vaccine. A descriptive safety analysis will be performed for all serious adverse events (SAE) and adverse events of special interest (AESI) according to intensity. All adverse events will be coded with the MedDRA dictionary and tabulated by System Organ Class (SOC) and preferred term (PT). In addition, lists will be presented with all serious adverse events and adverse events of special interest according to: causality, intensity, predictability, evolution and endpoint.</w:t>
      </w:r>
    </w:p>
    <w:p w:rsidR="00C65657" w:rsidRPr="00D57855" w:rsidRDefault="00C65657" w:rsidP="00C65657">
      <w:pPr>
        <w:ind w:left="0" w:hanging="2"/>
        <w:rPr>
          <w:lang w:val="en-US"/>
        </w:rPr>
      </w:pPr>
      <w:bookmarkStart w:id="87" w:name="_heading=h.4iylrwe" w:colFirst="0" w:colLast="0"/>
      <w:bookmarkEnd w:id="87"/>
    </w:p>
    <w:p w:rsidR="00361FBE" w:rsidRPr="00D57855" w:rsidRDefault="00D57855" w:rsidP="00C65657">
      <w:pPr>
        <w:pStyle w:val="Ttulo2"/>
        <w:ind w:left="0" w:hanging="2"/>
        <w:rPr>
          <w:highlight w:val="white"/>
          <w:lang w:val="en-US"/>
        </w:rPr>
      </w:pPr>
      <w:r>
        <w:rPr>
          <w:bCs/>
          <w:szCs w:val="24"/>
          <w:lang w:val="en-US"/>
        </w:rPr>
        <w:t>5.2</w:t>
      </w:r>
      <w:r>
        <w:rPr>
          <w:bCs/>
          <w:szCs w:val="24"/>
          <w:highlight w:val="white"/>
          <w:lang w:val="en-US"/>
        </w:rPr>
        <w:t>. Interim analysis</w:t>
      </w:r>
      <w:bookmarkStart w:id="88" w:name="_heading=h.i4cbir8j6zx7"/>
      <w:bookmarkEnd w:id="88"/>
    </w:p>
    <w:p w:rsidR="00C65657" w:rsidRPr="00D57855" w:rsidRDefault="00C65657" w:rsidP="00C65657">
      <w:pPr>
        <w:ind w:left="0" w:hanging="2"/>
        <w:rPr>
          <w:highlight w:val="white"/>
          <w:lang w:val="en-US"/>
        </w:rPr>
      </w:pPr>
    </w:p>
    <w:p w:rsidR="00361FBE" w:rsidRPr="00D57855" w:rsidRDefault="00D57855" w:rsidP="00C65657">
      <w:pPr>
        <w:ind w:leftChars="0" w:left="0" w:firstLineChars="0" w:firstLine="720"/>
        <w:rPr>
          <w:rFonts w:ascii="Times New Roman" w:eastAsia="Times New Roman" w:hAnsi="Times New Roman" w:cs="Times New Roman"/>
          <w:color w:val="000000"/>
          <w:highlight w:val="white"/>
          <w:lang w:val="en-US"/>
        </w:rPr>
      </w:pPr>
      <w:r>
        <w:rPr>
          <w:rFonts w:ascii="Times New Roman" w:eastAsia="Times New Roman" w:hAnsi="Times New Roman" w:cs="Times New Roman"/>
          <w:color w:val="000000"/>
          <w:highlight w:val="white"/>
          <w:lang w:val="en-US"/>
        </w:rPr>
        <w:t>Not applicable.</w:t>
      </w:r>
    </w:p>
    <w:p w:rsidR="00361FBE" w:rsidRPr="00D57855" w:rsidRDefault="00361FBE" w:rsidP="00C65657">
      <w:pPr>
        <w:ind w:left="0" w:hanging="2"/>
        <w:rPr>
          <w:rFonts w:ascii="Times New Roman" w:eastAsia="Times New Roman" w:hAnsi="Times New Roman" w:cs="Times New Roman"/>
          <w:color w:val="000000"/>
          <w:highlight w:val="white"/>
          <w:lang w:val="en-US"/>
        </w:rPr>
      </w:pPr>
      <w:bookmarkStart w:id="89" w:name="_heading=h.35wgmq18dull" w:colFirst="0" w:colLast="0"/>
      <w:bookmarkEnd w:id="89"/>
    </w:p>
    <w:p w:rsidR="00361FBE" w:rsidRPr="00D57855" w:rsidRDefault="00D57855" w:rsidP="00C65657">
      <w:pPr>
        <w:pStyle w:val="Ttulo2"/>
        <w:ind w:left="0" w:hanging="2"/>
        <w:rPr>
          <w:lang w:val="en-US"/>
        </w:rPr>
      </w:pPr>
      <w:bookmarkStart w:id="90" w:name="_heading=h.1d96cc0"/>
      <w:bookmarkEnd w:id="90"/>
      <w:r>
        <w:rPr>
          <w:bCs/>
          <w:szCs w:val="24"/>
          <w:lang w:val="en-US"/>
        </w:rPr>
        <w:t>5.3. Blinding</w:t>
      </w:r>
    </w:p>
    <w:p w:rsidR="00361FBE" w:rsidRPr="00D57855" w:rsidRDefault="00361FBE" w:rsidP="00C65657">
      <w:pPr>
        <w:ind w:left="0" w:hanging="2"/>
        <w:rPr>
          <w:rFonts w:ascii="Times New Roman" w:eastAsia="Times New Roman" w:hAnsi="Times New Roman" w:cs="Times New Roman"/>
          <w:color w:val="000000"/>
          <w:highlight w:val="white"/>
          <w:lang w:val="en-US"/>
        </w:rPr>
      </w:pPr>
      <w:bookmarkStart w:id="91" w:name="_heading=h.4frni4ntrd9q" w:colFirst="0" w:colLast="0"/>
      <w:bookmarkEnd w:id="91"/>
    </w:p>
    <w:p w:rsidR="00361FBE" w:rsidRPr="00D57855" w:rsidRDefault="00D57855" w:rsidP="00C65657">
      <w:pPr>
        <w:ind w:leftChars="0" w:left="0" w:firstLineChars="0" w:firstLine="720"/>
        <w:rPr>
          <w:rFonts w:ascii="Times New Roman" w:eastAsia="Times New Roman" w:hAnsi="Times New Roman" w:cs="Times New Roman"/>
          <w:color w:val="000000"/>
          <w:highlight w:val="white"/>
          <w:lang w:val="en-US"/>
        </w:rPr>
      </w:pPr>
      <w:bookmarkStart w:id="92" w:name="_heading=h.2y3w247"/>
      <w:bookmarkEnd w:id="92"/>
      <w:r>
        <w:rPr>
          <w:rFonts w:ascii="Times New Roman" w:eastAsia="Times New Roman" w:hAnsi="Times New Roman" w:cs="Times New Roman"/>
          <w:color w:val="000000"/>
          <w:highlight w:val="white"/>
          <w:lang w:val="en-US"/>
        </w:rPr>
        <w:t>Not applicable.</w:t>
      </w:r>
    </w:p>
    <w:p w:rsidR="00361FBE" w:rsidRPr="00D57855" w:rsidRDefault="00361FBE" w:rsidP="00C65657">
      <w:pPr>
        <w:ind w:left="0" w:hanging="2"/>
        <w:rPr>
          <w:rFonts w:ascii="Times New Roman" w:eastAsia="Times New Roman" w:hAnsi="Times New Roman" w:cs="Times New Roman"/>
          <w:color w:val="000000"/>
          <w:highlight w:val="white"/>
          <w:lang w:val="en-US"/>
        </w:rPr>
      </w:pPr>
      <w:bookmarkStart w:id="93" w:name="_heading=h.gs19o5awr8mg" w:colFirst="0" w:colLast="0"/>
      <w:bookmarkEnd w:id="93"/>
    </w:p>
    <w:p w:rsidR="00361FBE" w:rsidRPr="00D57855" w:rsidRDefault="00D57855" w:rsidP="00C65657">
      <w:pPr>
        <w:pStyle w:val="Ttulo2"/>
        <w:ind w:left="0" w:hanging="2"/>
        <w:rPr>
          <w:lang w:val="en-US"/>
        </w:rPr>
      </w:pPr>
      <w:bookmarkStart w:id="94" w:name="_heading=h.3bj1y38"/>
      <w:bookmarkEnd w:id="94"/>
      <w:r>
        <w:rPr>
          <w:bCs/>
          <w:szCs w:val="24"/>
          <w:lang w:val="en-US"/>
        </w:rPr>
        <w:t>5.4. Non-blind analysis</w:t>
      </w:r>
    </w:p>
    <w:p w:rsidR="00361FBE" w:rsidRPr="00D57855" w:rsidRDefault="00361FBE" w:rsidP="00C65657">
      <w:pPr>
        <w:ind w:left="0" w:hanging="2"/>
        <w:rPr>
          <w:rFonts w:ascii="Times New Roman" w:eastAsia="Times New Roman" w:hAnsi="Times New Roman" w:cs="Times New Roman"/>
          <w:color w:val="000000"/>
          <w:lang w:val="en-US"/>
        </w:rPr>
      </w:pPr>
      <w:bookmarkStart w:id="95" w:name="_heading=h.srvxx1p5n476" w:colFirst="0" w:colLast="0"/>
      <w:bookmarkEnd w:id="95"/>
    </w:p>
    <w:p w:rsidR="00361FBE" w:rsidRPr="00D57855" w:rsidRDefault="00D57855" w:rsidP="00C65657">
      <w:pPr>
        <w:ind w:leftChars="0" w:left="0" w:firstLineChars="0" w:firstLine="720"/>
        <w:rPr>
          <w:rFonts w:ascii="Times New Roman" w:eastAsia="Times New Roman" w:hAnsi="Times New Roman" w:cs="Times New Roman"/>
          <w:color w:val="000000"/>
          <w:lang w:val="en-US"/>
        </w:rPr>
      </w:pPr>
      <w:bookmarkStart w:id="96" w:name="_heading=h.1qoc8b1"/>
      <w:bookmarkEnd w:id="96"/>
      <w:r>
        <w:rPr>
          <w:rFonts w:ascii="Times New Roman" w:eastAsia="Times New Roman" w:hAnsi="Times New Roman" w:cs="Times New Roman"/>
          <w:color w:val="000000"/>
          <w:lang w:val="en-US"/>
        </w:rPr>
        <w:t>Not applicable.</w:t>
      </w:r>
    </w:p>
    <w:p w:rsidR="00361FBE" w:rsidRPr="00D57855" w:rsidRDefault="00361FBE">
      <w:pPr>
        <w:pBdr>
          <w:top w:val="nil"/>
          <w:left w:val="nil"/>
          <w:bottom w:val="nil"/>
          <w:right w:val="nil"/>
          <w:between w:val="nil"/>
        </w:pBdr>
        <w:spacing w:line="276" w:lineRule="auto"/>
        <w:ind w:left="0" w:hanging="2"/>
        <w:jc w:val="both"/>
        <w:rPr>
          <w:rFonts w:ascii="Times New Roman" w:eastAsia="Times New Roman" w:hAnsi="Times New Roman" w:cs="Times New Roman"/>
          <w:color w:val="000000"/>
          <w:lang w:val="en-US"/>
        </w:rPr>
      </w:pPr>
    </w:p>
    <w:p w:rsidR="00361FBE" w:rsidRPr="00D57855" w:rsidRDefault="00D57855">
      <w:pPr>
        <w:pStyle w:val="Ttulo2"/>
        <w:spacing w:before="0" w:after="0"/>
        <w:ind w:left="0" w:hanging="2"/>
        <w:rPr>
          <w:lang w:val="en-US"/>
        </w:rPr>
      </w:pPr>
      <w:bookmarkStart w:id="97" w:name="_heading=h.4anzqyu"/>
      <w:bookmarkEnd w:id="97"/>
      <w:r>
        <w:rPr>
          <w:bCs/>
          <w:szCs w:val="24"/>
          <w:lang w:val="en-US"/>
        </w:rPr>
        <w:t>5.5. Missing data management</w:t>
      </w:r>
    </w:p>
    <w:p w:rsidR="00361FBE" w:rsidRPr="00D57855" w:rsidRDefault="00361FBE">
      <w:pPr>
        <w:ind w:left="0" w:hanging="2"/>
        <w:rPr>
          <w:lang w:val="en-US"/>
        </w:rPr>
      </w:pPr>
    </w:p>
    <w:p w:rsidR="00361FBE" w:rsidRPr="00D57855" w:rsidRDefault="00D57855" w:rsidP="006A2ED7">
      <w:pPr>
        <w:ind w:leftChars="0" w:left="0" w:firstLineChars="0" w:firstLine="720"/>
        <w:rPr>
          <w:lang w:val="en-US"/>
        </w:rPr>
      </w:pPr>
      <w:r>
        <w:rPr>
          <w:rFonts w:ascii="Times New Roman" w:eastAsia="Times New Roman" w:hAnsi="Times New Roman" w:cs="Times New Roman"/>
          <w:lang w:val="en-US"/>
        </w:rPr>
        <w:t>In this study, the imputation method will not be applied for missing values for effectiveness or safety analyses.</w:t>
      </w:r>
    </w:p>
    <w:p w:rsidR="00361FBE" w:rsidRPr="00D57855" w:rsidRDefault="00361FBE">
      <w:pPr>
        <w:ind w:left="0" w:hanging="2"/>
        <w:rPr>
          <w:lang w:val="en-US"/>
        </w:rPr>
      </w:pPr>
    </w:p>
    <w:p w:rsidR="00361FBE" w:rsidRPr="00D57855" w:rsidRDefault="00D57855">
      <w:pPr>
        <w:pStyle w:val="Ttulo2"/>
        <w:keepNext w:val="0"/>
        <w:keepLines w:val="0"/>
        <w:spacing w:before="0" w:after="0"/>
        <w:ind w:left="0" w:hanging="2"/>
        <w:jc w:val="both"/>
        <w:rPr>
          <w:color w:val="00000A"/>
          <w:lang w:val="en-US"/>
        </w:rPr>
      </w:pPr>
      <w:bookmarkStart w:id="98" w:name="_heading=h.8d7ovu145lt7"/>
      <w:bookmarkEnd w:id="98"/>
      <w:r>
        <w:rPr>
          <w:bCs/>
          <w:color w:val="00000A"/>
          <w:szCs w:val="24"/>
          <w:lang w:val="en-US"/>
        </w:rPr>
        <w:t>5.6. Statistical software</w:t>
      </w:r>
    </w:p>
    <w:p w:rsidR="00361FBE" w:rsidRPr="00D57855" w:rsidRDefault="00361FBE">
      <w:pPr>
        <w:ind w:left="0" w:hanging="2"/>
        <w:rPr>
          <w:rFonts w:ascii="Times New Roman" w:eastAsia="Times New Roman" w:hAnsi="Times New Roman" w:cs="Times New Roman"/>
          <w:lang w:val="en-US"/>
        </w:rPr>
      </w:pPr>
    </w:p>
    <w:p w:rsidR="00361FBE" w:rsidRPr="00D57855" w:rsidRDefault="00D57855" w:rsidP="006A2ED7">
      <w:pPr>
        <w:spacing w:line="276" w:lineRule="auto"/>
        <w:ind w:leftChars="0" w:left="0" w:firstLineChars="0" w:firstLine="720"/>
        <w:jc w:val="both"/>
        <w:rPr>
          <w:lang w:val="en-US"/>
        </w:rPr>
      </w:pPr>
      <w:r>
        <w:rPr>
          <w:rFonts w:ascii="Times New Roman" w:eastAsia="Times New Roman" w:hAnsi="Times New Roman" w:cs="Times New Roman"/>
          <w:lang w:val="en-US"/>
        </w:rPr>
        <w:t>The main statistical analysis programs for this study will be: STATA 16.0 or newer (StataCorp LP, College Station, TX, United States) and R 4.2.0 or newer (Copyright (C) 2022 The R Foundation for Statistical Computing), although other statistical programs may be used</w:t>
      </w:r>
      <w:r>
        <w:rPr>
          <w:lang w:val="en-US"/>
        </w:rPr>
        <w:t>.</w:t>
      </w:r>
    </w:p>
    <w:p w:rsidR="00361FBE" w:rsidRPr="00D57855" w:rsidRDefault="00361FBE">
      <w:pPr>
        <w:ind w:left="0" w:hanging="2"/>
        <w:rPr>
          <w:lang w:val="en-US"/>
        </w:rPr>
      </w:pPr>
    </w:p>
    <w:p w:rsidR="00361FBE" w:rsidRPr="00D57855" w:rsidRDefault="00D57855">
      <w:pPr>
        <w:pStyle w:val="Ttulo1"/>
        <w:spacing w:before="0" w:after="0"/>
        <w:ind w:left="0" w:hanging="2"/>
        <w:rPr>
          <w:lang w:val="en-US"/>
        </w:rPr>
      </w:pPr>
      <w:bookmarkStart w:id="99" w:name="_heading=h.2pta16n"/>
      <w:bookmarkEnd w:id="99"/>
      <w:r>
        <w:rPr>
          <w:bCs/>
          <w:szCs w:val="24"/>
          <w:lang w:val="en-US"/>
        </w:rPr>
        <w:lastRenderedPageBreak/>
        <w:t>6. STATISTICAL METHODOLOGY</w:t>
      </w:r>
    </w:p>
    <w:p w:rsidR="00361FBE" w:rsidRPr="00D57855" w:rsidRDefault="00361FBE">
      <w:pPr>
        <w:ind w:left="0" w:hanging="2"/>
        <w:rPr>
          <w:lang w:val="en-US"/>
        </w:rPr>
      </w:pPr>
    </w:p>
    <w:p w:rsidR="00361FBE" w:rsidRPr="00D57855" w:rsidRDefault="00D57855">
      <w:pPr>
        <w:pStyle w:val="Ttulo2"/>
        <w:spacing w:before="0" w:after="0"/>
        <w:ind w:left="0" w:hanging="2"/>
        <w:rPr>
          <w:lang w:val="en-US"/>
        </w:rPr>
      </w:pPr>
      <w:bookmarkStart w:id="100" w:name="_heading=h.14ykbeg"/>
      <w:bookmarkEnd w:id="100"/>
      <w:r>
        <w:rPr>
          <w:bCs/>
          <w:szCs w:val="24"/>
          <w:lang w:val="en-US"/>
        </w:rPr>
        <w:t>6.1. Study variables</w:t>
      </w:r>
    </w:p>
    <w:p w:rsidR="00744CCE" w:rsidRPr="00D57855" w:rsidRDefault="00744CCE" w:rsidP="00744CCE">
      <w:pPr>
        <w:ind w:left="0" w:hanging="2"/>
        <w:rPr>
          <w:lang w:val="en-US"/>
        </w:rPr>
      </w:pPr>
    </w:p>
    <w:p w:rsidR="00361FBE" w:rsidRPr="00D57855" w:rsidRDefault="00D57855" w:rsidP="006A2ED7">
      <w:pPr>
        <w:spacing w:line="276" w:lineRule="auto"/>
        <w:ind w:leftChars="0" w:left="0" w:firstLineChars="0" w:firstLine="720"/>
        <w:jc w:val="both"/>
        <w:rPr>
          <w:rFonts w:ascii="Times New Roman" w:eastAsia="Times New Roman" w:hAnsi="Times New Roman" w:cs="Times New Roman"/>
          <w:color w:val="000000"/>
          <w:lang w:val="en-US"/>
        </w:rPr>
      </w:pPr>
      <w:bookmarkStart w:id="101" w:name="_heading=h.3oy7u29"/>
      <w:bookmarkEnd w:id="101"/>
      <w:r>
        <w:rPr>
          <w:rFonts w:ascii="Times New Roman" w:eastAsia="Times New Roman" w:hAnsi="Times New Roman" w:cs="Times New Roman"/>
          <w:color w:val="000000"/>
          <w:lang w:val="en-US"/>
        </w:rPr>
        <w:t>The following study variables will be analyzed:</w:t>
      </w:r>
    </w:p>
    <w:p w:rsidR="00361FBE" w:rsidRPr="00D57855" w:rsidRDefault="00361FBE">
      <w:pPr>
        <w:spacing w:line="276" w:lineRule="auto"/>
        <w:ind w:left="0" w:hanging="2"/>
        <w:jc w:val="both"/>
        <w:rPr>
          <w:rFonts w:ascii="Times New Roman" w:eastAsia="Times New Roman" w:hAnsi="Times New Roman" w:cs="Times New Roman"/>
          <w:color w:val="000000"/>
          <w:lang w:val="en-US"/>
        </w:rPr>
      </w:pPr>
    </w:p>
    <w:p w:rsidR="00361FBE" w:rsidRPr="00D57855" w:rsidRDefault="00D57855" w:rsidP="006A2ED7">
      <w:pPr>
        <w:numPr>
          <w:ilvl w:val="0"/>
          <w:numId w:val="4"/>
        </w:numPr>
        <w:pBdr>
          <w:top w:val="nil"/>
          <w:left w:val="nil"/>
          <w:bottom w:val="nil"/>
          <w:right w:val="nil"/>
          <w:between w:val="nil"/>
        </w:pBdr>
        <w:spacing w:line="276" w:lineRule="auto"/>
        <w:ind w:left="-2" w:firstLineChars="355" w:firstLine="852"/>
        <w:jc w:val="both"/>
        <w:rPr>
          <w:rFonts w:ascii="Times New Roman" w:eastAsia="Times New Roman" w:hAnsi="Times New Roman" w:cs="Times New Roman"/>
          <w:color w:val="000000"/>
          <w:lang w:val="en-US"/>
        </w:rPr>
      </w:pPr>
      <w:bookmarkStart w:id="102" w:name="_heading=h.243i4a2"/>
      <w:bookmarkEnd w:id="102"/>
      <w:r>
        <w:rPr>
          <w:rFonts w:ascii="Times New Roman" w:eastAsia="Times New Roman" w:hAnsi="Times New Roman" w:cs="Times New Roman"/>
          <w:color w:val="000000"/>
          <w:lang w:val="en-US"/>
        </w:rPr>
        <w:t>Subject’s baseline data: age, sex, serological status, previous medical history and concomitant medication.</w:t>
      </w:r>
    </w:p>
    <w:p w:rsidR="00361FBE" w:rsidRPr="00D57855" w:rsidRDefault="00D57855" w:rsidP="006A2ED7">
      <w:pPr>
        <w:numPr>
          <w:ilvl w:val="0"/>
          <w:numId w:val="4"/>
        </w:numPr>
        <w:pBdr>
          <w:top w:val="nil"/>
          <w:left w:val="nil"/>
          <w:bottom w:val="nil"/>
          <w:right w:val="nil"/>
          <w:between w:val="nil"/>
        </w:pBdr>
        <w:spacing w:line="276" w:lineRule="auto"/>
        <w:ind w:left="-2" w:firstLineChars="355" w:firstLine="852"/>
        <w:jc w:val="both"/>
        <w:rPr>
          <w:rFonts w:ascii="Times New Roman" w:eastAsia="Times New Roman" w:hAnsi="Times New Roman" w:cs="Times New Roman"/>
          <w:color w:val="000000"/>
          <w:lang w:val="en-US"/>
        </w:rPr>
      </w:pPr>
      <w:bookmarkStart w:id="103" w:name="_heading=h.j8sehv"/>
      <w:bookmarkEnd w:id="103"/>
      <w:r>
        <w:rPr>
          <w:rFonts w:ascii="Times New Roman" w:eastAsia="Times New Roman" w:hAnsi="Times New Roman" w:cs="Times New Roman"/>
          <w:color w:val="000000"/>
          <w:lang w:val="en-US"/>
        </w:rPr>
        <w:t>Vaccination information: study site, date of vaccination.</w:t>
      </w:r>
    </w:p>
    <w:p w:rsidR="00361FBE" w:rsidRPr="00D57855" w:rsidRDefault="00D57855" w:rsidP="006A2ED7">
      <w:pPr>
        <w:numPr>
          <w:ilvl w:val="0"/>
          <w:numId w:val="4"/>
        </w:numPr>
        <w:pBdr>
          <w:top w:val="nil"/>
          <w:left w:val="nil"/>
          <w:bottom w:val="nil"/>
          <w:right w:val="nil"/>
          <w:between w:val="nil"/>
        </w:pBdr>
        <w:spacing w:line="276" w:lineRule="auto"/>
        <w:ind w:left="-2" w:firstLineChars="355" w:firstLine="852"/>
        <w:jc w:val="both"/>
        <w:rPr>
          <w:rFonts w:ascii="Times New Roman" w:eastAsia="Times New Roman" w:hAnsi="Times New Roman" w:cs="Times New Roman"/>
          <w:color w:val="000000"/>
          <w:lang w:val="en-US"/>
        </w:rPr>
      </w:pPr>
      <w:bookmarkStart w:id="104" w:name="_heading=h.bdzxknlf0f5c"/>
      <w:bookmarkEnd w:id="104"/>
      <w:r>
        <w:rPr>
          <w:rFonts w:ascii="Times New Roman" w:eastAsia="Times New Roman" w:hAnsi="Times New Roman" w:cs="Times New Roman"/>
          <w:color w:val="000000"/>
          <w:lang w:val="en-US"/>
        </w:rPr>
        <w:t>Information about outcome: date of occurrence and result of the RT-PCR test.</w:t>
      </w:r>
    </w:p>
    <w:p w:rsidR="00361FBE" w:rsidRPr="00D57855" w:rsidRDefault="00D57855" w:rsidP="006A2ED7">
      <w:pPr>
        <w:numPr>
          <w:ilvl w:val="0"/>
          <w:numId w:val="4"/>
        </w:numPr>
        <w:pBdr>
          <w:top w:val="nil"/>
          <w:left w:val="nil"/>
          <w:bottom w:val="nil"/>
          <w:right w:val="nil"/>
          <w:between w:val="nil"/>
        </w:pBdr>
        <w:spacing w:line="276" w:lineRule="auto"/>
        <w:ind w:left="-2" w:firstLineChars="355" w:firstLine="852"/>
        <w:jc w:val="both"/>
        <w:rPr>
          <w:rFonts w:ascii="Times New Roman" w:eastAsia="Times New Roman" w:hAnsi="Times New Roman" w:cs="Times New Roman"/>
          <w:color w:val="000000"/>
          <w:lang w:val="en-US"/>
        </w:rPr>
      </w:pPr>
      <w:bookmarkStart w:id="105" w:name="_heading=h.jmgmorji4gmr"/>
      <w:bookmarkEnd w:id="105"/>
      <w:r>
        <w:rPr>
          <w:rFonts w:ascii="Times New Roman" w:eastAsia="Times New Roman" w:hAnsi="Times New Roman" w:cs="Times New Roman"/>
          <w:color w:val="000000"/>
          <w:lang w:val="en-US"/>
        </w:rPr>
        <w:t>Information on severe cases of COVID-19: age, pre-existing condition, reference dose, signs and/or symptoms, WHO score.</w:t>
      </w:r>
    </w:p>
    <w:p w:rsidR="00361FBE" w:rsidRPr="00D57855" w:rsidRDefault="00D57855" w:rsidP="006A2ED7">
      <w:pPr>
        <w:numPr>
          <w:ilvl w:val="0"/>
          <w:numId w:val="4"/>
        </w:numPr>
        <w:pBdr>
          <w:top w:val="nil"/>
          <w:left w:val="nil"/>
          <w:bottom w:val="nil"/>
          <w:right w:val="nil"/>
          <w:between w:val="nil"/>
        </w:pBdr>
        <w:spacing w:line="276" w:lineRule="auto"/>
        <w:ind w:left="-2" w:firstLineChars="355" w:firstLine="852"/>
        <w:jc w:val="both"/>
        <w:rPr>
          <w:rFonts w:ascii="Times New Roman" w:eastAsia="Times New Roman" w:hAnsi="Times New Roman" w:cs="Times New Roman"/>
          <w:color w:val="000000"/>
          <w:lang w:val="en-US"/>
        </w:rPr>
      </w:pPr>
      <w:bookmarkStart w:id="106" w:name="_heading=h.338fx5o"/>
      <w:bookmarkEnd w:id="106"/>
      <w:r>
        <w:rPr>
          <w:rFonts w:ascii="Times New Roman" w:eastAsia="Times New Roman" w:hAnsi="Times New Roman" w:cs="Times New Roman"/>
          <w:color w:val="000000"/>
          <w:lang w:val="en-US"/>
        </w:rPr>
        <w:t>Information about SAE and AESI:</w:t>
      </w:r>
    </w:p>
    <w:p w:rsidR="00361FBE" w:rsidRDefault="00D57855" w:rsidP="006A2ED7">
      <w:pPr>
        <w:numPr>
          <w:ilvl w:val="0"/>
          <w:numId w:val="5"/>
        </w:numPr>
        <w:pBdr>
          <w:top w:val="nil"/>
          <w:left w:val="nil"/>
          <w:bottom w:val="nil"/>
          <w:right w:val="nil"/>
          <w:between w:val="nil"/>
        </w:pBdr>
        <w:spacing w:line="276" w:lineRule="auto"/>
        <w:ind w:left="-2" w:firstLineChars="355" w:firstLine="852"/>
        <w:jc w:val="both"/>
        <w:rPr>
          <w:rFonts w:ascii="Times New Roman" w:eastAsia="Times New Roman" w:hAnsi="Times New Roman" w:cs="Times New Roman"/>
          <w:color w:val="000000"/>
        </w:rPr>
      </w:pPr>
      <w:bookmarkStart w:id="107" w:name="_heading=h.1idq7dh"/>
      <w:bookmarkEnd w:id="107"/>
      <w:r>
        <w:rPr>
          <w:rFonts w:ascii="Times New Roman" w:eastAsia="Times New Roman" w:hAnsi="Times New Roman" w:cs="Times New Roman"/>
          <w:color w:val="000000"/>
          <w:lang w:val="en-US"/>
        </w:rPr>
        <w:t>Frequency (n, %);</w:t>
      </w:r>
    </w:p>
    <w:p w:rsidR="00361FBE" w:rsidRPr="00D57855" w:rsidRDefault="00D57855" w:rsidP="006A2ED7">
      <w:pPr>
        <w:numPr>
          <w:ilvl w:val="0"/>
          <w:numId w:val="5"/>
        </w:numPr>
        <w:pBdr>
          <w:top w:val="nil"/>
          <w:left w:val="nil"/>
          <w:bottom w:val="nil"/>
          <w:right w:val="nil"/>
          <w:between w:val="nil"/>
        </w:pBdr>
        <w:spacing w:line="276" w:lineRule="auto"/>
        <w:ind w:left="-2" w:firstLineChars="355" w:firstLine="852"/>
        <w:jc w:val="both"/>
        <w:rPr>
          <w:rFonts w:ascii="Times New Roman" w:eastAsia="Times New Roman" w:hAnsi="Times New Roman" w:cs="Times New Roman"/>
          <w:color w:val="000000"/>
          <w:lang w:val="en-US"/>
        </w:rPr>
      </w:pPr>
      <w:bookmarkStart w:id="108" w:name="_heading=h.lcbdhv2o3pgu"/>
      <w:bookmarkEnd w:id="108"/>
      <w:r>
        <w:rPr>
          <w:rFonts w:ascii="Times New Roman" w:eastAsia="Times New Roman" w:hAnsi="Times New Roman" w:cs="Times New Roman"/>
          <w:color w:val="000000"/>
          <w:lang w:val="en-US"/>
        </w:rPr>
        <w:t xml:space="preserve">Report of SAE and AESI according to: </w:t>
      </w:r>
    </w:p>
    <w:p w:rsidR="00361FBE" w:rsidRDefault="00D57855" w:rsidP="00E67CC2">
      <w:pPr>
        <w:numPr>
          <w:ilvl w:val="1"/>
          <w:numId w:val="5"/>
        </w:numPr>
        <w:pBdr>
          <w:top w:val="nil"/>
          <w:left w:val="nil"/>
          <w:bottom w:val="nil"/>
          <w:right w:val="nil"/>
          <w:between w:val="nil"/>
        </w:pBdr>
        <w:spacing w:line="276" w:lineRule="auto"/>
        <w:ind w:left="-2" w:firstLineChars="473" w:firstLine="1135"/>
        <w:jc w:val="both"/>
        <w:rPr>
          <w:rFonts w:ascii="Times New Roman" w:eastAsia="Times New Roman" w:hAnsi="Times New Roman" w:cs="Times New Roman"/>
          <w:color w:val="000000"/>
        </w:rPr>
      </w:pPr>
      <w:bookmarkStart w:id="109" w:name="_heading=h.9lsnq84ixlkd"/>
      <w:bookmarkEnd w:id="109"/>
      <w:r>
        <w:rPr>
          <w:rFonts w:ascii="Times New Roman" w:eastAsia="Times New Roman" w:hAnsi="Times New Roman" w:cs="Times New Roman"/>
          <w:color w:val="000000"/>
          <w:lang w:val="en-US"/>
        </w:rPr>
        <w:t>Start and end date;</w:t>
      </w:r>
    </w:p>
    <w:p w:rsidR="00361FBE" w:rsidRDefault="00D57855" w:rsidP="00E67CC2">
      <w:pPr>
        <w:numPr>
          <w:ilvl w:val="1"/>
          <w:numId w:val="5"/>
        </w:numPr>
        <w:pBdr>
          <w:top w:val="nil"/>
          <w:left w:val="nil"/>
          <w:bottom w:val="nil"/>
          <w:right w:val="nil"/>
          <w:between w:val="nil"/>
        </w:pBdr>
        <w:spacing w:line="276" w:lineRule="auto"/>
        <w:ind w:left="-2" w:firstLineChars="473" w:firstLine="1135"/>
        <w:jc w:val="both"/>
        <w:rPr>
          <w:rFonts w:ascii="Times New Roman" w:eastAsia="Times New Roman" w:hAnsi="Times New Roman" w:cs="Times New Roman"/>
          <w:color w:val="000000"/>
        </w:rPr>
      </w:pPr>
      <w:bookmarkStart w:id="110" w:name="_heading=h.pottf18tj36d"/>
      <w:bookmarkEnd w:id="110"/>
      <w:r>
        <w:rPr>
          <w:rFonts w:ascii="Times New Roman" w:eastAsia="Times New Roman" w:hAnsi="Times New Roman" w:cs="Times New Roman"/>
          <w:color w:val="000000"/>
          <w:lang w:val="en-US"/>
        </w:rPr>
        <w:t>Outcome;</w:t>
      </w:r>
    </w:p>
    <w:p w:rsidR="00361FBE" w:rsidRPr="00D57855" w:rsidRDefault="00D57855" w:rsidP="00E67CC2">
      <w:pPr>
        <w:numPr>
          <w:ilvl w:val="1"/>
          <w:numId w:val="5"/>
        </w:numPr>
        <w:pBdr>
          <w:top w:val="nil"/>
          <w:left w:val="nil"/>
          <w:bottom w:val="nil"/>
          <w:right w:val="nil"/>
          <w:between w:val="nil"/>
        </w:pBdr>
        <w:spacing w:line="276" w:lineRule="auto"/>
        <w:ind w:left="-2" w:firstLineChars="473" w:firstLine="1135"/>
        <w:jc w:val="both"/>
        <w:rPr>
          <w:rFonts w:ascii="Times New Roman" w:eastAsia="Times New Roman" w:hAnsi="Times New Roman" w:cs="Times New Roman"/>
          <w:color w:val="000000"/>
          <w:lang w:val="en-US"/>
        </w:rPr>
      </w:pPr>
      <w:bookmarkStart w:id="111" w:name="_heading=h.42ddq1a"/>
      <w:bookmarkEnd w:id="111"/>
      <w:r>
        <w:rPr>
          <w:rFonts w:ascii="Times New Roman" w:eastAsia="Times New Roman" w:hAnsi="Times New Roman" w:cs="Times New Roman"/>
          <w:color w:val="000000"/>
          <w:lang w:val="en-US"/>
        </w:rPr>
        <w:t>Causal relationship to the product: certain, probable, possible, improbable, unrelated;</w:t>
      </w:r>
    </w:p>
    <w:p w:rsidR="00361FBE" w:rsidRPr="00D57855" w:rsidRDefault="00D57855" w:rsidP="00E67CC2">
      <w:pPr>
        <w:numPr>
          <w:ilvl w:val="1"/>
          <w:numId w:val="5"/>
        </w:numPr>
        <w:pBdr>
          <w:top w:val="nil"/>
          <w:left w:val="nil"/>
          <w:bottom w:val="nil"/>
          <w:right w:val="nil"/>
          <w:between w:val="nil"/>
        </w:pBdr>
        <w:spacing w:line="276" w:lineRule="auto"/>
        <w:ind w:left="-2" w:firstLineChars="473" w:firstLine="1135"/>
        <w:jc w:val="both"/>
        <w:rPr>
          <w:rFonts w:ascii="Times New Roman" w:eastAsia="Times New Roman" w:hAnsi="Times New Roman" w:cs="Times New Roman"/>
          <w:color w:val="000000"/>
          <w:lang w:val="en-US"/>
        </w:rPr>
      </w:pPr>
      <w:bookmarkStart w:id="112" w:name="_heading=h.2hio093"/>
      <w:bookmarkEnd w:id="112"/>
      <w:r>
        <w:rPr>
          <w:rFonts w:ascii="Times New Roman" w:eastAsia="Times New Roman" w:hAnsi="Times New Roman" w:cs="Times New Roman"/>
          <w:color w:val="000000"/>
          <w:lang w:val="en-US"/>
        </w:rPr>
        <w:t>MedDRA code according to PT and SOC of the adverse event;</w:t>
      </w:r>
    </w:p>
    <w:p w:rsidR="00361FBE" w:rsidRPr="00D57855" w:rsidRDefault="00D57855" w:rsidP="00E67CC2">
      <w:pPr>
        <w:numPr>
          <w:ilvl w:val="1"/>
          <w:numId w:val="5"/>
        </w:numPr>
        <w:pBdr>
          <w:top w:val="nil"/>
          <w:left w:val="nil"/>
          <w:bottom w:val="nil"/>
          <w:right w:val="nil"/>
          <w:between w:val="nil"/>
        </w:pBdr>
        <w:spacing w:line="276" w:lineRule="auto"/>
        <w:ind w:left="-2" w:firstLineChars="473" w:firstLine="1135"/>
        <w:jc w:val="both"/>
        <w:rPr>
          <w:rFonts w:ascii="Times New Roman" w:eastAsia="Times New Roman" w:hAnsi="Times New Roman" w:cs="Times New Roman"/>
          <w:color w:val="000000"/>
          <w:lang w:val="en-US"/>
        </w:rPr>
      </w:pPr>
      <w:bookmarkStart w:id="113" w:name="_heading=h.wnyagw"/>
      <w:bookmarkEnd w:id="113"/>
      <w:r>
        <w:rPr>
          <w:rFonts w:ascii="Times New Roman" w:eastAsia="Times New Roman" w:hAnsi="Times New Roman" w:cs="Times New Roman"/>
          <w:color w:val="000000"/>
          <w:lang w:val="en-US"/>
        </w:rPr>
        <w:t>Degree of the adverse event.</w:t>
      </w:r>
    </w:p>
    <w:p w:rsidR="00361FBE" w:rsidRPr="00D57855" w:rsidRDefault="00D57855">
      <w:pPr>
        <w:pStyle w:val="Ttulo2"/>
        <w:spacing w:before="200" w:after="200"/>
        <w:ind w:left="0" w:hanging="2"/>
        <w:rPr>
          <w:lang w:val="en-US"/>
        </w:rPr>
      </w:pPr>
      <w:bookmarkStart w:id="114" w:name="_heading=h.3u2rp3q"/>
      <w:bookmarkEnd w:id="114"/>
      <w:r>
        <w:rPr>
          <w:bCs/>
          <w:szCs w:val="24"/>
          <w:lang w:val="en-US"/>
        </w:rPr>
        <w:t>6.2. Descriptive analysis</w:t>
      </w:r>
    </w:p>
    <w:p w:rsidR="00361FBE" w:rsidRPr="00D57855" w:rsidRDefault="00D57855" w:rsidP="006A2ED7">
      <w:pPr>
        <w:spacing w:before="200" w:after="200" w:line="276" w:lineRule="auto"/>
        <w:ind w:leftChars="0" w:left="0" w:firstLineChars="0"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Categorical variables will be presented using absolute and relative frequencies. The moving average of COVID-19 cases will be presented to assess COVID-19 incidence trends in municipalities belonging to the same geographic microregion.</w:t>
      </w:r>
    </w:p>
    <w:p w:rsidR="00361FBE" w:rsidRPr="00D57855" w:rsidRDefault="00D57855">
      <w:pPr>
        <w:pStyle w:val="Ttulo2"/>
        <w:spacing w:before="200" w:after="200"/>
        <w:ind w:left="0" w:hanging="2"/>
        <w:rPr>
          <w:lang w:val="en-US"/>
        </w:rPr>
      </w:pPr>
      <w:bookmarkStart w:id="115" w:name="_heading=h.2981zbj"/>
      <w:bookmarkEnd w:id="115"/>
      <w:r>
        <w:rPr>
          <w:bCs/>
          <w:szCs w:val="24"/>
          <w:lang w:val="en-US"/>
        </w:rPr>
        <w:t>6.3. Safety analysis</w:t>
      </w:r>
    </w:p>
    <w:p w:rsidR="00361FBE" w:rsidRPr="00D57855" w:rsidRDefault="00D57855" w:rsidP="006A2ED7">
      <w:pPr>
        <w:spacing w:before="120" w:after="120" w:line="276" w:lineRule="auto"/>
        <w:ind w:leftChars="0" w:left="0" w:firstLineChars="0"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The frequencies (n, %) and reports of all SAEs and AESIs that occurred during the subject’s follow-up period will be available at the end of the study.</w:t>
      </w:r>
    </w:p>
    <w:p w:rsidR="00361FBE" w:rsidRPr="00D57855" w:rsidRDefault="00361FBE">
      <w:pPr>
        <w:pStyle w:val="Ttulo2"/>
        <w:spacing w:before="0" w:after="0"/>
        <w:ind w:left="0" w:hanging="2"/>
        <w:rPr>
          <w:lang w:val="en-US"/>
        </w:rPr>
      </w:pPr>
      <w:bookmarkStart w:id="116" w:name="_heading=h.odc9jc" w:colFirst="0" w:colLast="0"/>
      <w:bookmarkEnd w:id="116"/>
    </w:p>
    <w:p w:rsidR="00361FBE" w:rsidRPr="00D57855" w:rsidRDefault="00D57855">
      <w:pPr>
        <w:pStyle w:val="Ttulo2"/>
        <w:spacing w:before="0" w:after="0"/>
        <w:ind w:left="0" w:hanging="2"/>
        <w:jc w:val="both"/>
        <w:rPr>
          <w:lang w:val="en-US"/>
        </w:rPr>
      </w:pPr>
      <w:bookmarkStart w:id="117" w:name="_heading=h.38czs75"/>
      <w:bookmarkEnd w:id="117"/>
      <w:r>
        <w:rPr>
          <w:bCs/>
          <w:szCs w:val="24"/>
          <w:lang w:val="en-US"/>
        </w:rPr>
        <w:t>6.4. Effectiveness analysis</w:t>
      </w:r>
    </w:p>
    <w:p w:rsidR="00361FBE" w:rsidRPr="00D57855" w:rsidRDefault="00361FBE">
      <w:pPr>
        <w:ind w:left="0" w:hanging="2"/>
        <w:rPr>
          <w:rFonts w:ascii="Times New Roman" w:eastAsia="Times New Roman" w:hAnsi="Times New Roman" w:cs="Times New Roman"/>
          <w:lang w:val="en-US"/>
        </w:rPr>
      </w:pPr>
    </w:p>
    <w:p w:rsidR="00361FBE" w:rsidRPr="00D57855" w:rsidRDefault="00D57855" w:rsidP="006A2ED7">
      <w:pPr>
        <w:spacing w:line="276" w:lineRule="auto"/>
        <w:ind w:leftChars="0" w:left="0" w:firstLineChars="0"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Vaccination effectiveness will be estimated using the mixed Poisson regression model, considering the group as a random effect (when applicable) and will be presented with its respective 95% confidence interval (95%CI). </w:t>
      </w:r>
    </w:p>
    <w:p w:rsidR="00361FBE" w:rsidRPr="00D57855" w:rsidRDefault="00361FBE">
      <w:pPr>
        <w:pStyle w:val="Ttulo2"/>
        <w:spacing w:before="0" w:after="0"/>
        <w:ind w:left="0" w:hanging="2"/>
        <w:jc w:val="both"/>
        <w:rPr>
          <w:lang w:val="en-US"/>
        </w:rPr>
      </w:pPr>
    </w:p>
    <w:p w:rsidR="00361FBE" w:rsidRPr="00D57855" w:rsidRDefault="00D57855">
      <w:pPr>
        <w:pStyle w:val="Ttulo2"/>
        <w:spacing w:before="0" w:after="0"/>
        <w:ind w:left="0" w:hanging="2"/>
        <w:jc w:val="both"/>
        <w:rPr>
          <w:lang w:val="en-US"/>
        </w:rPr>
      </w:pPr>
      <w:r>
        <w:rPr>
          <w:bCs/>
          <w:szCs w:val="24"/>
          <w:lang w:val="en-US"/>
        </w:rPr>
        <w:t>6.5. Missing data analysis</w:t>
      </w:r>
    </w:p>
    <w:p w:rsidR="00361FBE" w:rsidRPr="00D57855" w:rsidRDefault="00361FBE">
      <w:pPr>
        <w:spacing w:line="276" w:lineRule="auto"/>
        <w:ind w:left="0" w:hanging="2"/>
        <w:jc w:val="both"/>
        <w:rPr>
          <w:rFonts w:ascii="Times New Roman" w:eastAsia="Times New Roman" w:hAnsi="Times New Roman" w:cs="Times New Roman"/>
          <w:color w:val="000000"/>
          <w:lang w:val="en-US"/>
        </w:rPr>
      </w:pPr>
    </w:p>
    <w:p w:rsidR="00361FBE" w:rsidRPr="00D57855" w:rsidRDefault="00D57855" w:rsidP="006A2ED7">
      <w:pPr>
        <w:spacing w:line="276" w:lineRule="auto"/>
        <w:ind w:leftChars="0" w:left="0" w:firstLineChars="0" w:firstLine="72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Not applicable.</w:t>
      </w:r>
    </w:p>
    <w:p w:rsidR="00361FBE" w:rsidRPr="00D57855" w:rsidRDefault="00361FBE">
      <w:pPr>
        <w:pStyle w:val="Ttulo1"/>
        <w:spacing w:before="0" w:after="0"/>
        <w:ind w:left="0" w:hanging="2"/>
        <w:rPr>
          <w:lang w:val="en-US"/>
        </w:rPr>
      </w:pPr>
      <w:bookmarkStart w:id="118" w:name="_heading=h.79jpv737s2tn" w:colFirst="0" w:colLast="0"/>
      <w:bookmarkEnd w:id="118"/>
    </w:p>
    <w:p w:rsidR="00361FBE" w:rsidRDefault="00D57855">
      <w:pPr>
        <w:pStyle w:val="Ttulo1"/>
        <w:spacing w:before="0" w:after="0"/>
        <w:ind w:left="0" w:hanging="2"/>
      </w:pPr>
      <w:bookmarkStart w:id="119" w:name="_heading=h.1nia2ey"/>
      <w:bookmarkEnd w:id="119"/>
      <w:r>
        <w:rPr>
          <w:bCs/>
          <w:szCs w:val="24"/>
          <w:lang w:val="en-US"/>
        </w:rPr>
        <w:t>7. REFERENCES</w:t>
      </w:r>
    </w:p>
    <w:p w:rsidR="00361FBE" w:rsidRPr="006A2ED7" w:rsidRDefault="00361FBE">
      <w:pPr>
        <w:shd w:val="clear" w:color="auto" w:fill="FFFFFF"/>
        <w:spacing w:line="276" w:lineRule="auto"/>
        <w:ind w:left="0" w:hanging="2"/>
        <w:jc w:val="both"/>
        <w:rPr>
          <w:rFonts w:ascii="Times New Roman" w:eastAsia="Times New Roman" w:hAnsi="Times New Roman" w:cs="Times New Roman"/>
          <w:lang w:val="en-US"/>
        </w:rPr>
      </w:pPr>
    </w:p>
    <w:p w:rsidR="00361FBE" w:rsidRPr="006A2ED7" w:rsidRDefault="00D57855">
      <w:pP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lastRenderedPageBreak/>
        <w:t>R CORE TEAM. R: A language and environment for statistical computing. R Foundation for</w:t>
      </w:r>
    </w:p>
    <w:p w:rsidR="00361FBE" w:rsidRPr="00D57855" w:rsidRDefault="00D57855">
      <w:pP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Statistical Computing. Viena, 2022. Available at &lt;https://www.R-project.org/&gt;. Accessed on: 10</w:t>
      </w:r>
    </w:p>
    <w:p w:rsidR="00361FBE" w:rsidRPr="00D57855" w:rsidRDefault="00D57855">
      <w:pP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Mar. 2023.</w:t>
      </w:r>
    </w:p>
    <w:p w:rsidR="00361FBE" w:rsidRPr="00D57855" w:rsidRDefault="00361FBE">
      <w:pPr>
        <w:spacing w:line="276" w:lineRule="auto"/>
        <w:ind w:left="0" w:hanging="2"/>
        <w:jc w:val="both"/>
        <w:rPr>
          <w:rFonts w:ascii="Times New Roman" w:eastAsia="Times New Roman" w:hAnsi="Times New Roman" w:cs="Times New Roman"/>
          <w:lang w:val="en-US"/>
        </w:rPr>
      </w:pPr>
    </w:p>
    <w:p w:rsidR="00361FBE" w:rsidRPr="00D57855" w:rsidRDefault="00D57855">
      <w:pP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STATACORP. Stata Statistical Software: Release 16. College Station, TX: StataCorp LLC. 2019.</w:t>
      </w:r>
    </w:p>
    <w:p w:rsidR="00361FBE" w:rsidRPr="00D57855" w:rsidRDefault="00D57855">
      <w:pP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Available at &lt;https://www.stata.com/&gt;. Accessed on: 10 Mar. 2023.</w:t>
      </w:r>
    </w:p>
    <w:p w:rsidR="00361FBE" w:rsidRPr="00D57855" w:rsidRDefault="00361FBE">
      <w:pPr>
        <w:spacing w:line="276" w:lineRule="auto"/>
        <w:ind w:left="0" w:hanging="2"/>
        <w:jc w:val="both"/>
        <w:rPr>
          <w:rFonts w:ascii="Times New Roman" w:eastAsia="Times New Roman" w:hAnsi="Times New Roman" w:cs="Times New Roman"/>
          <w:lang w:val="en-US"/>
        </w:rPr>
      </w:pPr>
    </w:p>
    <w:p w:rsidR="00361FBE" w:rsidRPr="00D57855" w:rsidRDefault="00D57855">
      <w:pPr>
        <w:pStyle w:val="Ttulo1"/>
        <w:spacing w:before="0" w:after="0"/>
        <w:ind w:left="0" w:hanging="2"/>
        <w:rPr>
          <w:lang w:val="en-US"/>
        </w:rPr>
      </w:pPr>
      <w:bookmarkStart w:id="120" w:name="_heading=h.47hxl2r"/>
      <w:bookmarkEnd w:id="120"/>
      <w:r>
        <w:rPr>
          <w:bCs/>
          <w:szCs w:val="24"/>
          <w:lang w:val="en-US"/>
        </w:rPr>
        <w:t>8. ABBREVIATIONS AND ACRONYMS</w:t>
      </w:r>
    </w:p>
    <w:p w:rsidR="00361FBE" w:rsidRPr="00D57855" w:rsidRDefault="00361FBE">
      <w:pPr>
        <w:spacing w:line="276" w:lineRule="auto"/>
        <w:ind w:left="0" w:hanging="2"/>
        <w:rPr>
          <w:rFonts w:ascii="Times New Roman" w:eastAsia="Times New Roman" w:hAnsi="Times New Roman" w:cs="Times New Roman"/>
          <w:lang w:val="en-US"/>
        </w:rPr>
      </w:pPr>
    </w:p>
    <w:p w:rsidR="00361FBE" w:rsidRPr="00D57855" w:rsidRDefault="00D57855">
      <w:pP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CRF</w:t>
      </w:r>
      <w:r>
        <w:rPr>
          <w:rFonts w:ascii="Times New Roman" w:eastAsia="Times New Roman" w:hAnsi="Times New Roman" w:cs="Times New Roman"/>
          <w:lang w:val="en-US"/>
        </w:rPr>
        <w:tab/>
      </w:r>
      <w:r>
        <w:rPr>
          <w:rFonts w:ascii="Times New Roman" w:eastAsia="Times New Roman" w:hAnsi="Times New Roman" w:cs="Times New Roman"/>
          <w:lang w:val="en-US"/>
        </w:rPr>
        <w:tab/>
        <w:t>Case Report Form</w:t>
      </w:r>
    </w:p>
    <w:p w:rsidR="00361FBE" w:rsidRPr="00D57855" w:rsidRDefault="00361FBE">
      <w:pPr>
        <w:spacing w:line="276" w:lineRule="auto"/>
        <w:ind w:left="0" w:hanging="2"/>
        <w:jc w:val="both"/>
        <w:rPr>
          <w:rFonts w:ascii="Times New Roman" w:eastAsia="Times New Roman" w:hAnsi="Times New Roman" w:cs="Times New Roman"/>
          <w:lang w:val="en-US"/>
        </w:rPr>
      </w:pPr>
    </w:p>
    <w:p w:rsidR="00361FBE" w:rsidRPr="00D57855" w:rsidRDefault="00D57855">
      <w:pP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SAE</w:t>
      </w:r>
      <w:r>
        <w:rPr>
          <w:rFonts w:ascii="Times New Roman" w:eastAsia="Times New Roman" w:hAnsi="Times New Roman" w:cs="Times New Roman"/>
          <w:lang w:val="en-US"/>
        </w:rPr>
        <w:tab/>
      </w:r>
      <w:r>
        <w:rPr>
          <w:rFonts w:ascii="Times New Roman" w:eastAsia="Times New Roman" w:hAnsi="Times New Roman" w:cs="Times New Roman"/>
          <w:lang w:val="en-US"/>
        </w:rPr>
        <w:tab/>
        <w:t>Serious adverse event</w:t>
      </w:r>
    </w:p>
    <w:p w:rsidR="00361FBE" w:rsidRPr="00D57855" w:rsidRDefault="00361FBE">
      <w:pPr>
        <w:spacing w:line="276" w:lineRule="auto"/>
        <w:ind w:left="0" w:hanging="2"/>
        <w:jc w:val="both"/>
        <w:rPr>
          <w:rFonts w:ascii="Times New Roman" w:eastAsia="Times New Roman" w:hAnsi="Times New Roman" w:cs="Times New Roman"/>
          <w:lang w:val="en-US"/>
        </w:rPr>
      </w:pPr>
      <w:bookmarkStart w:id="121" w:name="_heading=h.qggnl5c7asfn" w:colFirst="0" w:colLast="0"/>
      <w:bookmarkEnd w:id="121"/>
    </w:p>
    <w:p w:rsidR="00361FBE" w:rsidRPr="00D57855" w:rsidRDefault="00D57855">
      <w:pPr>
        <w:spacing w:line="276" w:lineRule="auto"/>
        <w:ind w:left="0" w:hanging="2"/>
        <w:jc w:val="both"/>
        <w:rPr>
          <w:rFonts w:ascii="Times New Roman" w:eastAsia="Times New Roman" w:hAnsi="Times New Roman" w:cs="Times New Roman"/>
          <w:lang w:val="en-US"/>
        </w:rPr>
      </w:pPr>
      <w:bookmarkStart w:id="122" w:name="_heading=h.3ls5o66"/>
      <w:bookmarkEnd w:id="122"/>
      <w:r>
        <w:rPr>
          <w:rFonts w:ascii="Times New Roman" w:eastAsia="Times New Roman" w:hAnsi="Times New Roman" w:cs="Times New Roman"/>
          <w:lang w:val="en-US"/>
        </w:rPr>
        <w:t>AESI</w:t>
      </w:r>
      <w:r>
        <w:rPr>
          <w:rFonts w:ascii="Times New Roman" w:eastAsia="Times New Roman" w:hAnsi="Times New Roman" w:cs="Times New Roman"/>
          <w:lang w:val="en-US"/>
        </w:rPr>
        <w:tab/>
      </w:r>
      <w:r>
        <w:rPr>
          <w:rFonts w:ascii="Times New Roman" w:eastAsia="Times New Roman" w:hAnsi="Times New Roman" w:cs="Times New Roman"/>
          <w:lang w:val="en-US"/>
        </w:rPr>
        <w:tab/>
        <w:t>Adverse event of special interest</w:t>
      </w:r>
    </w:p>
    <w:p w:rsidR="00361FBE" w:rsidRPr="00D57855" w:rsidRDefault="00361FBE">
      <w:pPr>
        <w:spacing w:line="276" w:lineRule="auto"/>
        <w:ind w:left="0" w:hanging="2"/>
        <w:jc w:val="both"/>
        <w:rPr>
          <w:rFonts w:ascii="Times New Roman" w:eastAsia="Times New Roman" w:hAnsi="Times New Roman" w:cs="Times New Roman"/>
          <w:lang w:val="en-US"/>
        </w:rPr>
      </w:pPr>
    </w:p>
    <w:p w:rsidR="00361FBE" w:rsidRPr="00D57855" w:rsidRDefault="00D57855">
      <w:pP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IB</w:t>
      </w:r>
      <w:r>
        <w:rPr>
          <w:rFonts w:ascii="Times New Roman" w:eastAsia="Times New Roman" w:hAnsi="Times New Roman" w:cs="Times New Roman"/>
          <w:lang w:val="en-US"/>
        </w:rPr>
        <w:tab/>
      </w:r>
      <w:r>
        <w:rPr>
          <w:rFonts w:ascii="Times New Roman" w:eastAsia="Times New Roman" w:hAnsi="Times New Roman" w:cs="Times New Roman"/>
          <w:lang w:val="en-US"/>
        </w:rPr>
        <w:tab/>
        <w:t>Instituto Butantan</w:t>
      </w:r>
    </w:p>
    <w:p w:rsidR="00361FBE" w:rsidRPr="00D57855" w:rsidRDefault="00361FBE">
      <w:pPr>
        <w:spacing w:line="276" w:lineRule="auto"/>
        <w:ind w:left="0" w:hanging="2"/>
        <w:jc w:val="both"/>
        <w:rPr>
          <w:rFonts w:ascii="Times New Roman" w:eastAsia="Times New Roman" w:hAnsi="Times New Roman" w:cs="Times New Roman"/>
          <w:lang w:val="en-US"/>
        </w:rPr>
      </w:pPr>
      <w:bookmarkStart w:id="123" w:name="_heading=h.sf2ud39jagwu" w:colFirst="0" w:colLast="0"/>
      <w:bookmarkEnd w:id="123"/>
    </w:p>
    <w:p w:rsidR="00361FBE" w:rsidRPr="00D57855" w:rsidRDefault="00D57855">
      <w:pPr>
        <w:spacing w:line="276" w:lineRule="auto"/>
        <w:ind w:left="0" w:hanging="2"/>
        <w:jc w:val="both"/>
        <w:rPr>
          <w:rFonts w:ascii="Times New Roman" w:eastAsia="Times New Roman" w:hAnsi="Times New Roman" w:cs="Times New Roman"/>
          <w:lang w:val="en-US"/>
        </w:rPr>
      </w:pPr>
      <w:bookmarkStart w:id="124" w:name="_heading=h.1f7o1he"/>
      <w:bookmarkEnd w:id="124"/>
      <w:r>
        <w:rPr>
          <w:rFonts w:ascii="Times New Roman" w:eastAsia="Times New Roman" w:hAnsi="Times New Roman" w:cs="Times New Roman"/>
          <w:lang w:val="en-US"/>
        </w:rPr>
        <w:t>95%CI</w:t>
      </w:r>
      <w:r>
        <w:rPr>
          <w:rFonts w:ascii="Times New Roman" w:eastAsia="Times New Roman" w:hAnsi="Times New Roman" w:cs="Times New Roman"/>
          <w:lang w:val="en-US"/>
        </w:rPr>
        <w:tab/>
      </w:r>
      <w:r>
        <w:rPr>
          <w:rFonts w:ascii="Times New Roman" w:eastAsia="Times New Roman" w:hAnsi="Times New Roman" w:cs="Times New Roman"/>
          <w:lang w:val="en-US"/>
        </w:rPr>
        <w:tab/>
        <w:t>95% confidence interval</w:t>
      </w:r>
    </w:p>
    <w:p w:rsidR="00361FBE" w:rsidRPr="00D57855" w:rsidRDefault="00361FBE">
      <w:pPr>
        <w:spacing w:line="276" w:lineRule="auto"/>
        <w:ind w:left="0" w:hanging="2"/>
        <w:jc w:val="both"/>
        <w:rPr>
          <w:rFonts w:ascii="Times New Roman" w:eastAsia="Times New Roman" w:hAnsi="Times New Roman" w:cs="Times New Roman"/>
          <w:lang w:val="en-US"/>
        </w:rPr>
      </w:pPr>
      <w:bookmarkStart w:id="125" w:name="_heading=h.7yyb3zbn33l3" w:colFirst="0" w:colLast="0"/>
      <w:bookmarkEnd w:id="125"/>
    </w:p>
    <w:p w:rsidR="00361FBE" w:rsidRPr="00D57855" w:rsidRDefault="00D57855">
      <w:pPr>
        <w:spacing w:line="276" w:lineRule="auto"/>
        <w:ind w:left="0" w:hanging="2"/>
        <w:jc w:val="both"/>
        <w:rPr>
          <w:rFonts w:ascii="Times New Roman" w:eastAsia="Times New Roman" w:hAnsi="Times New Roman" w:cs="Times New Roman"/>
          <w:lang w:val="en-US"/>
        </w:rPr>
      </w:pPr>
      <w:bookmarkStart w:id="126" w:name="_heading=h.xykbeo7kh318"/>
      <w:bookmarkEnd w:id="126"/>
      <w:r>
        <w:rPr>
          <w:rFonts w:ascii="Times New Roman" w:eastAsia="Times New Roman" w:hAnsi="Times New Roman" w:cs="Times New Roman"/>
          <w:lang w:val="en-US"/>
        </w:rPr>
        <w:t>ITT</w:t>
      </w:r>
      <w:r>
        <w:rPr>
          <w:rFonts w:ascii="Times New Roman" w:eastAsia="Times New Roman" w:hAnsi="Times New Roman" w:cs="Times New Roman"/>
          <w:lang w:val="en-US"/>
        </w:rPr>
        <w:tab/>
      </w:r>
      <w:r>
        <w:rPr>
          <w:rFonts w:ascii="Times New Roman" w:eastAsia="Times New Roman" w:hAnsi="Times New Roman" w:cs="Times New Roman"/>
          <w:lang w:val="en-US"/>
        </w:rPr>
        <w:tab/>
        <w:t>Intention-to-Treat</w:t>
      </w:r>
    </w:p>
    <w:p w:rsidR="00361FBE" w:rsidRPr="00D57855" w:rsidRDefault="00361FBE">
      <w:pPr>
        <w:spacing w:line="276" w:lineRule="auto"/>
        <w:ind w:left="0" w:hanging="2"/>
        <w:jc w:val="both"/>
        <w:rPr>
          <w:rFonts w:ascii="Times New Roman" w:eastAsia="Times New Roman" w:hAnsi="Times New Roman" w:cs="Times New Roman"/>
          <w:lang w:val="en-US"/>
        </w:rPr>
      </w:pPr>
    </w:p>
    <w:p w:rsidR="00361FBE" w:rsidRPr="00D57855" w:rsidRDefault="00D57855">
      <w:pPr>
        <w:spacing w:line="276" w:lineRule="auto"/>
        <w:ind w:left="0" w:hanging="2"/>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MedDra</w:t>
      </w:r>
      <w:proofErr w:type="spellEnd"/>
      <w:r>
        <w:rPr>
          <w:rFonts w:ascii="Times New Roman" w:eastAsia="Times New Roman" w:hAnsi="Times New Roman" w:cs="Times New Roman"/>
          <w:lang w:val="en-US"/>
        </w:rPr>
        <w:tab/>
        <w:t>Medical dictionary for regulatory activities</w:t>
      </w:r>
    </w:p>
    <w:p w:rsidR="00361FBE" w:rsidRPr="00D57855" w:rsidRDefault="00361FBE">
      <w:pPr>
        <w:spacing w:line="276" w:lineRule="auto"/>
        <w:ind w:left="0" w:hanging="2"/>
        <w:jc w:val="both"/>
        <w:rPr>
          <w:rFonts w:ascii="Times New Roman" w:eastAsia="Times New Roman" w:hAnsi="Times New Roman" w:cs="Times New Roman"/>
          <w:lang w:val="en-US"/>
        </w:rPr>
      </w:pPr>
    </w:p>
    <w:p w:rsidR="00361FBE" w:rsidRPr="00D57855" w:rsidRDefault="00D57855">
      <w:pP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WHO</w:t>
      </w:r>
      <w:r>
        <w:rPr>
          <w:rFonts w:ascii="Times New Roman" w:eastAsia="Times New Roman" w:hAnsi="Times New Roman" w:cs="Times New Roman"/>
          <w:lang w:val="en-US"/>
        </w:rPr>
        <w:tab/>
      </w:r>
      <w:r>
        <w:rPr>
          <w:rFonts w:ascii="Times New Roman" w:eastAsia="Times New Roman" w:hAnsi="Times New Roman" w:cs="Times New Roman"/>
          <w:lang w:val="en-US"/>
        </w:rPr>
        <w:tab/>
        <w:t>World Health Organization</w:t>
      </w:r>
    </w:p>
    <w:p w:rsidR="00361FBE" w:rsidRPr="00D57855" w:rsidRDefault="00361FBE">
      <w:pPr>
        <w:spacing w:line="276" w:lineRule="auto"/>
        <w:ind w:left="0" w:hanging="2"/>
        <w:jc w:val="both"/>
        <w:rPr>
          <w:rFonts w:ascii="Times New Roman" w:eastAsia="Times New Roman" w:hAnsi="Times New Roman" w:cs="Times New Roman"/>
          <w:lang w:val="en-US"/>
        </w:rPr>
      </w:pPr>
      <w:bookmarkStart w:id="127" w:name="_heading=h.8refaw92h3i1" w:colFirst="0" w:colLast="0"/>
      <w:bookmarkEnd w:id="127"/>
    </w:p>
    <w:p w:rsidR="00361FBE" w:rsidRPr="00D57855" w:rsidRDefault="00D57855">
      <w:pPr>
        <w:spacing w:line="276" w:lineRule="auto"/>
        <w:ind w:left="0" w:hanging="2"/>
        <w:jc w:val="both"/>
        <w:rPr>
          <w:rFonts w:ascii="Times New Roman" w:eastAsia="Times New Roman" w:hAnsi="Times New Roman" w:cs="Times New Roman"/>
          <w:lang w:val="en-US"/>
        </w:rPr>
      </w:pPr>
      <w:bookmarkStart w:id="128" w:name="_heading=h.2eclud0"/>
      <w:bookmarkEnd w:id="128"/>
      <w:r>
        <w:rPr>
          <w:rFonts w:ascii="Times New Roman" w:eastAsia="Times New Roman" w:hAnsi="Times New Roman" w:cs="Times New Roman"/>
          <w:lang w:val="en-US"/>
        </w:rPr>
        <w:t xml:space="preserve">SAP   </w:t>
      </w:r>
      <w:r>
        <w:rPr>
          <w:rFonts w:ascii="Times New Roman" w:eastAsia="Times New Roman" w:hAnsi="Times New Roman" w:cs="Times New Roman"/>
          <w:lang w:val="en-US"/>
        </w:rPr>
        <w:tab/>
      </w:r>
      <w:r>
        <w:rPr>
          <w:rFonts w:ascii="Times New Roman" w:eastAsia="Times New Roman" w:hAnsi="Times New Roman" w:cs="Times New Roman"/>
          <w:lang w:val="en-US"/>
        </w:rPr>
        <w:tab/>
        <w:t>Statistical analysis plan</w:t>
      </w:r>
    </w:p>
    <w:p w:rsidR="00361FBE" w:rsidRPr="00D57855" w:rsidRDefault="00361FBE">
      <w:pPr>
        <w:spacing w:line="276" w:lineRule="auto"/>
        <w:ind w:left="0" w:hanging="2"/>
        <w:jc w:val="both"/>
        <w:rPr>
          <w:rFonts w:ascii="Times New Roman" w:eastAsia="Times New Roman" w:hAnsi="Times New Roman" w:cs="Times New Roman"/>
          <w:lang w:val="en-US"/>
        </w:rPr>
      </w:pPr>
      <w:bookmarkStart w:id="129" w:name="_heading=h.h1itquycfiat" w:colFirst="0" w:colLast="0"/>
      <w:bookmarkEnd w:id="129"/>
    </w:p>
    <w:p w:rsidR="00361FBE" w:rsidRPr="00D57855" w:rsidRDefault="00D57855">
      <w:pPr>
        <w:spacing w:line="276" w:lineRule="auto"/>
        <w:ind w:left="0" w:hanging="2"/>
        <w:jc w:val="both"/>
        <w:rPr>
          <w:rFonts w:ascii="Times New Roman" w:eastAsia="Times New Roman" w:hAnsi="Times New Roman" w:cs="Times New Roman"/>
          <w:lang w:val="en-US"/>
        </w:rPr>
      </w:pPr>
      <w:bookmarkStart w:id="130" w:name="_heading=h.thw4kt"/>
      <w:bookmarkEnd w:id="130"/>
      <w:r>
        <w:rPr>
          <w:rFonts w:ascii="Times New Roman" w:eastAsia="Times New Roman" w:hAnsi="Times New Roman" w:cs="Times New Roman"/>
          <w:lang w:val="en-US"/>
        </w:rPr>
        <w:t>PP</w:t>
      </w:r>
      <w:r>
        <w:rPr>
          <w:rFonts w:ascii="Times New Roman" w:eastAsia="Times New Roman" w:hAnsi="Times New Roman" w:cs="Times New Roman"/>
          <w:lang w:val="en-US"/>
        </w:rPr>
        <w:tab/>
      </w:r>
      <w:r>
        <w:rPr>
          <w:rFonts w:ascii="Times New Roman" w:eastAsia="Times New Roman" w:hAnsi="Times New Roman" w:cs="Times New Roman"/>
          <w:lang w:val="en-US"/>
        </w:rPr>
        <w:tab/>
        <w:t>Per-Protocol</w:t>
      </w:r>
    </w:p>
    <w:p w:rsidR="00361FBE" w:rsidRPr="00D57855" w:rsidRDefault="00361FBE">
      <w:pPr>
        <w:spacing w:line="276" w:lineRule="auto"/>
        <w:ind w:left="0" w:hanging="2"/>
        <w:jc w:val="both"/>
        <w:rPr>
          <w:rFonts w:ascii="Times New Roman" w:eastAsia="Times New Roman" w:hAnsi="Times New Roman" w:cs="Times New Roman"/>
          <w:color w:val="000000"/>
          <w:lang w:val="en-US"/>
        </w:rPr>
      </w:pPr>
    </w:p>
    <w:p w:rsidR="00361FBE" w:rsidRPr="00D57855" w:rsidRDefault="00D57855">
      <w:pP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color w:val="000000"/>
          <w:lang w:val="en-US"/>
        </w:rPr>
        <w:t>PT</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Preferred term</w:t>
      </w:r>
    </w:p>
    <w:p w:rsidR="00361FBE" w:rsidRPr="00D57855" w:rsidRDefault="00361FBE">
      <w:pPr>
        <w:spacing w:line="276" w:lineRule="auto"/>
        <w:ind w:left="0" w:hanging="2"/>
        <w:jc w:val="both"/>
        <w:rPr>
          <w:rFonts w:ascii="Times New Roman" w:eastAsia="Times New Roman" w:hAnsi="Times New Roman" w:cs="Times New Roman"/>
          <w:lang w:val="en-US"/>
        </w:rPr>
      </w:pPr>
    </w:p>
    <w:p w:rsidR="00361FBE" w:rsidRPr="00D57855" w:rsidRDefault="00D57855">
      <w:pPr>
        <w:spacing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SOC</w:t>
      </w:r>
      <w:r>
        <w:rPr>
          <w:rFonts w:ascii="Times New Roman" w:eastAsia="Times New Roman" w:hAnsi="Times New Roman" w:cs="Times New Roman"/>
          <w:lang w:val="en-US"/>
        </w:rPr>
        <w:tab/>
      </w:r>
      <w:r>
        <w:rPr>
          <w:rFonts w:ascii="Times New Roman" w:eastAsia="Times New Roman" w:hAnsi="Times New Roman" w:cs="Times New Roman"/>
          <w:lang w:val="en-US"/>
        </w:rPr>
        <w:tab/>
        <w:t>System Organ Class</w:t>
      </w:r>
    </w:p>
    <w:p w:rsidR="00361FBE" w:rsidRPr="00D57855" w:rsidRDefault="00361FBE">
      <w:pPr>
        <w:spacing w:line="276" w:lineRule="auto"/>
        <w:ind w:left="0" w:hanging="2"/>
        <w:jc w:val="both"/>
        <w:rPr>
          <w:rFonts w:ascii="Times New Roman" w:eastAsia="Times New Roman" w:hAnsi="Times New Roman" w:cs="Times New Roman"/>
          <w:lang w:val="en-US"/>
        </w:rPr>
      </w:pPr>
    </w:p>
    <w:p w:rsidR="00361FBE" w:rsidRPr="00D57855" w:rsidRDefault="00D57855" w:rsidP="00D57855">
      <w:pPr>
        <w:spacing w:after="240" w:line="276"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lang w:val="en-US"/>
        </w:rPr>
        <w:t>SP</w:t>
      </w:r>
      <w:r>
        <w:rPr>
          <w:rFonts w:ascii="Times New Roman" w:eastAsia="Times New Roman" w:hAnsi="Times New Roman" w:cs="Times New Roman"/>
          <w:lang w:val="en-US"/>
        </w:rPr>
        <w:tab/>
      </w:r>
      <w:r>
        <w:rPr>
          <w:rFonts w:ascii="Times New Roman" w:eastAsia="Times New Roman" w:hAnsi="Times New Roman" w:cs="Times New Roman"/>
          <w:lang w:val="en-US"/>
        </w:rPr>
        <w:tab/>
        <w:t>São Paulo</w:t>
      </w:r>
    </w:p>
    <w:p w:rsidR="00361FBE" w:rsidRDefault="00D57855" w:rsidP="00D57855">
      <w:p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lang w:val="en-US"/>
        </w:rPr>
        <w:t>ICF</w:t>
      </w:r>
      <w:r>
        <w:rPr>
          <w:rFonts w:ascii="Times New Roman" w:eastAsia="Times New Roman" w:hAnsi="Times New Roman" w:cs="Times New Roman"/>
          <w:lang w:val="en-US"/>
        </w:rPr>
        <w:tab/>
      </w:r>
      <w:r>
        <w:rPr>
          <w:rFonts w:ascii="Times New Roman" w:eastAsia="Times New Roman" w:hAnsi="Times New Roman" w:cs="Times New Roman"/>
          <w:lang w:val="en-US"/>
        </w:rPr>
        <w:tab/>
        <w:t>Informed Consent Form</w:t>
      </w:r>
    </w:p>
    <w:sectPr w:rsidR="00361FBE">
      <w:headerReference w:type="default" r:id="rId17"/>
      <w:pgSz w:w="11907" w:h="16840"/>
      <w:pgMar w:top="2110" w:right="1134" w:bottom="1134" w:left="1133" w:header="113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56E" w:rsidRDefault="005E356E">
      <w:pPr>
        <w:spacing w:line="240" w:lineRule="auto"/>
        <w:ind w:left="0" w:hanging="2"/>
      </w:pPr>
      <w:r>
        <w:separator/>
      </w:r>
    </w:p>
  </w:endnote>
  <w:endnote w:type="continuationSeparator" w:id="0">
    <w:p w:rsidR="005E356E" w:rsidRDefault="005E356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Liberation Serif">
    <w:altName w:val="Times New Roman"/>
    <w:panose1 w:val="020B0604020202020204"/>
    <w:charset w:val="00"/>
    <w:family w:val="auto"/>
    <w:pitch w:val="default"/>
  </w:font>
  <w:font w:name="Mangal">
    <w:panose1 w:val="02040503050203030202"/>
    <w:charset w:val="01"/>
    <w:family w:val="roman"/>
    <w:notTrueType/>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Liberation Sans">
    <w:altName w:val="Arial"/>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FBE" w:rsidRDefault="00361FBE">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FBE" w:rsidRDefault="00361FBE">
    <w:pPr>
      <w:pBdr>
        <w:top w:val="nil"/>
        <w:left w:val="nil"/>
        <w:bottom w:val="nil"/>
        <w:right w:val="nil"/>
        <w:between w:val="nil"/>
      </w:pBdr>
      <w:spacing w:line="240" w:lineRule="auto"/>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FBE" w:rsidRDefault="00361FBE">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56E" w:rsidRDefault="005E356E">
      <w:pPr>
        <w:spacing w:line="240" w:lineRule="auto"/>
        <w:ind w:left="0" w:hanging="2"/>
      </w:pPr>
      <w:r>
        <w:separator/>
      </w:r>
    </w:p>
  </w:footnote>
  <w:footnote w:type="continuationSeparator" w:id="0">
    <w:p w:rsidR="005E356E" w:rsidRDefault="005E356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FBE" w:rsidRDefault="00361FBE">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FBE" w:rsidRDefault="00361FBE">
    <w:pPr>
      <w:pBdr>
        <w:top w:val="nil"/>
        <w:left w:val="nil"/>
        <w:bottom w:val="nil"/>
        <w:right w:val="nil"/>
        <w:between w:val="nil"/>
      </w:pBdr>
      <w:spacing w:line="240" w:lineRule="aut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FBE" w:rsidRDefault="00361FBE">
    <w:pPr>
      <w:pBdr>
        <w:top w:val="nil"/>
        <w:left w:val="nil"/>
        <w:bottom w:val="nil"/>
        <w:right w:val="nil"/>
        <w:between w:val="nil"/>
      </w:pBdr>
      <w:spacing w:line="240" w:lineRule="auto"/>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FBE" w:rsidRPr="00D57855" w:rsidRDefault="00D57855">
    <w:pPr>
      <w:tabs>
        <w:tab w:val="center" w:pos="5103"/>
      </w:tabs>
      <w:ind w:left="0" w:hanging="2"/>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COV-04-IB</w:t>
    </w:r>
    <w:r>
      <w:rPr>
        <w:rFonts w:ascii="Times New Roman" w:eastAsia="Times New Roman" w:hAnsi="Times New Roman" w:cs="Times New Roman"/>
        <w:color w:val="000000"/>
        <w:sz w:val="20"/>
        <w:szCs w:val="20"/>
        <w:lang w:val="en-US"/>
      </w:rPr>
      <w:tab/>
    </w:r>
    <w:r>
      <w:rPr>
        <w:noProof/>
      </w:rPr>
      <w:drawing>
        <wp:anchor distT="0" distB="0" distL="114300" distR="114300" simplePos="0" relativeHeight="251658240" behindDoc="0" locked="0" layoutInCell="1" allowOverlap="1">
          <wp:simplePos x="0" y="0"/>
          <wp:positionH relativeFrom="column">
            <wp:posOffset>4798695</wp:posOffset>
          </wp:positionH>
          <wp:positionV relativeFrom="paragraph">
            <wp:posOffset>-8253</wp:posOffset>
          </wp:positionV>
          <wp:extent cx="1343025" cy="431800"/>
          <wp:effectExtent l="0" t="0" r="0" b="0"/>
          <wp:wrapSquare wrapText="bothSides"/>
          <wp:docPr id="1301517073" name="image1.png"/>
          <wp:cNvGraphicFramePr/>
          <a:graphic xmlns:a="http://schemas.openxmlformats.org/drawingml/2006/main">
            <a:graphicData uri="http://schemas.openxmlformats.org/drawingml/2006/picture">
              <pic:pic xmlns:pic="http://schemas.openxmlformats.org/drawingml/2006/picture">
                <pic:nvPicPr>
                  <pic:cNvPr id="1663069763" name="image1.png"/>
                  <pic:cNvPicPr/>
                </pic:nvPicPr>
                <pic:blipFill>
                  <a:blip r:embed="rId1"/>
                  <a:stretch>
                    <a:fillRect/>
                  </a:stretch>
                </pic:blipFill>
                <pic:spPr>
                  <a:xfrm>
                    <a:off x="0" y="0"/>
                    <a:ext cx="1343025" cy="431800"/>
                  </a:xfrm>
                  <a:prstGeom prst="rect">
                    <a:avLst/>
                  </a:prstGeom>
                </pic:spPr>
              </pic:pic>
            </a:graphicData>
          </a:graphic>
        </wp:anchor>
      </w:drawing>
    </w:r>
  </w:p>
  <w:p w:rsidR="00361FBE" w:rsidRPr="00D57855" w:rsidRDefault="00D57855">
    <w:pPr>
      <w:tabs>
        <w:tab w:val="center" w:pos="5103"/>
      </w:tabs>
      <w:ind w:left="0" w:hanging="2"/>
      <w:rPr>
        <w:lang w:val="en-US"/>
      </w:rPr>
    </w:pPr>
    <w:r>
      <w:rPr>
        <w:rFonts w:ascii="Times New Roman" w:eastAsia="Times New Roman" w:hAnsi="Times New Roman" w:cs="Times New Roman"/>
        <w:color w:val="000000"/>
        <w:sz w:val="20"/>
        <w:szCs w:val="20"/>
        <w:lang w:val="en-US"/>
      </w:rPr>
      <w:t>Version 1.0 of 06-Jul-2023</w:t>
    </w:r>
    <w:r>
      <w:rPr>
        <w:rFonts w:ascii="Times New Roman" w:eastAsia="Times New Roman" w:hAnsi="Times New Roman" w:cs="Times New Roman"/>
        <w:color w:val="0070C0"/>
        <w:sz w:val="20"/>
        <w:szCs w:val="20"/>
        <w:lang w:val="en-US"/>
      </w:rPr>
      <w:tab/>
    </w:r>
    <w:r>
      <w:rPr>
        <w:rFonts w:ascii="Times New Roman" w:eastAsia="Times New Roman" w:hAnsi="Times New Roman" w:cs="Times New Roman"/>
        <w:color w:val="000000"/>
        <w:sz w:val="20"/>
        <w:szCs w:val="20"/>
        <w:lang w:val="en-US"/>
      </w:rPr>
      <w:t>Statistical analysis plan</w:t>
    </w:r>
  </w:p>
  <w:p w:rsidR="00361FBE" w:rsidRDefault="00D57855">
    <w:pPr>
      <w:tabs>
        <w:tab w:val="center" w:pos="5103"/>
      </w:tabs>
      <w:ind w:left="0" w:hanging="2"/>
    </w:pPr>
    <w:r>
      <w:rPr>
        <w:rFonts w:ascii="Times New Roman" w:eastAsia="Times New Roman" w:hAnsi="Times New Roman" w:cs="Times New Roman"/>
        <w:color w:val="000000"/>
        <w:sz w:val="20"/>
        <w:szCs w:val="20"/>
        <w:lang w:val="en-US"/>
      </w:rPr>
      <w:t xml:space="preserve">Page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Pr>
        <w:rFonts w:ascii="Times New Roman" w:eastAsia="Times New Roman" w:hAnsi="Times New Roman" w:cs="Times New Roman"/>
        <w:noProof/>
        <w:sz w:val="20"/>
        <w:szCs w:val="20"/>
      </w:rPr>
      <w:t>4</w:t>
    </w:r>
    <w:r>
      <w:rPr>
        <w:rFonts w:ascii="Times New Roman" w:eastAsia="Times New Roman" w:hAnsi="Times New Roman" w:cs="Times New Roman"/>
        <w:sz w:val="20"/>
        <w:szCs w:val="20"/>
      </w:rPr>
      <w:fldChar w:fldCharType="end"/>
    </w:r>
    <w:r>
      <w:rPr>
        <w:rFonts w:ascii="Times New Roman" w:eastAsia="Times New Roman" w:hAnsi="Times New Roman" w:cs="Times New Roman"/>
        <w:color w:val="000000"/>
        <w:sz w:val="20"/>
        <w:szCs w:val="20"/>
        <w:lang w:val="en-US"/>
      </w:rPr>
      <w:t xml:space="preserve">of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NUMPAGES</w:instrText>
    </w:r>
    <w:r>
      <w:rPr>
        <w:rFonts w:ascii="Times New Roman" w:eastAsia="Times New Roman" w:hAnsi="Times New Roman" w:cs="Times New Roman"/>
        <w:sz w:val="20"/>
        <w:szCs w:val="20"/>
      </w:rPr>
      <w:fldChar w:fldCharType="separate"/>
    </w:r>
    <w:r>
      <w:rPr>
        <w:rFonts w:ascii="Times New Roman" w:eastAsia="Times New Roman" w:hAnsi="Times New Roman" w:cs="Times New Roman"/>
        <w:noProof/>
        <w:sz w:val="20"/>
        <w:szCs w:val="20"/>
      </w:rPr>
      <w:t>14</w:t>
    </w:r>
    <w:r>
      <w:rPr>
        <w:rFonts w:ascii="Times New Roman" w:eastAsia="Times New Roman" w:hAnsi="Times New Roman" w:cs="Times New Roman"/>
        <w:sz w:val="20"/>
        <w:szCs w:val="20"/>
      </w:rPr>
      <w:fldChar w:fldCharType="end"/>
    </w:r>
    <w:r>
      <w:rPr>
        <w:rFonts w:ascii="Times New Roman" w:eastAsia="Times New Roman" w:hAnsi="Times New Roman" w:cs="Times New Roman"/>
        <w:color w:val="000000"/>
        <w:sz w:val="20"/>
        <w:szCs w:val="20"/>
        <w:lang w:val="en-US"/>
      </w:rPr>
      <w:tab/>
    </w:r>
  </w:p>
  <w:p w:rsidR="00361FBE" w:rsidRDefault="00361FBE">
    <w:pPr>
      <w:pBdr>
        <w:bottom w:val="single" w:sz="4" w:space="1" w:color="000001"/>
      </w:pBdr>
      <w:tabs>
        <w:tab w:val="center" w:pos="5103"/>
      </w:tabs>
      <w:ind w:left="-2" w:firstLine="0"/>
      <w:rPr>
        <w:rFonts w:ascii="Calibri" w:eastAsia="Calibri" w:hAnsi="Calibri" w:cs="Calibri"/>
        <w:color w:val="000000"/>
        <w:sz w:val="2"/>
        <w:szCs w:val="2"/>
      </w:rPr>
    </w:pPr>
  </w:p>
  <w:p w:rsidR="00361FBE" w:rsidRDefault="00361FBE">
    <w:pP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A1943"/>
    <w:multiLevelType w:val="multilevel"/>
    <w:tmpl w:val="8AF69C0C"/>
    <w:lvl w:ilvl="0">
      <w:start w:val="1"/>
      <w:numFmt w:val="lowerRoman"/>
      <w:lvlText w:val="%1."/>
      <w:lvlJc w:val="righ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 w15:restartNumberingAfterBreak="0">
    <w:nsid w:val="1F3B514A"/>
    <w:multiLevelType w:val="multilevel"/>
    <w:tmpl w:val="AC50F1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F6C7243"/>
    <w:multiLevelType w:val="multilevel"/>
    <w:tmpl w:val="ACF23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B45B62"/>
    <w:multiLevelType w:val="multilevel"/>
    <w:tmpl w:val="2416B4F6"/>
    <w:lvl w:ilvl="0">
      <w:start w:val="1"/>
      <w:numFmt w:val="bullet"/>
      <w:lvlText w:val="●"/>
      <w:lvlJc w:val="left"/>
      <w:pPr>
        <w:ind w:left="1297" w:hanging="360"/>
      </w:pPr>
      <w:rPr>
        <w:rFonts w:ascii="Noto Sans" w:eastAsia="Noto Sans" w:hAnsi="Noto Sans" w:cs="Noto Sans"/>
        <w:vertAlign w:val="baseline"/>
      </w:rPr>
    </w:lvl>
    <w:lvl w:ilvl="1">
      <w:start w:val="1"/>
      <w:numFmt w:val="bullet"/>
      <w:lvlText w:val="o"/>
      <w:lvlJc w:val="left"/>
      <w:pPr>
        <w:ind w:left="2017" w:hanging="360"/>
      </w:pPr>
      <w:rPr>
        <w:rFonts w:ascii="Courier New" w:eastAsia="Courier New" w:hAnsi="Courier New" w:cs="Courier New"/>
        <w:vertAlign w:val="baseline"/>
      </w:rPr>
    </w:lvl>
    <w:lvl w:ilvl="2">
      <w:start w:val="1"/>
      <w:numFmt w:val="bullet"/>
      <w:lvlText w:val="▪"/>
      <w:lvlJc w:val="left"/>
      <w:pPr>
        <w:ind w:left="2737" w:hanging="360"/>
      </w:pPr>
      <w:rPr>
        <w:rFonts w:ascii="Noto Sans" w:eastAsia="Noto Sans" w:hAnsi="Noto Sans" w:cs="Noto Sans"/>
        <w:vertAlign w:val="baseline"/>
      </w:rPr>
    </w:lvl>
    <w:lvl w:ilvl="3">
      <w:start w:val="1"/>
      <w:numFmt w:val="bullet"/>
      <w:lvlText w:val="●"/>
      <w:lvlJc w:val="left"/>
      <w:pPr>
        <w:ind w:left="3457" w:hanging="360"/>
      </w:pPr>
      <w:rPr>
        <w:rFonts w:ascii="Noto Sans" w:eastAsia="Noto Sans" w:hAnsi="Noto Sans" w:cs="Noto Sans"/>
        <w:vertAlign w:val="baseline"/>
      </w:rPr>
    </w:lvl>
    <w:lvl w:ilvl="4">
      <w:start w:val="1"/>
      <w:numFmt w:val="bullet"/>
      <w:lvlText w:val="o"/>
      <w:lvlJc w:val="left"/>
      <w:pPr>
        <w:ind w:left="4177" w:hanging="360"/>
      </w:pPr>
      <w:rPr>
        <w:rFonts w:ascii="Courier New" w:eastAsia="Courier New" w:hAnsi="Courier New" w:cs="Courier New"/>
        <w:vertAlign w:val="baseline"/>
      </w:rPr>
    </w:lvl>
    <w:lvl w:ilvl="5">
      <w:start w:val="1"/>
      <w:numFmt w:val="bullet"/>
      <w:lvlText w:val="▪"/>
      <w:lvlJc w:val="left"/>
      <w:pPr>
        <w:ind w:left="4897" w:hanging="360"/>
      </w:pPr>
      <w:rPr>
        <w:rFonts w:ascii="Noto Sans" w:eastAsia="Noto Sans" w:hAnsi="Noto Sans" w:cs="Noto Sans"/>
        <w:vertAlign w:val="baseline"/>
      </w:rPr>
    </w:lvl>
    <w:lvl w:ilvl="6">
      <w:start w:val="1"/>
      <w:numFmt w:val="bullet"/>
      <w:lvlText w:val="●"/>
      <w:lvlJc w:val="left"/>
      <w:pPr>
        <w:ind w:left="5617" w:hanging="360"/>
      </w:pPr>
      <w:rPr>
        <w:rFonts w:ascii="Noto Sans" w:eastAsia="Noto Sans" w:hAnsi="Noto Sans" w:cs="Noto Sans"/>
        <w:vertAlign w:val="baseline"/>
      </w:rPr>
    </w:lvl>
    <w:lvl w:ilvl="7">
      <w:start w:val="1"/>
      <w:numFmt w:val="bullet"/>
      <w:lvlText w:val="o"/>
      <w:lvlJc w:val="left"/>
      <w:pPr>
        <w:ind w:left="6337" w:hanging="360"/>
      </w:pPr>
      <w:rPr>
        <w:rFonts w:ascii="Courier New" w:eastAsia="Courier New" w:hAnsi="Courier New" w:cs="Courier New"/>
        <w:vertAlign w:val="baseline"/>
      </w:rPr>
    </w:lvl>
    <w:lvl w:ilvl="8">
      <w:start w:val="1"/>
      <w:numFmt w:val="bullet"/>
      <w:lvlText w:val="▪"/>
      <w:lvlJc w:val="left"/>
      <w:pPr>
        <w:ind w:left="7057" w:hanging="360"/>
      </w:pPr>
      <w:rPr>
        <w:rFonts w:ascii="Noto Sans" w:eastAsia="Noto Sans" w:hAnsi="Noto Sans" w:cs="Noto Sans"/>
        <w:vertAlign w:val="baseline"/>
      </w:rPr>
    </w:lvl>
  </w:abstractNum>
  <w:abstractNum w:abstractNumId="4" w15:restartNumberingAfterBreak="0">
    <w:nsid w:val="788E32AD"/>
    <w:multiLevelType w:val="multilevel"/>
    <w:tmpl w:val="87AE884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F634913"/>
    <w:multiLevelType w:val="multilevel"/>
    <w:tmpl w:val="59FED14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1466540">
    <w:abstractNumId w:val="4"/>
  </w:num>
  <w:num w:numId="2" w16cid:durableId="1248419682">
    <w:abstractNumId w:val="5"/>
  </w:num>
  <w:num w:numId="3" w16cid:durableId="1126584448">
    <w:abstractNumId w:val="2"/>
  </w:num>
  <w:num w:numId="4" w16cid:durableId="1301229338">
    <w:abstractNumId w:val="0"/>
  </w:num>
  <w:num w:numId="5" w16cid:durableId="1105147976">
    <w:abstractNumId w:val="1"/>
  </w:num>
  <w:num w:numId="6" w16cid:durableId="4665829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FBE"/>
    <w:rsid w:val="00000D32"/>
    <w:rsid w:val="000978BD"/>
    <w:rsid w:val="003434E6"/>
    <w:rsid w:val="00361FBE"/>
    <w:rsid w:val="005E356E"/>
    <w:rsid w:val="006A2ED7"/>
    <w:rsid w:val="00721969"/>
    <w:rsid w:val="00744CCE"/>
    <w:rsid w:val="0085688A"/>
    <w:rsid w:val="00876360"/>
    <w:rsid w:val="008B562F"/>
    <w:rsid w:val="00AB5353"/>
    <w:rsid w:val="00B616BF"/>
    <w:rsid w:val="00BA6462"/>
    <w:rsid w:val="00BB1B43"/>
    <w:rsid w:val="00C65657"/>
    <w:rsid w:val="00CB4726"/>
    <w:rsid w:val="00D57855"/>
    <w:rsid w:val="00E67CC2"/>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0EA2"/>
  <w15:docId w15:val="{73607FE0-26DD-4B5A-8976-001E4C815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color w:val="00000A"/>
        <w:sz w:val="24"/>
        <w:szCs w:val="24"/>
        <w:lang w:val="pt-BR" w:eastAsia="pt-B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Ttulo1">
    <w:name w:val="heading 1"/>
    <w:basedOn w:val="Normal"/>
    <w:next w:val="Normal"/>
    <w:uiPriority w:val="9"/>
    <w:qFormat/>
    <w:rsid w:val="001F3845"/>
    <w:pPr>
      <w:keepNext/>
      <w:keepLines/>
      <w:spacing w:before="240" w:after="120" w:line="276" w:lineRule="auto"/>
    </w:pPr>
    <w:rPr>
      <w:rFonts w:ascii="Times New Roman" w:eastAsia="Times New Roman" w:hAnsi="Times New Roman" w:cs="Mangal"/>
      <w:b/>
      <w:color w:val="auto"/>
      <w:szCs w:val="29"/>
      <w:lang w:val="en-GB"/>
    </w:rPr>
  </w:style>
  <w:style w:type="paragraph" w:styleId="Ttulo2">
    <w:name w:val="heading 2"/>
    <w:basedOn w:val="Normal"/>
    <w:next w:val="Normal"/>
    <w:uiPriority w:val="9"/>
    <w:unhideWhenUsed/>
    <w:qFormat/>
    <w:rsid w:val="001049D8"/>
    <w:pPr>
      <w:keepNext/>
      <w:keepLines/>
      <w:spacing w:before="240" w:after="120" w:line="276" w:lineRule="auto"/>
      <w:outlineLvl w:val="1"/>
    </w:pPr>
    <w:rPr>
      <w:rFonts w:ascii="Times New Roman" w:eastAsia="Times New Roman" w:hAnsi="Times New Roman" w:cs="Times New Roman"/>
      <w:b/>
      <w:color w:val="auto"/>
      <w:szCs w:val="23"/>
    </w:rPr>
  </w:style>
  <w:style w:type="paragraph" w:styleId="Ttulo3">
    <w:name w:val="heading 3"/>
    <w:basedOn w:val="Normal"/>
    <w:next w:val="Normal"/>
    <w:uiPriority w:val="9"/>
    <w:semiHidden/>
    <w:unhideWhenUsed/>
    <w:qFormat/>
    <w:pPr>
      <w:keepNext/>
      <w:keepLines/>
      <w:spacing w:before="240" w:after="120" w:line="276" w:lineRule="auto"/>
      <w:outlineLvl w:val="2"/>
    </w:pPr>
    <w:rPr>
      <w:rFonts w:ascii="Times New Roman" w:eastAsia="Times New Roman" w:hAnsi="Times New Roman" w:cs="Times New Roman"/>
      <w:b/>
      <w:color w:val="auto"/>
      <w:szCs w:val="21"/>
    </w:rPr>
  </w:style>
  <w:style w:type="paragraph" w:styleId="Ttulo4">
    <w:name w:val="heading 4"/>
    <w:basedOn w:val="Normal"/>
    <w:next w:val="Normal"/>
    <w:uiPriority w:val="9"/>
    <w:semiHidden/>
    <w:unhideWhenUsed/>
    <w:qFormat/>
    <w:pPr>
      <w:keepNext/>
      <w:keepLines/>
      <w:spacing w:before="40"/>
      <w:outlineLvl w:val="3"/>
    </w:pPr>
    <w:rPr>
      <w:rFonts w:ascii="Calibri Light" w:eastAsia="Times New Roman" w:hAnsi="Calibri Light" w:cs="Mangal"/>
      <w:i/>
      <w:iCs/>
      <w:color w:val="2E74B5"/>
      <w:szCs w:val="21"/>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_1"/>
    <w:tblPr>
      <w:tblCellMar>
        <w:top w:w="0" w:type="dxa"/>
        <w:left w:w="0" w:type="dxa"/>
        <w:bottom w:w="0" w:type="dxa"/>
        <w:right w:w="0" w:type="dxa"/>
      </w:tblCellMar>
    </w:tblPr>
  </w:style>
  <w:style w:type="table" w:customStyle="1" w:styleId="TableNormal2">
    <w:name w:val="Table Normal_2"/>
    <w:pPr>
      <w:suppressAutoHyphens/>
      <w:spacing w:line="1" w:lineRule="atLeast"/>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3">
    <w:name w:val="Table Normal_3"/>
    <w:next w:val="TableNormal1"/>
    <w:pPr>
      <w:suppressAutoHyphens/>
      <w:spacing w:line="1" w:lineRule="atLeast"/>
      <w:ind w:leftChars="-1" w:left="-1" w:hangingChars="1"/>
      <w:textDirection w:val="btLr"/>
      <w:textAlignment w:val="top"/>
      <w:outlineLvl w:val="0"/>
    </w:pPr>
    <w:rPr>
      <w:position w:val="-1"/>
    </w:rPr>
    <w:tblPr>
      <w:tblCellMar>
        <w:top w:w="0" w:type="dxa"/>
        <w:left w:w="0" w:type="dxa"/>
        <w:bottom w:w="0" w:type="dxa"/>
        <w:right w:w="0" w:type="dxa"/>
      </w:tblCellMar>
    </w:tblPr>
  </w:style>
  <w:style w:type="character" w:customStyle="1" w:styleId="WW8Num25z0">
    <w:name w:val="WW8Num25z0"/>
    <w:rPr>
      <w:rFonts w:ascii="Symbol" w:hAnsi="Symbol" w:cs="Symbol"/>
      <w:w w:val="100"/>
      <w:position w:val="-1"/>
      <w:effect w:val="none"/>
      <w:vertAlign w:val="baseline"/>
      <w:cs w:val="0"/>
      <w:lang w:val="en-US"/>
    </w:rPr>
  </w:style>
  <w:style w:type="character" w:customStyle="1" w:styleId="WW8Num25z1">
    <w:name w:val="WW8Num25z1"/>
    <w:rPr>
      <w:rFonts w:ascii="Courier New" w:hAnsi="Courier New" w:cs="Courier New"/>
      <w:w w:val="100"/>
      <w:position w:val="-1"/>
      <w:effect w:val="none"/>
      <w:vertAlign w:val="baseline"/>
      <w:cs w:val="0"/>
    </w:rPr>
  </w:style>
  <w:style w:type="character" w:customStyle="1" w:styleId="WW8Num25z2">
    <w:name w:val="WW8Num25z2"/>
    <w:rPr>
      <w:rFonts w:ascii="Wingdings" w:hAnsi="Wingdings" w:cs="Wingdings"/>
      <w:w w:val="100"/>
      <w:position w:val="-1"/>
      <w:effect w:val="none"/>
      <w:vertAlign w:val="baseline"/>
      <w:cs w:val="0"/>
    </w:rPr>
  </w:style>
  <w:style w:type="character" w:customStyle="1" w:styleId="ListLabel73">
    <w:name w:val="ListLabel 73"/>
    <w:rPr>
      <w:w w:val="100"/>
      <w:position w:val="-1"/>
      <w:effect w:val="none"/>
      <w:vertAlign w:val="baseline"/>
      <w:cs w:val="0"/>
    </w:rPr>
  </w:style>
  <w:style w:type="character" w:customStyle="1" w:styleId="ListLabel74">
    <w:name w:val="ListLabel 74"/>
    <w:rPr>
      <w:w w:val="100"/>
      <w:position w:val="-1"/>
      <w:effect w:val="none"/>
      <w:vertAlign w:val="baseline"/>
      <w:cs w:val="0"/>
    </w:rPr>
  </w:style>
  <w:style w:type="character" w:customStyle="1" w:styleId="ListLabel75">
    <w:name w:val="ListLabel 75"/>
    <w:rPr>
      <w:w w:val="100"/>
      <w:position w:val="-1"/>
      <w:effect w:val="none"/>
      <w:vertAlign w:val="baseline"/>
      <w:cs w:val="0"/>
    </w:rPr>
  </w:style>
  <w:style w:type="character" w:customStyle="1" w:styleId="ListLabel76">
    <w:name w:val="ListLabel 76"/>
    <w:rPr>
      <w:w w:val="100"/>
      <w:position w:val="-1"/>
      <w:effect w:val="none"/>
      <w:vertAlign w:val="baseline"/>
      <w:cs w:val="0"/>
    </w:rPr>
  </w:style>
  <w:style w:type="character" w:customStyle="1" w:styleId="ListLabel77">
    <w:name w:val="ListLabel 77"/>
    <w:rPr>
      <w:w w:val="100"/>
      <w:position w:val="-1"/>
      <w:effect w:val="none"/>
      <w:vertAlign w:val="baseline"/>
      <w:cs w:val="0"/>
    </w:rPr>
  </w:style>
  <w:style w:type="character" w:customStyle="1" w:styleId="ListLabel78">
    <w:name w:val="ListLabel 78"/>
    <w:rPr>
      <w:w w:val="100"/>
      <w:position w:val="-1"/>
      <w:effect w:val="none"/>
      <w:vertAlign w:val="baseline"/>
      <w:cs w:val="0"/>
    </w:rPr>
  </w:style>
  <w:style w:type="character" w:customStyle="1" w:styleId="ListLabel79">
    <w:name w:val="ListLabel 79"/>
    <w:rPr>
      <w:rFonts w:ascii="Times New Roman" w:hAnsi="Times New Roman" w:cs="Symbol"/>
      <w:w w:val="100"/>
      <w:position w:val="-1"/>
      <w:sz w:val="22"/>
      <w:effect w:val="none"/>
      <w:vertAlign w:val="baseline"/>
      <w:cs w:val="0"/>
      <w:lang w:val="en-US"/>
    </w:rPr>
  </w:style>
  <w:style w:type="character" w:customStyle="1" w:styleId="ListLabel80">
    <w:name w:val="ListLabel 80"/>
    <w:rPr>
      <w:w w:val="100"/>
      <w:position w:val="-1"/>
      <w:effect w:val="none"/>
      <w:vertAlign w:val="baseline"/>
      <w:cs w:val="0"/>
    </w:rPr>
  </w:style>
  <w:style w:type="character" w:customStyle="1" w:styleId="ListLabel81">
    <w:name w:val="ListLabel 81"/>
    <w:rPr>
      <w:w w:val="100"/>
      <w:position w:val="-1"/>
      <w:effect w:val="none"/>
      <w:vertAlign w:val="baseline"/>
      <w:cs w:val="0"/>
    </w:rPr>
  </w:style>
  <w:style w:type="character" w:customStyle="1" w:styleId="ListLabel82">
    <w:name w:val="ListLabel 82"/>
    <w:rPr>
      <w:w w:val="100"/>
      <w:position w:val="-1"/>
      <w:effect w:val="none"/>
      <w:vertAlign w:val="baseline"/>
      <w:cs w:val="0"/>
    </w:rPr>
  </w:style>
  <w:style w:type="character" w:customStyle="1" w:styleId="ListLabel83">
    <w:name w:val="ListLabel 83"/>
    <w:rPr>
      <w:w w:val="100"/>
      <w:position w:val="-1"/>
      <w:effect w:val="none"/>
      <w:vertAlign w:val="baseline"/>
      <w:cs w:val="0"/>
    </w:rPr>
  </w:style>
  <w:style w:type="character" w:customStyle="1" w:styleId="ListLabel84">
    <w:name w:val="ListLabel 84"/>
    <w:rPr>
      <w:w w:val="100"/>
      <w:position w:val="-1"/>
      <w:effect w:val="none"/>
      <w:vertAlign w:val="baseline"/>
      <w:cs w:val="0"/>
    </w:rPr>
  </w:style>
  <w:style w:type="character" w:customStyle="1" w:styleId="ListLabel85">
    <w:name w:val="ListLabel 85"/>
    <w:rPr>
      <w:w w:val="100"/>
      <w:position w:val="-1"/>
      <w:effect w:val="none"/>
      <w:vertAlign w:val="baseline"/>
      <w:cs w:val="0"/>
    </w:rPr>
  </w:style>
  <w:style w:type="character" w:customStyle="1" w:styleId="ListLabel86">
    <w:name w:val="ListLabel 86"/>
    <w:rPr>
      <w:w w:val="100"/>
      <w:position w:val="-1"/>
      <w:effect w:val="none"/>
      <w:vertAlign w:val="baseline"/>
      <w:cs w:val="0"/>
    </w:rPr>
  </w:style>
  <w:style w:type="character" w:customStyle="1" w:styleId="ListLabel87">
    <w:name w:val="ListLabel 87"/>
    <w:rPr>
      <w:w w:val="100"/>
      <w:position w:val="-1"/>
      <w:effect w:val="none"/>
      <w:vertAlign w:val="baseline"/>
      <w:cs w:val="0"/>
    </w:rPr>
  </w:style>
  <w:style w:type="character" w:customStyle="1" w:styleId="ListLabel88">
    <w:name w:val="ListLabel 88"/>
    <w:rPr>
      <w:w w:val="100"/>
      <w:position w:val="-1"/>
      <w:effect w:val="none"/>
      <w:vertAlign w:val="baseline"/>
      <w:cs w:val="0"/>
    </w:rPr>
  </w:style>
  <w:style w:type="character" w:customStyle="1" w:styleId="ListLabel89">
    <w:name w:val="ListLabel 89"/>
    <w:rPr>
      <w:w w:val="100"/>
      <w:position w:val="-1"/>
      <w:effect w:val="none"/>
      <w:vertAlign w:val="baseline"/>
      <w:cs w:val="0"/>
    </w:rPr>
  </w:style>
  <w:style w:type="character" w:customStyle="1" w:styleId="ListLabel90">
    <w:name w:val="ListLabel 90"/>
    <w:rPr>
      <w:w w:val="100"/>
      <w:position w:val="-1"/>
      <w:effect w:val="none"/>
      <w:vertAlign w:val="baseline"/>
      <w:cs w:val="0"/>
    </w:rPr>
  </w:style>
  <w:style w:type="character" w:customStyle="1" w:styleId="ListLabel91">
    <w:name w:val="ListLabel 91"/>
    <w:rPr>
      <w:w w:val="100"/>
      <w:position w:val="-1"/>
      <w:effect w:val="none"/>
      <w:vertAlign w:val="baseline"/>
      <w:cs w:val="0"/>
    </w:rPr>
  </w:style>
  <w:style w:type="character" w:customStyle="1" w:styleId="ListLabel92">
    <w:name w:val="ListLabel 92"/>
    <w:rPr>
      <w:w w:val="100"/>
      <w:position w:val="-1"/>
      <w:effect w:val="none"/>
      <w:vertAlign w:val="baseline"/>
      <w:cs w:val="0"/>
    </w:rPr>
  </w:style>
  <w:style w:type="character" w:customStyle="1" w:styleId="ListLabel93">
    <w:name w:val="ListLabel 93"/>
    <w:rPr>
      <w:w w:val="100"/>
      <w:position w:val="-1"/>
      <w:effect w:val="none"/>
      <w:vertAlign w:val="baseline"/>
      <w:cs w:val="0"/>
    </w:rPr>
  </w:style>
  <w:style w:type="character" w:customStyle="1" w:styleId="ListLabel94">
    <w:name w:val="ListLabel 94"/>
    <w:rPr>
      <w:w w:val="100"/>
      <w:position w:val="-1"/>
      <w:effect w:val="none"/>
      <w:vertAlign w:val="baseline"/>
      <w:cs w:val="0"/>
    </w:rPr>
  </w:style>
  <w:style w:type="character" w:customStyle="1" w:styleId="ListLabel95">
    <w:name w:val="ListLabel 95"/>
    <w:rPr>
      <w:w w:val="100"/>
      <w:position w:val="-1"/>
      <w:effect w:val="none"/>
      <w:vertAlign w:val="baseline"/>
      <w:cs w:val="0"/>
    </w:rPr>
  </w:style>
  <w:style w:type="character" w:customStyle="1" w:styleId="ListLabel96">
    <w:name w:val="ListLabel 96"/>
    <w:rPr>
      <w:w w:val="100"/>
      <w:position w:val="-1"/>
      <w:effect w:val="none"/>
      <w:vertAlign w:val="baseline"/>
      <w:cs w:val="0"/>
    </w:rPr>
  </w:style>
  <w:style w:type="character" w:customStyle="1" w:styleId="ListLabel97">
    <w:name w:val="ListLabel 97"/>
    <w:rPr>
      <w:w w:val="100"/>
      <w:position w:val="-1"/>
      <w:effect w:val="none"/>
      <w:vertAlign w:val="baseline"/>
      <w:cs w:val="0"/>
    </w:rPr>
  </w:style>
  <w:style w:type="character" w:customStyle="1" w:styleId="RodapChar">
    <w:name w:val="Rodapé Char"/>
    <w:rPr>
      <w:w w:val="100"/>
      <w:position w:val="-1"/>
      <w:sz w:val="24"/>
      <w:szCs w:val="21"/>
      <w:effect w:val="none"/>
      <w:vertAlign w:val="baseline"/>
      <w:cs w:val="0"/>
    </w:rPr>
  </w:style>
  <w:style w:type="character" w:customStyle="1" w:styleId="ListLabel98">
    <w:name w:val="ListLabel 98"/>
    <w:rPr>
      <w:rFonts w:ascii="Times New Roman" w:hAnsi="Times New Roman" w:cs="Symbol"/>
      <w:w w:val="100"/>
      <w:position w:val="-1"/>
      <w:sz w:val="22"/>
      <w:effect w:val="none"/>
      <w:vertAlign w:val="baseline"/>
      <w:cs w:val="0"/>
      <w:lang w:val="en-US"/>
    </w:rPr>
  </w:style>
  <w:style w:type="paragraph" w:customStyle="1" w:styleId="Heading">
    <w:name w:val="Heading"/>
    <w:basedOn w:val="Normal"/>
    <w:next w:val="Corpodetexto"/>
    <w:pPr>
      <w:keepNext/>
      <w:spacing w:before="240" w:after="120"/>
    </w:pPr>
    <w:rPr>
      <w:rFonts w:ascii="Liberation Sans" w:hAnsi="Liberation Sans"/>
      <w:sz w:val="28"/>
      <w:szCs w:val="28"/>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abealho">
    <w:name w:val="header"/>
    <w:basedOn w:val="Normal"/>
    <w:pPr>
      <w:suppressLineNumbers/>
    </w:pPr>
  </w:style>
  <w:style w:type="paragraph" w:customStyle="1" w:styleId="HorizontalLine">
    <w:name w:val="Horizontal Line"/>
    <w:basedOn w:val="Normal"/>
    <w:pPr>
      <w:suppressLineNumbers/>
      <w:pBdr>
        <w:bottom w:val="double" w:sz="2" w:space="0" w:color="808080"/>
      </w:pBdr>
      <w:spacing w:after="283"/>
    </w:pPr>
    <w:rPr>
      <w:sz w:val="12"/>
      <w:szCs w:val="12"/>
    </w:rPr>
  </w:style>
  <w:style w:type="paragraph" w:customStyle="1" w:styleId="TableContents">
    <w:name w:val="Table Contents"/>
    <w:basedOn w:val="Normal"/>
    <w:pPr>
      <w:suppressLineNumbers/>
    </w:pPr>
  </w:style>
  <w:style w:type="paragraph" w:customStyle="1" w:styleId="PargrafodaListaBulletListFooterText">
    <w:name w:val="Parágrafo da Lista;Bullet List;FooterText"/>
    <w:basedOn w:val="Normal"/>
    <w:pPr>
      <w:ind w:left="720"/>
    </w:pPr>
  </w:style>
  <w:style w:type="paragraph" w:customStyle="1" w:styleId="TableHeading">
    <w:name w:val="Table Heading"/>
    <w:basedOn w:val="TableContents"/>
    <w:pPr>
      <w:jc w:val="center"/>
    </w:pPr>
    <w:rPr>
      <w:b/>
      <w:bCs/>
    </w:rPr>
  </w:style>
  <w:style w:type="paragraph" w:styleId="Rodap">
    <w:name w:val="footer"/>
    <w:basedOn w:val="Normal"/>
    <w:qFormat/>
    <w:rPr>
      <w:szCs w:val="21"/>
    </w:rPr>
  </w:style>
  <w:style w:type="paragraph" w:customStyle="1" w:styleId="FrameContents">
    <w:name w:val="Frame Contents"/>
    <w:basedOn w:val="Normal"/>
  </w:style>
  <w:style w:type="numbering" w:customStyle="1" w:styleId="WW8Num25">
    <w:name w:val="WW8Num25"/>
  </w:style>
  <w:style w:type="character" w:customStyle="1" w:styleId="Ttulo1Char">
    <w:name w:val="Título 1 Char"/>
    <w:rPr>
      <w:rFonts w:ascii="Times New Roman" w:eastAsia="Times New Roman" w:hAnsi="Times New Roman" w:cs="Mangal"/>
      <w:b/>
      <w:color w:val="auto"/>
      <w:w w:val="100"/>
      <w:position w:val="-1"/>
      <w:sz w:val="28"/>
      <w:szCs w:val="29"/>
      <w:effect w:val="none"/>
      <w:vertAlign w:val="baseline"/>
      <w:cs w:val="0"/>
      <w:lang w:val="en-GB"/>
    </w:rPr>
  </w:style>
  <w:style w:type="character" w:customStyle="1" w:styleId="Ttulo2Char">
    <w:name w:val="Título 2 Char"/>
    <w:rPr>
      <w:rFonts w:ascii="Times New Roman" w:eastAsia="Times New Roman" w:hAnsi="Times New Roman" w:cs="Times New Roman"/>
      <w:b/>
      <w:color w:val="auto"/>
      <w:w w:val="100"/>
      <w:position w:val="-1"/>
      <w:sz w:val="26"/>
      <w:szCs w:val="23"/>
      <w:effect w:val="none"/>
      <w:vertAlign w:val="baseline"/>
      <w:cs w:val="0"/>
    </w:rPr>
  </w:style>
  <w:style w:type="character" w:customStyle="1" w:styleId="Ttulo3Char">
    <w:name w:val="Título 3 Char"/>
    <w:rPr>
      <w:rFonts w:ascii="Times New Roman" w:eastAsia="Times New Roman" w:hAnsi="Times New Roman" w:cs="Times New Roman"/>
      <w:b/>
      <w:color w:val="auto"/>
      <w:w w:val="100"/>
      <w:position w:val="-1"/>
      <w:szCs w:val="21"/>
      <w:effect w:val="none"/>
      <w:vertAlign w:val="baseline"/>
      <w:cs w:val="0"/>
    </w:rPr>
  </w:style>
  <w:style w:type="paragraph" w:styleId="CabealhodoSumrio">
    <w:name w:val="TOC Heading"/>
    <w:basedOn w:val="Ttulo1"/>
    <w:next w:val="Normal"/>
    <w:uiPriority w:val="39"/>
    <w:qFormat/>
    <w:pPr>
      <w:spacing w:line="259" w:lineRule="auto"/>
      <w:outlineLvl w:val="9"/>
    </w:pPr>
    <w:rPr>
      <w:rFonts w:cs="Times New Roman"/>
      <w:szCs w:val="32"/>
      <w:lang w:eastAsia="en-US"/>
    </w:rPr>
  </w:style>
  <w:style w:type="paragraph" w:styleId="Sumrio1">
    <w:name w:val="toc 1"/>
    <w:basedOn w:val="Normal"/>
    <w:next w:val="Normal"/>
    <w:uiPriority w:val="39"/>
    <w:qFormat/>
    <w:pPr>
      <w:spacing w:after="100"/>
    </w:pPr>
    <w:rPr>
      <w:szCs w:val="21"/>
    </w:rPr>
  </w:style>
  <w:style w:type="paragraph" w:styleId="Sumrio2">
    <w:name w:val="toc 2"/>
    <w:basedOn w:val="Normal"/>
    <w:next w:val="Normal"/>
    <w:uiPriority w:val="39"/>
    <w:qFormat/>
    <w:pPr>
      <w:spacing w:after="100"/>
      <w:ind w:left="240"/>
    </w:pPr>
    <w:rPr>
      <w:szCs w:val="21"/>
    </w:rPr>
  </w:style>
  <w:style w:type="paragraph" w:styleId="Sumrio3">
    <w:name w:val="toc 3"/>
    <w:basedOn w:val="Normal"/>
    <w:next w:val="Normal"/>
    <w:uiPriority w:val="39"/>
    <w:qFormat/>
    <w:pPr>
      <w:spacing w:after="100"/>
      <w:ind w:left="240"/>
    </w:pPr>
    <w:rPr>
      <w:szCs w:val="21"/>
    </w:rPr>
  </w:style>
  <w:style w:type="character" w:styleId="Hyperlink">
    <w:name w:val="Hyperlink"/>
    <w:uiPriority w:val="99"/>
    <w:qFormat/>
    <w:rPr>
      <w:color w:val="0563C1"/>
      <w:w w:val="100"/>
      <w:position w:val="-1"/>
      <w:u w:val="single"/>
      <w:effect w:val="none"/>
      <w:vertAlign w:val="baseline"/>
      <w:cs w:val="0"/>
    </w:rPr>
  </w:style>
  <w:style w:type="character" w:styleId="Refdecomentrio">
    <w:name w:val="annotation reference"/>
    <w:qFormat/>
    <w:rPr>
      <w:w w:val="100"/>
      <w:position w:val="-1"/>
      <w:sz w:val="16"/>
      <w:szCs w:val="16"/>
      <w:effect w:val="none"/>
      <w:vertAlign w:val="baseline"/>
      <w:cs w:val="0"/>
    </w:rPr>
  </w:style>
  <w:style w:type="paragraph" w:styleId="Textodecomentrio">
    <w:name w:val="annotation text"/>
    <w:basedOn w:val="Normal"/>
    <w:qFormat/>
    <w:rPr>
      <w:sz w:val="20"/>
      <w:szCs w:val="18"/>
    </w:rPr>
  </w:style>
  <w:style w:type="character" w:customStyle="1" w:styleId="TextodecomentrioChar">
    <w:name w:val="Texto de comentário Char"/>
    <w:rPr>
      <w:color w:val="00000A"/>
      <w:w w:val="100"/>
      <w:position w:val="-1"/>
      <w:szCs w:val="18"/>
      <w:effect w:val="none"/>
      <w:vertAlign w:val="baseline"/>
      <w:cs w:val="0"/>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color w:val="00000A"/>
      <w:w w:val="100"/>
      <w:position w:val="-1"/>
      <w:szCs w:val="18"/>
      <w:effect w:val="none"/>
      <w:vertAlign w:val="baseline"/>
      <w:cs w:val="0"/>
    </w:rPr>
  </w:style>
  <w:style w:type="paragraph" w:styleId="Textodebalo">
    <w:name w:val="Balloon Text"/>
    <w:basedOn w:val="Normal"/>
    <w:qFormat/>
    <w:rPr>
      <w:rFonts w:ascii="Segoe UI" w:hAnsi="Segoe UI" w:cs="Mangal"/>
      <w:sz w:val="18"/>
      <w:szCs w:val="16"/>
    </w:rPr>
  </w:style>
  <w:style w:type="character" w:customStyle="1" w:styleId="TextodebaloChar">
    <w:name w:val="Texto de balão Char"/>
    <w:rPr>
      <w:rFonts w:ascii="Segoe UI" w:hAnsi="Segoe UI" w:cs="Mangal"/>
      <w:color w:val="00000A"/>
      <w:w w:val="100"/>
      <w:position w:val="-1"/>
      <w:sz w:val="18"/>
      <w:szCs w:val="16"/>
      <w:effect w:val="none"/>
      <w:vertAlign w:val="baseline"/>
      <w:cs w:val="0"/>
    </w:rPr>
  </w:style>
  <w:style w:type="table" w:styleId="Tabelacomgrade">
    <w:name w:val="Table Grid"/>
    <w:basedOn w:val="Tabela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rPr>
      <w:rFonts w:ascii="Calibri Light" w:eastAsia="Times New Roman" w:hAnsi="Calibri Light" w:cs="Mangal"/>
      <w:i/>
      <w:iCs/>
      <w:color w:val="2E74B5"/>
      <w:w w:val="100"/>
      <w:position w:val="-1"/>
      <w:sz w:val="24"/>
      <w:szCs w:val="21"/>
      <w:effect w:val="none"/>
      <w:vertAlign w:val="baseline"/>
      <w:cs w:val="0"/>
    </w:rPr>
  </w:style>
  <w:style w:type="character" w:customStyle="1" w:styleId="UnresolvedMention1">
    <w:name w:val="Unresolved Mention1"/>
    <w:qFormat/>
    <w:rPr>
      <w:color w:val="605E5C"/>
      <w:w w:val="100"/>
      <w:position w:val="-1"/>
      <w:effect w:val="none"/>
      <w:shd w:val="clear" w:color="auto" w:fill="E1DFDD"/>
      <w:vertAlign w:val="baseline"/>
      <w:cs w:val="0"/>
    </w:rPr>
  </w:style>
  <w:style w:type="character" w:styleId="HiperlinkVisitado">
    <w:name w:val="FollowedHyperlink"/>
    <w:qFormat/>
    <w:rPr>
      <w:color w:val="954F72"/>
      <w:w w:val="100"/>
      <w:position w:val="-1"/>
      <w:u w:val="single"/>
      <w:effect w:val="none"/>
      <w:vertAlign w:val="baseline"/>
      <w:cs w:val="0"/>
    </w:rPr>
  </w:style>
  <w:style w:type="paragraph" w:styleId="NormalWeb">
    <w:name w:val="Normal (Web)"/>
    <w:basedOn w:val="Normal"/>
    <w:uiPriority w:val="99"/>
    <w:qFormat/>
    <w:pPr>
      <w:spacing w:before="100" w:beforeAutospacing="1" w:after="100" w:afterAutospacing="1"/>
    </w:pPr>
    <w:rPr>
      <w:rFonts w:ascii="Times New Roman" w:eastAsia="Times New Roman" w:hAnsi="Times New Roman" w:cs="Times New Roman"/>
      <w:color w:val="auto"/>
      <w:lang w:eastAsia="en-US"/>
    </w:rPr>
  </w:style>
  <w:style w:type="character" w:customStyle="1" w:styleId="UnresolvedMention2">
    <w:name w:val="Unresolved Mention2"/>
    <w:qFormat/>
    <w:rPr>
      <w:color w:val="605E5C"/>
      <w:w w:val="100"/>
      <w:position w:val="-1"/>
      <w:effect w:val="none"/>
      <w:shd w:val="clear" w:color="auto" w:fill="E1DFDD"/>
      <w:vertAlign w:val="baseline"/>
      <w:cs w:val="0"/>
    </w:rPr>
  </w:style>
  <w:style w:type="paragraph" w:styleId="Reviso">
    <w:name w:val="Revision"/>
    <w:pPr>
      <w:suppressAutoHyphens/>
      <w:spacing w:line="1" w:lineRule="atLeast"/>
      <w:ind w:leftChars="-1" w:left="-1" w:hangingChars="1"/>
      <w:textDirection w:val="btLr"/>
      <w:textAlignment w:val="top"/>
      <w:outlineLvl w:val="0"/>
    </w:pPr>
    <w:rPr>
      <w:position w:val="-1"/>
      <w:szCs w:val="21"/>
    </w:rPr>
  </w:style>
  <w:style w:type="character" w:customStyle="1" w:styleId="PargrafodaListaCharBulletListCharFooterTextChar">
    <w:name w:val="Parágrafo da Lista Char;Bullet List Char;FooterText Char"/>
    <w:rPr>
      <w:color w:val="00000A"/>
      <w:w w:val="100"/>
      <w:position w:val="-1"/>
      <w:sz w:val="24"/>
      <w:effect w:val="none"/>
      <w:vertAlign w:val="baseline"/>
      <w:cs w:val="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3"/>
    <w:tblPr>
      <w:tblStyleRowBandSize w:val="1"/>
      <w:tblStyleColBandSize w:val="1"/>
      <w:tblCellMar>
        <w:left w:w="108" w:type="dxa"/>
        <w:right w:w="108" w:type="dxa"/>
      </w:tblCellMar>
    </w:tblPr>
  </w:style>
  <w:style w:type="table" w:customStyle="1" w:styleId="a0">
    <w:name w:val="a0"/>
    <w:basedOn w:val="TableNormal3"/>
    <w:tblPr>
      <w:tblStyleRowBandSize w:val="1"/>
      <w:tblStyleColBandSize w:val="1"/>
      <w:tblCellMar>
        <w:left w:w="115" w:type="dxa"/>
        <w:right w:w="115" w:type="dxa"/>
      </w:tblCellMar>
    </w:tblPr>
  </w:style>
  <w:style w:type="table" w:customStyle="1" w:styleId="a1">
    <w:name w:val="a1"/>
    <w:basedOn w:val="TableNormal3"/>
    <w:tblPr>
      <w:tblStyleRowBandSize w:val="1"/>
      <w:tblStyleColBandSize w:val="1"/>
      <w:tblCellMar>
        <w:left w:w="115" w:type="dxa"/>
        <w:right w:w="115" w:type="dxa"/>
      </w:tblCellMar>
    </w:tblPr>
  </w:style>
  <w:style w:type="table" w:customStyle="1" w:styleId="a2">
    <w:name w:val="a2"/>
    <w:basedOn w:val="TableNormal3"/>
    <w:tblPr>
      <w:tblStyleRowBandSize w:val="1"/>
      <w:tblStyleColBandSize w:val="1"/>
      <w:tblCellMar>
        <w:left w:w="108" w:type="dxa"/>
        <w:right w:w="108" w:type="dxa"/>
      </w:tblCellMar>
    </w:tblPr>
  </w:style>
  <w:style w:type="table" w:customStyle="1" w:styleId="a3">
    <w:name w:val="a3"/>
    <w:basedOn w:val="TableNormal3"/>
    <w:tblPr>
      <w:tblStyleRowBandSize w:val="1"/>
      <w:tblStyleColBandSize w:val="1"/>
      <w:tblCellMar>
        <w:left w:w="115" w:type="dxa"/>
        <w:right w:w="115" w:type="dxa"/>
      </w:tblCellMar>
    </w:tblPr>
  </w:style>
  <w:style w:type="table" w:customStyle="1" w:styleId="a4">
    <w:name w:val="a4"/>
    <w:basedOn w:val="TableNormal3"/>
    <w:tblPr>
      <w:tblStyleRowBandSize w:val="1"/>
      <w:tblStyleColBandSize w:val="1"/>
      <w:tblCellMar>
        <w:left w:w="115" w:type="dxa"/>
        <w:right w:w="115" w:type="dxa"/>
      </w:tblCellMar>
    </w:tblPr>
  </w:style>
  <w:style w:type="table" w:customStyle="1" w:styleId="a5">
    <w:name w:val="a5"/>
    <w:basedOn w:val="TableNormal3"/>
    <w:tblPr>
      <w:tblStyleRowBandSize w:val="1"/>
      <w:tblStyleColBandSize w:val="1"/>
      <w:tblCellMar>
        <w:left w:w="115" w:type="dxa"/>
        <w:right w:w="115" w:type="dxa"/>
      </w:tblCellMar>
    </w:tblPr>
  </w:style>
  <w:style w:type="table" w:customStyle="1" w:styleId="a6">
    <w:name w:val="a6"/>
    <w:basedOn w:val="TableNormal3"/>
    <w:tblPr>
      <w:tblStyleRowBandSize w:val="1"/>
      <w:tblStyleColBandSize w:val="1"/>
      <w:tblCellMar>
        <w:left w:w="115" w:type="dxa"/>
        <w:right w:w="115" w:type="dxa"/>
      </w:tblCellMar>
    </w:tblPr>
  </w:style>
  <w:style w:type="table" w:customStyle="1" w:styleId="a7">
    <w:name w:val="a7"/>
    <w:basedOn w:val="TableNormal3"/>
    <w:tblPr>
      <w:tblStyleRowBandSize w:val="1"/>
      <w:tblStyleColBandSize w:val="1"/>
      <w:tblCellMar>
        <w:left w:w="115" w:type="dxa"/>
        <w:right w:w="115" w:type="dxa"/>
      </w:tblCellMar>
    </w:tblPr>
  </w:style>
  <w:style w:type="table" w:customStyle="1" w:styleId="a8">
    <w:name w:val="a8"/>
    <w:basedOn w:val="TableNormal3"/>
    <w:tblPr>
      <w:tblStyleRowBandSize w:val="1"/>
      <w:tblStyleColBandSize w:val="1"/>
      <w:tblCellMar>
        <w:left w:w="115" w:type="dxa"/>
        <w:right w:w="115" w:type="dxa"/>
      </w:tblCellMar>
    </w:tblPr>
  </w:style>
  <w:style w:type="table" w:customStyle="1" w:styleId="a9">
    <w:name w:val="a9"/>
    <w:basedOn w:val="TableNormal3"/>
    <w:tblPr>
      <w:tblStyleRowBandSize w:val="1"/>
      <w:tblStyleColBandSize w:val="1"/>
      <w:tblCellMar>
        <w:left w:w="115" w:type="dxa"/>
        <w:right w:w="115" w:type="dxa"/>
      </w:tblCellMar>
    </w:tblPr>
  </w:style>
  <w:style w:type="table" w:customStyle="1" w:styleId="aa">
    <w:name w:val="aa"/>
    <w:basedOn w:val="TableNormal3"/>
    <w:tblPr>
      <w:tblStyleRowBandSize w:val="1"/>
      <w:tblStyleColBandSize w:val="1"/>
      <w:tblCellMar>
        <w:top w:w="55" w:type="dxa"/>
        <w:left w:w="54" w:type="dxa"/>
        <w:bottom w:w="55" w:type="dxa"/>
        <w:right w:w="55" w:type="dxa"/>
      </w:tblCellMar>
    </w:tblPr>
  </w:style>
  <w:style w:type="table" w:customStyle="1" w:styleId="ab">
    <w:name w:val="ab"/>
    <w:basedOn w:val="TableNormal3"/>
    <w:tblPr>
      <w:tblStyleRowBandSize w:val="1"/>
      <w:tblStyleColBandSize w:val="1"/>
      <w:tblCellMar>
        <w:top w:w="55" w:type="dxa"/>
        <w:left w:w="54" w:type="dxa"/>
        <w:bottom w:w="55" w:type="dxa"/>
        <w:right w:w="55" w:type="dxa"/>
      </w:tblCellMar>
    </w:tblPr>
  </w:style>
  <w:style w:type="table" w:customStyle="1" w:styleId="ac">
    <w:name w:val="ac"/>
    <w:basedOn w:val="TableNormal3"/>
    <w:tblPr>
      <w:tblStyleRowBandSize w:val="1"/>
      <w:tblStyleColBandSize w:val="1"/>
      <w:tblCellMar>
        <w:top w:w="55" w:type="dxa"/>
        <w:left w:w="54" w:type="dxa"/>
        <w:bottom w:w="55" w:type="dxa"/>
        <w:right w:w="55" w:type="dxa"/>
      </w:tblCellMar>
    </w:tblPr>
  </w:style>
  <w:style w:type="table" w:customStyle="1" w:styleId="ad">
    <w:name w:val="ad"/>
    <w:basedOn w:val="TableNormal3"/>
    <w:tblPr>
      <w:tblStyleRowBandSize w:val="1"/>
      <w:tblStyleColBandSize w:val="1"/>
      <w:tblCellMar>
        <w:top w:w="55" w:type="dxa"/>
        <w:left w:w="54" w:type="dxa"/>
        <w:bottom w:w="55" w:type="dxa"/>
        <w:right w:w="55" w:type="dxa"/>
      </w:tblCellMar>
    </w:tblPr>
  </w:style>
  <w:style w:type="table" w:customStyle="1" w:styleId="ae">
    <w:name w:val="ae"/>
    <w:basedOn w:val="TableNormal3"/>
    <w:tblPr>
      <w:tblStyleRowBandSize w:val="1"/>
      <w:tblStyleColBandSize w:val="1"/>
      <w:tblCellMar>
        <w:top w:w="55" w:type="dxa"/>
        <w:left w:w="54" w:type="dxa"/>
        <w:bottom w:w="55" w:type="dxa"/>
        <w:right w:w="55" w:type="dxa"/>
      </w:tblCellMar>
    </w:tblPr>
  </w:style>
  <w:style w:type="table" w:customStyle="1" w:styleId="af">
    <w:name w:val="af"/>
    <w:basedOn w:val="TableNormal3"/>
    <w:tblPr>
      <w:tblStyleRowBandSize w:val="1"/>
      <w:tblStyleColBandSize w:val="1"/>
      <w:tblCellMar>
        <w:top w:w="55" w:type="dxa"/>
        <w:left w:w="54" w:type="dxa"/>
        <w:bottom w:w="55" w:type="dxa"/>
        <w:right w:w="55" w:type="dxa"/>
      </w:tblCellMar>
    </w:tblPr>
  </w:style>
  <w:style w:type="table" w:customStyle="1" w:styleId="af0">
    <w:name w:val="af0"/>
    <w:basedOn w:val="TableNormal3"/>
    <w:tblPr>
      <w:tblStyleRowBandSize w:val="1"/>
      <w:tblStyleColBandSize w:val="1"/>
      <w:tblCellMar>
        <w:top w:w="55" w:type="dxa"/>
        <w:left w:w="54" w:type="dxa"/>
        <w:bottom w:w="55" w:type="dxa"/>
        <w:right w:w="55" w:type="dxa"/>
      </w:tblCellMar>
    </w:tblPr>
  </w:style>
  <w:style w:type="table" w:customStyle="1" w:styleId="af1">
    <w:name w:val="af1"/>
    <w:basedOn w:val="TableNormal3"/>
    <w:tblPr>
      <w:tblStyleRowBandSize w:val="1"/>
      <w:tblStyleColBandSize w:val="1"/>
      <w:tblCellMar>
        <w:top w:w="100" w:type="dxa"/>
        <w:left w:w="100" w:type="dxa"/>
        <w:bottom w:w="100" w:type="dxa"/>
        <w:right w:w="100" w:type="dxa"/>
      </w:tblCellMar>
    </w:tblPr>
  </w:style>
  <w:style w:type="table" w:customStyle="1" w:styleId="af2">
    <w:name w:val="af2"/>
    <w:basedOn w:val="TableNormal3"/>
    <w:tblPr>
      <w:tblStyleRowBandSize w:val="1"/>
      <w:tblStyleColBandSize w:val="1"/>
      <w:tblCellMar>
        <w:top w:w="55" w:type="dxa"/>
        <w:left w:w="54" w:type="dxa"/>
        <w:bottom w:w="55" w:type="dxa"/>
        <w:right w:w="55" w:type="dxa"/>
      </w:tblCellMar>
    </w:tblPr>
  </w:style>
  <w:style w:type="table" w:customStyle="1" w:styleId="af3">
    <w:name w:val="af3"/>
    <w:basedOn w:val="TableNormal3"/>
    <w:tblPr>
      <w:tblStyleRowBandSize w:val="1"/>
      <w:tblStyleColBandSize w:val="1"/>
      <w:tblCellMar>
        <w:top w:w="55" w:type="dxa"/>
        <w:left w:w="54" w:type="dxa"/>
        <w:bottom w:w="55" w:type="dxa"/>
        <w:right w:w="55" w:type="dxa"/>
      </w:tblCellMar>
    </w:tblPr>
  </w:style>
  <w:style w:type="table" w:customStyle="1" w:styleId="af4">
    <w:name w:val="af4"/>
    <w:basedOn w:val="TableNormal3"/>
    <w:tblPr>
      <w:tblStyleRowBandSize w:val="1"/>
      <w:tblStyleColBandSize w:val="1"/>
      <w:tblCellMar>
        <w:top w:w="55" w:type="dxa"/>
        <w:left w:w="54" w:type="dxa"/>
        <w:bottom w:w="55" w:type="dxa"/>
        <w:right w:w="55" w:type="dxa"/>
      </w:tblCellMar>
    </w:tblPr>
  </w:style>
  <w:style w:type="table" w:customStyle="1" w:styleId="af5">
    <w:name w:val="af5"/>
    <w:basedOn w:val="TableNormal3"/>
    <w:tblPr>
      <w:tblStyleRowBandSize w:val="1"/>
      <w:tblStyleColBandSize w:val="1"/>
      <w:tblCellMar>
        <w:top w:w="55" w:type="dxa"/>
        <w:left w:w="54" w:type="dxa"/>
        <w:bottom w:w="55" w:type="dxa"/>
        <w:right w:w="55" w:type="dxa"/>
      </w:tblCellMar>
    </w:tblPr>
  </w:style>
  <w:style w:type="table" w:customStyle="1" w:styleId="af6">
    <w:name w:val="af6"/>
    <w:basedOn w:val="TableNormal3"/>
    <w:tblPr>
      <w:tblStyleRowBandSize w:val="1"/>
      <w:tblStyleColBandSize w:val="1"/>
      <w:tblCellMar>
        <w:top w:w="55" w:type="dxa"/>
        <w:left w:w="54" w:type="dxa"/>
        <w:bottom w:w="55" w:type="dxa"/>
        <w:right w:w="55" w:type="dxa"/>
      </w:tblCellMar>
    </w:tblPr>
  </w:style>
  <w:style w:type="table" w:customStyle="1" w:styleId="af7">
    <w:name w:val="af7"/>
    <w:basedOn w:val="TableNormal3"/>
    <w:tblPr>
      <w:tblStyleRowBandSize w:val="1"/>
      <w:tblStyleColBandSize w:val="1"/>
      <w:tblCellMar>
        <w:top w:w="55" w:type="dxa"/>
        <w:left w:w="54" w:type="dxa"/>
        <w:bottom w:w="55" w:type="dxa"/>
        <w:right w:w="55" w:type="dxa"/>
      </w:tblCellMar>
    </w:tblPr>
  </w:style>
  <w:style w:type="table" w:customStyle="1" w:styleId="af8">
    <w:name w:val="af8"/>
    <w:basedOn w:val="TableNormal3"/>
    <w:tblPr>
      <w:tblStyleRowBandSize w:val="1"/>
      <w:tblStyleColBandSize w:val="1"/>
      <w:tblCellMar>
        <w:top w:w="55" w:type="dxa"/>
        <w:left w:w="54" w:type="dxa"/>
        <w:bottom w:w="55" w:type="dxa"/>
        <w:right w:w="55" w:type="dxa"/>
      </w:tblCellMar>
    </w:tblPr>
  </w:style>
  <w:style w:type="table" w:customStyle="1" w:styleId="af9">
    <w:name w:val="af9"/>
    <w:basedOn w:val="TableNormal3"/>
    <w:tblPr>
      <w:tblStyleRowBandSize w:val="1"/>
      <w:tblStyleColBandSize w:val="1"/>
      <w:tblCellMar>
        <w:top w:w="55" w:type="dxa"/>
        <w:left w:w="54" w:type="dxa"/>
        <w:bottom w:w="55" w:type="dxa"/>
        <w:right w:w="55" w:type="dxa"/>
      </w:tblCellMar>
    </w:tblPr>
  </w:style>
  <w:style w:type="table" w:customStyle="1" w:styleId="afa">
    <w:name w:val="afa"/>
    <w:basedOn w:val="TableNormal3"/>
    <w:tblPr>
      <w:tblStyleRowBandSize w:val="1"/>
      <w:tblStyleColBandSize w:val="1"/>
      <w:tblCellMar>
        <w:top w:w="55" w:type="dxa"/>
        <w:left w:w="54" w:type="dxa"/>
        <w:bottom w:w="55" w:type="dxa"/>
        <w:right w:w="55" w:type="dxa"/>
      </w:tblCellMar>
    </w:tblPr>
  </w:style>
  <w:style w:type="table" w:customStyle="1" w:styleId="afb">
    <w:name w:val="afb"/>
    <w:basedOn w:val="TableNormal3"/>
    <w:tblPr>
      <w:tblStyleRowBandSize w:val="1"/>
      <w:tblStyleColBandSize w:val="1"/>
      <w:tblCellMar>
        <w:top w:w="55" w:type="dxa"/>
        <w:left w:w="54" w:type="dxa"/>
        <w:bottom w:w="55" w:type="dxa"/>
        <w:right w:w="55" w:type="dxa"/>
      </w:tblCellMar>
    </w:tblPr>
  </w:style>
  <w:style w:type="table" w:customStyle="1" w:styleId="afc">
    <w:name w:val="afc"/>
    <w:basedOn w:val="TableNormal3"/>
    <w:tblPr>
      <w:tblStyleRowBandSize w:val="1"/>
      <w:tblStyleColBandSize w:val="1"/>
      <w:tblCellMar>
        <w:top w:w="100" w:type="dxa"/>
        <w:left w:w="100" w:type="dxa"/>
        <w:bottom w:w="100" w:type="dxa"/>
        <w:right w:w="100" w:type="dxa"/>
      </w:tblCellMar>
    </w:tblPr>
  </w:style>
  <w:style w:type="character" w:styleId="TextodoEspaoReservado">
    <w:name w:val="Placeholder Text"/>
    <w:rPr>
      <w:color w:val="808080"/>
      <w:w w:val="100"/>
      <w:position w:val="-1"/>
      <w:effect w:val="none"/>
      <w:vertAlign w:val="baseline"/>
      <w:cs w:val="0"/>
    </w:rPr>
  </w:style>
  <w:style w:type="table" w:customStyle="1" w:styleId="afd">
    <w:name w:val="afd"/>
    <w:basedOn w:val="TableNormal3"/>
    <w:tblPr>
      <w:tblStyleRowBandSize w:val="1"/>
      <w:tblStyleColBandSize w:val="1"/>
      <w:tblCellMar>
        <w:top w:w="55" w:type="dxa"/>
        <w:left w:w="54" w:type="dxa"/>
        <w:bottom w:w="55" w:type="dxa"/>
        <w:right w:w="55" w:type="dxa"/>
      </w:tblCellMar>
    </w:tblPr>
  </w:style>
  <w:style w:type="table" w:customStyle="1" w:styleId="afe">
    <w:name w:val="afe"/>
    <w:basedOn w:val="TableNormal3"/>
    <w:tblPr>
      <w:tblStyleRowBandSize w:val="1"/>
      <w:tblStyleColBandSize w:val="1"/>
      <w:tblCellMar>
        <w:top w:w="55" w:type="dxa"/>
        <w:left w:w="54" w:type="dxa"/>
        <w:bottom w:w="55" w:type="dxa"/>
        <w:right w:w="55" w:type="dxa"/>
      </w:tblCellMar>
    </w:tblPr>
  </w:style>
  <w:style w:type="table" w:customStyle="1" w:styleId="aff">
    <w:name w:val="aff"/>
    <w:basedOn w:val="TableNormal3"/>
    <w:tblPr>
      <w:tblStyleRowBandSize w:val="1"/>
      <w:tblStyleColBandSize w:val="1"/>
      <w:tblCellMar>
        <w:top w:w="55" w:type="dxa"/>
        <w:left w:w="54" w:type="dxa"/>
        <w:bottom w:w="55" w:type="dxa"/>
        <w:right w:w="55" w:type="dxa"/>
      </w:tblCellMar>
    </w:tblPr>
  </w:style>
  <w:style w:type="table" w:customStyle="1" w:styleId="aff0">
    <w:name w:val="aff0"/>
    <w:basedOn w:val="TableNormal3"/>
    <w:tblPr>
      <w:tblStyleRowBandSize w:val="1"/>
      <w:tblStyleColBandSize w:val="1"/>
      <w:tblCellMar>
        <w:top w:w="55" w:type="dxa"/>
        <w:left w:w="54" w:type="dxa"/>
        <w:bottom w:w="55" w:type="dxa"/>
        <w:right w:w="55" w:type="dxa"/>
      </w:tblCellMar>
    </w:tblPr>
  </w:style>
  <w:style w:type="table" w:customStyle="1" w:styleId="aff1">
    <w:name w:val="aff1"/>
    <w:basedOn w:val="TableNormal3"/>
    <w:tblPr>
      <w:tblStyleRowBandSize w:val="1"/>
      <w:tblStyleColBandSize w:val="1"/>
      <w:tblCellMar>
        <w:top w:w="100" w:type="dxa"/>
        <w:left w:w="100" w:type="dxa"/>
        <w:bottom w:w="100" w:type="dxa"/>
        <w:right w:w="100" w:type="dxa"/>
      </w:tblCellMar>
    </w:tblPr>
  </w:style>
  <w:style w:type="table" w:customStyle="1" w:styleId="aff2">
    <w:name w:val="aff2"/>
    <w:basedOn w:val="TableNormal3"/>
    <w:tblPr>
      <w:tblStyleRowBandSize w:val="1"/>
      <w:tblStyleColBandSize w:val="1"/>
      <w:tblCellMar>
        <w:top w:w="55" w:type="dxa"/>
        <w:left w:w="54" w:type="dxa"/>
        <w:bottom w:w="55" w:type="dxa"/>
        <w:right w:w="55" w:type="dxa"/>
      </w:tblCellMar>
    </w:tblPr>
  </w:style>
  <w:style w:type="table" w:customStyle="1" w:styleId="aff3">
    <w:name w:val="aff3"/>
    <w:basedOn w:val="TableNormal3"/>
    <w:tblPr>
      <w:tblStyleRowBandSize w:val="1"/>
      <w:tblStyleColBandSize w:val="1"/>
      <w:tblCellMar>
        <w:top w:w="55" w:type="dxa"/>
        <w:left w:w="54" w:type="dxa"/>
        <w:bottom w:w="55" w:type="dxa"/>
        <w:right w:w="55" w:type="dxa"/>
      </w:tblCellMar>
    </w:tblPr>
  </w:style>
  <w:style w:type="table" w:customStyle="1" w:styleId="aff4">
    <w:name w:val="aff4"/>
    <w:basedOn w:val="TableNormal3"/>
    <w:tblPr>
      <w:tblStyleRowBandSize w:val="1"/>
      <w:tblStyleColBandSize w:val="1"/>
      <w:tblCellMar>
        <w:top w:w="55" w:type="dxa"/>
        <w:left w:w="54" w:type="dxa"/>
        <w:bottom w:w="55" w:type="dxa"/>
        <w:right w:w="55" w:type="dxa"/>
      </w:tblCellMar>
    </w:tblPr>
  </w:style>
  <w:style w:type="table" w:customStyle="1" w:styleId="aff5">
    <w:name w:val="aff5"/>
    <w:basedOn w:val="TableNormal3"/>
    <w:tblPr>
      <w:tblStyleRowBandSize w:val="1"/>
      <w:tblStyleColBandSize w:val="1"/>
      <w:tblCellMar>
        <w:top w:w="55" w:type="dxa"/>
        <w:left w:w="54" w:type="dxa"/>
        <w:bottom w:w="55" w:type="dxa"/>
        <w:right w:w="55" w:type="dxa"/>
      </w:tblCellMar>
    </w:tblPr>
  </w:style>
  <w:style w:type="table" w:customStyle="1" w:styleId="aff6">
    <w:name w:val="aff6"/>
    <w:basedOn w:val="TableNormal3"/>
    <w:tblPr>
      <w:tblStyleRowBandSize w:val="1"/>
      <w:tblStyleColBandSize w:val="1"/>
      <w:tblCellMar>
        <w:top w:w="55" w:type="dxa"/>
        <w:left w:w="54" w:type="dxa"/>
        <w:bottom w:w="55" w:type="dxa"/>
        <w:right w:w="55" w:type="dxa"/>
      </w:tblCellMar>
    </w:tblPr>
  </w:style>
  <w:style w:type="table" w:customStyle="1" w:styleId="aff7">
    <w:name w:val="aff7"/>
    <w:basedOn w:val="TableNormal3"/>
    <w:tblPr>
      <w:tblStyleRowBandSize w:val="1"/>
      <w:tblStyleColBandSize w:val="1"/>
      <w:tblCellMar>
        <w:top w:w="55" w:type="dxa"/>
        <w:left w:w="54" w:type="dxa"/>
        <w:bottom w:w="55" w:type="dxa"/>
        <w:right w:w="55" w:type="dxa"/>
      </w:tblCellMar>
    </w:tblPr>
  </w:style>
  <w:style w:type="table" w:customStyle="1" w:styleId="aff8">
    <w:name w:val="aff8"/>
    <w:basedOn w:val="TableNormal3"/>
    <w:tblPr>
      <w:tblStyleRowBandSize w:val="1"/>
      <w:tblStyleColBandSize w:val="1"/>
      <w:tblCellMar>
        <w:top w:w="55" w:type="dxa"/>
        <w:left w:w="54" w:type="dxa"/>
        <w:bottom w:w="55" w:type="dxa"/>
        <w:right w:w="55" w:type="dxa"/>
      </w:tblCellMar>
    </w:tblPr>
  </w:style>
  <w:style w:type="table" w:customStyle="1" w:styleId="aff9">
    <w:name w:val="aff9"/>
    <w:basedOn w:val="TableNormal3"/>
    <w:tblPr>
      <w:tblStyleRowBandSize w:val="1"/>
      <w:tblStyleColBandSize w:val="1"/>
      <w:tblCellMar>
        <w:top w:w="55" w:type="dxa"/>
        <w:left w:w="54" w:type="dxa"/>
        <w:bottom w:w="55" w:type="dxa"/>
        <w:right w:w="55" w:type="dxa"/>
      </w:tblCellMar>
    </w:tblPr>
  </w:style>
  <w:style w:type="table" w:customStyle="1" w:styleId="affa">
    <w:name w:val="affa"/>
    <w:basedOn w:val="TableNormal3"/>
    <w:tblPr>
      <w:tblStyleRowBandSize w:val="1"/>
      <w:tblStyleColBandSize w:val="1"/>
      <w:tblCellMar>
        <w:top w:w="55" w:type="dxa"/>
        <w:left w:w="54" w:type="dxa"/>
        <w:bottom w:w="55" w:type="dxa"/>
        <w:right w:w="55" w:type="dxa"/>
      </w:tblCellMar>
    </w:tblPr>
  </w:style>
  <w:style w:type="table" w:customStyle="1" w:styleId="affb">
    <w:name w:val="affb"/>
    <w:basedOn w:val="TableNormal3"/>
    <w:tblPr>
      <w:tblStyleRowBandSize w:val="1"/>
      <w:tblStyleColBandSize w:val="1"/>
      <w:tblCellMar>
        <w:top w:w="55" w:type="dxa"/>
        <w:left w:w="54" w:type="dxa"/>
        <w:bottom w:w="55" w:type="dxa"/>
        <w:right w:w="55" w:type="dxa"/>
      </w:tblCellMar>
    </w:tblPr>
  </w:style>
  <w:style w:type="table" w:customStyle="1" w:styleId="affc">
    <w:name w:val="affc"/>
    <w:basedOn w:val="TableNormal3"/>
    <w:tblPr>
      <w:tblStyleRowBandSize w:val="1"/>
      <w:tblStyleColBandSize w:val="1"/>
      <w:tblCellMar>
        <w:left w:w="70" w:type="dxa"/>
        <w:right w:w="70" w:type="dxa"/>
      </w:tblCellMar>
    </w:tblPr>
  </w:style>
  <w:style w:type="paragraph" w:styleId="Sumrio4">
    <w:name w:val="toc 4"/>
    <w:basedOn w:val="Normal"/>
    <w:next w:val="Normal"/>
    <w:autoRedefine/>
    <w:uiPriority w:val="39"/>
    <w:unhideWhenUsed/>
    <w:rsid w:val="00AE4942"/>
    <w:pPr>
      <w:suppressAutoHyphens w:val="0"/>
      <w:spacing w:after="100" w:line="259" w:lineRule="auto"/>
      <w:ind w:leftChars="0" w:left="660" w:firstLineChars="0" w:firstLine="0"/>
      <w:textDirection w:val="lrTb"/>
      <w:textAlignment w:val="auto"/>
      <w:outlineLvl w:val="9"/>
    </w:pPr>
    <w:rPr>
      <w:rFonts w:asciiTheme="minorHAnsi" w:eastAsiaTheme="minorEastAsia" w:hAnsiTheme="minorHAnsi" w:cstheme="minorBidi"/>
      <w:color w:val="auto"/>
      <w:position w:val="0"/>
      <w:sz w:val="22"/>
      <w:szCs w:val="22"/>
    </w:rPr>
  </w:style>
  <w:style w:type="paragraph" w:styleId="Sumrio5">
    <w:name w:val="toc 5"/>
    <w:basedOn w:val="Normal"/>
    <w:next w:val="Normal"/>
    <w:autoRedefine/>
    <w:uiPriority w:val="39"/>
    <w:unhideWhenUsed/>
    <w:rsid w:val="00AE4942"/>
    <w:pPr>
      <w:suppressAutoHyphens w:val="0"/>
      <w:spacing w:after="100" w:line="259" w:lineRule="auto"/>
      <w:ind w:leftChars="0" w:left="880" w:firstLineChars="0" w:firstLine="0"/>
      <w:textDirection w:val="lrTb"/>
      <w:textAlignment w:val="auto"/>
      <w:outlineLvl w:val="9"/>
    </w:pPr>
    <w:rPr>
      <w:rFonts w:asciiTheme="minorHAnsi" w:eastAsiaTheme="minorEastAsia" w:hAnsiTheme="minorHAnsi" w:cstheme="minorBidi"/>
      <w:color w:val="auto"/>
      <w:position w:val="0"/>
      <w:sz w:val="22"/>
      <w:szCs w:val="22"/>
    </w:rPr>
  </w:style>
  <w:style w:type="paragraph" w:styleId="Sumrio6">
    <w:name w:val="toc 6"/>
    <w:basedOn w:val="Normal"/>
    <w:next w:val="Normal"/>
    <w:autoRedefine/>
    <w:uiPriority w:val="39"/>
    <w:unhideWhenUsed/>
    <w:rsid w:val="00AE4942"/>
    <w:pPr>
      <w:suppressAutoHyphens w:val="0"/>
      <w:spacing w:after="100" w:line="259" w:lineRule="auto"/>
      <w:ind w:leftChars="0" w:left="1100" w:firstLineChars="0" w:firstLine="0"/>
      <w:textDirection w:val="lrTb"/>
      <w:textAlignment w:val="auto"/>
      <w:outlineLvl w:val="9"/>
    </w:pPr>
    <w:rPr>
      <w:rFonts w:asciiTheme="minorHAnsi" w:eastAsiaTheme="minorEastAsia" w:hAnsiTheme="minorHAnsi" w:cstheme="minorBidi"/>
      <w:color w:val="auto"/>
      <w:position w:val="0"/>
      <w:sz w:val="22"/>
      <w:szCs w:val="22"/>
    </w:rPr>
  </w:style>
  <w:style w:type="paragraph" w:styleId="Sumrio7">
    <w:name w:val="toc 7"/>
    <w:basedOn w:val="Normal"/>
    <w:next w:val="Normal"/>
    <w:autoRedefine/>
    <w:uiPriority w:val="39"/>
    <w:unhideWhenUsed/>
    <w:rsid w:val="00AE4942"/>
    <w:pPr>
      <w:suppressAutoHyphens w:val="0"/>
      <w:spacing w:after="100" w:line="259" w:lineRule="auto"/>
      <w:ind w:leftChars="0" w:left="1320" w:firstLineChars="0" w:firstLine="0"/>
      <w:textDirection w:val="lrTb"/>
      <w:textAlignment w:val="auto"/>
      <w:outlineLvl w:val="9"/>
    </w:pPr>
    <w:rPr>
      <w:rFonts w:asciiTheme="minorHAnsi" w:eastAsiaTheme="minorEastAsia" w:hAnsiTheme="minorHAnsi" w:cstheme="minorBidi"/>
      <w:color w:val="auto"/>
      <w:position w:val="0"/>
      <w:sz w:val="22"/>
      <w:szCs w:val="22"/>
    </w:rPr>
  </w:style>
  <w:style w:type="paragraph" w:styleId="Sumrio8">
    <w:name w:val="toc 8"/>
    <w:basedOn w:val="Normal"/>
    <w:next w:val="Normal"/>
    <w:autoRedefine/>
    <w:uiPriority w:val="39"/>
    <w:unhideWhenUsed/>
    <w:rsid w:val="00AE4942"/>
    <w:pPr>
      <w:suppressAutoHyphens w:val="0"/>
      <w:spacing w:after="100" w:line="259" w:lineRule="auto"/>
      <w:ind w:leftChars="0" w:left="1540" w:firstLineChars="0" w:firstLine="0"/>
      <w:textDirection w:val="lrTb"/>
      <w:textAlignment w:val="auto"/>
      <w:outlineLvl w:val="9"/>
    </w:pPr>
    <w:rPr>
      <w:rFonts w:asciiTheme="minorHAnsi" w:eastAsiaTheme="minorEastAsia" w:hAnsiTheme="minorHAnsi" w:cstheme="minorBidi"/>
      <w:color w:val="auto"/>
      <w:position w:val="0"/>
      <w:sz w:val="22"/>
      <w:szCs w:val="22"/>
    </w:rPr>
  </w:style>
  <w:style w:type="paragraph" w:styleId="Sumrio9">
    <w:name w:val="toc 9"/>
    <w:basedOn w:val="Normal"/>
    <w:next w:val="Normal"/>
    <w:autoRedefine/>
    <w:uiPriority w:val="39"/>
    <w:unhideWhenUsed/>
    <w:rsid w:val="00AE4942"/>
    <w:pPr>
      <w:suppressAutoHyphens w:val="0"/>
      <w:spacing w:after="100" w:line="259" w:lineRule="auto"/>
      <w:ind w:leftChars="0" w:left="1760" w:firstLineChars="0" w:firstLine="0"/>
      <w:textDirection w:val="lrTb"/>
      <w:textAlignment w:val="auto"/>
      <w:outlineLvl w:val="9"/>
    </w:pPr>
    <w:rPr>
      <w:rFonts w:asciiTheme="minorHAnsi" w:eastAsiaTheme="minorEastAsia" w:hAnsiTheme="minorHAnsi" w:cstheme="minorBidi"/>
      <w:color w:val="auto"/>
      <w:position w:val="0"/>
      <w:sz w:val="22"/>
      <w:szCs w:val="22"/>
    </w:rPr>
  </w:style>
  <w:style w:type="character" w:customStyle="1" w:styleId="MenoPendente1">
    <w:name w:val="Menção Pendente1"/>
    <w:basedOn w:val="Fontepargpadro"/>
    <w:uiPriority w:val="99"/>
    <w:semiHidden/>
    <w:unhideWhenUsed/>
    <w:rsid w:val="00AE4942"/>
    <w:rPr>
      <w:color w:val="605E5C"/>
      <w:shd w:val="clear" w:color="auto" w:fill="E1DFDD"/>
    </w:rPr>
  </w:style>
  <w:style w:type="paragraph" w:styleId="PargrafodaLista">
    <w:name w:val="List Paragraph"/>
    <w:basedOn w:val="Normal"/>
    <w:uiPriority w:val="34"/>
    <w:qFormat/>
    <w:rsid w:val="00034AD7"/>
    <w:pPr>
      <w:ind w:left="720"/>
      <w:contextualSpacing/>
    </w:pPr>
  </w:style>
  <w:style w:type="character" w:customStyle="1" w:styleId="apple-tab-span">
    <w:name w:val="apple-tab-span"/>
    <w:basedOn w:val="Fontepargpadro"/>
    <w:rsid w:val="0043147F"/>
  </w:style>
  <w:style w:type="table" w:customStyle="1" w:styleId="affd">
    <w:name w:val="affd"/>
    <w:basedOn w:val="TableNormal1"/>
    <w:tblPr>
      <w:tblStyleRowBandSize w:val="1"/>
      <w:tblStyleColBandSize w:val="1"/>
      <w:tblCellMar>
        <w:top w:w="55" w:type="dxa"/>
        <w:left w:w="70" w:type="dxa"/>
        <w:bottom w:w="55" w:type="dxa"/>
        <w:right w:w="70" w:type="dxa"/>
      </w:tblCellMar>
    </w:tblPr>
  </w:style>
  <w:style w:type="table" w:customStyle="1" w:styleId="affe">
    <w:name w:val="affe"/>
    <w:basedOn w:val="TableNormal1"/>
    <w:tblPr>
      <w:tblStyleRowBandSize w:val="1"/>
      <w:tblStyleColBandSize w:val="1"/>
      <w:tblCellMar>
        <w:top w:w="55" w:type="dxa"/>
        <w:left w:w="70" w:type="dxa"/>
        <w:bottom w:w="55" w:type="dxa"/>
        <w:right w:w="70" w:type="dxa"/>
      </w:tblCellMar>
    </w:tblPr>
  </w:style>
  <w:style w:type="table" w:customStyle="1" w:styleId="afff">
    <w:name w:val="afff"/>
    <w:basedOn w:val="TableNormal1"/>
    <w:tblPr>
      <w:tblStyleRowBandSize w:val="1"/>
      <w:tblStyleColBandSize w:val="1"/>
      <w:tblCellMar>
        <w:top w:w="55" w:type="dxa"/>
        <w:left w:w="70" w:type="dxa"/>
        <w:bottom w:w="55" w:type="dxa"/>
        <w:right w:w="70" w:type="dxa"/>
      </w:tblCellMar>
    </w:tblPr>
  </w:style>
  <w:style w:type="table" w:customStyle="1" w:styleId="afff0">
    <w:name w:val="afff0"/>
    <w:basedOn w:val="TableNormal1"/>
    <w:tblPr>
      <w:tblStyleRowBandSize w:val="1"/>
      <w:tblStyleColBandSize w:val="1"/>
      <w:tblCellMar>
        <w:top w:w="55" w:type="dxa"/>
        <w:left w:w="70" w:type="dxa"/>
        <w:bottom w:w="55" w:type="dxa"/>
        <w:right w:w="70" w:type="dxa"/>
      </w:tblCellMar>
    </w:tblPr>
  </w:style>
  <w:style w:type="table" w:customStyle="1" w:styleId="afff1">
    <w:name w:val="afff1"/>
    <w:basedOn w:val="TableNormal1"/>
    <w:tblPr>
      <w:tblStyleRowBandSize w:val="1"/>
      <w:tblStyleColBandSize w:val="1"/>
      <w:tblCellMar>
        <w:top w:w="100" w:type="dxa"/>
        <w:left w:w="100" w:type="dxa"/>
        <w:bottom w:w="100" w:type="dxa"/>
        <w:right w:w="100" w:type="dxa"/>
      </w:tblCellMar>
    </w:tblPr>
  </w:style>
  <w:style w:type="table" w:customStyle="1" w:styleId="afff2">
    <w:name w:val="afff2"/>
    <w:basedOn w:val="TableNormal1"/>
    <w:tblPr>
      <w:tblStyleRowBandSize w:val="1"/>
      <w:tblStyleColBandSize w:val="1"/>
      <w:tblCellMar>
        <w:top w:w="100" w:type="dxa"/>
        <w:left w:w="100" w:type="dxa"/>
        <w:bottom w:w="100" w:type="dxa"/>
        <w:right w:w="100" w:type="dxa"/>
      </w:tblCellMar>
    </w:tblPr>
  </w:style>
  <w:style w:type="table" w:customStyle="1" w:styleId="afff3">
    <w:name w:val="afff3"/>
    <w:basedOn w:val="TableNormal1"/>
    <w:tblPr>
      <w:tblStyleRowBandSize w:val="1"/>
      <w:tblStyleColBandSize w:val="1"/>
      <w:tblCellMar>
        <w:top w:w="100" w:type="dxa"/>
        <w:left w:w="100" w:type="dxa"/>
        <w:bottom w:w="100" w:type="dxa"/>
        <w:right w:w="100" w:type="dxa"/>
      </w:tblCellMar>
    </w:tblPr>
  </w:style>
  <w:style w:type="table" w:customStyle="1" w:styleId="afff4">
    <w:name w:val="afff4"/>
    <w:basedOn w:val="TableNormal1"/>
    <w:tblPr>
      <w:tblStyleRowBandSize w:val="1"/>
      <w:tblStyleColBandSize w:val="1"/>
      <w:tblCellMar>
        <w:top w:w="100" w:type="dxa"/>
        <w:left w:w="100" w:type="dxa"/>
        <w:bottom w:w="100" w:type="dxa"/>
        <w:right w:w="100" w:type="dxa"/>
      </w:tblCellMar>
    </w:tblPr>
  </w:style>
  <w:style w:type="table" w:customStyle="1" w:styleId="afff5">
    <w:name w:val="afff5"/>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15P1KGJERRM2rq1tT7I+xlnFjw==">CgMxLjAaJQoBMBIgCh4IB0IaCg9UaW1lcyBOZXcgUm9tYW4SB0d1bmdzdWgyCWguNDRzaW5pbzIIaC5xc2g3MHEyCWguMzJoaW9xejIJaC4xaG1zeXlzMg5oLjczNnl0MW04aWV4cjIJaC40MW1naG1s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5oLng1OTQ0MnN4Zm9waDIJaC4xeDBnazM3MgloLjRoMDQycjAyCWguMnc1ZWN5dDIJaC4xYmFvbjZtMgloLjN2YWM1dWYyDmgueGdodXFub3Zqd2FxMgloLjJhZm1nMjgyCGgucGt3cWExMg5oLmU2ZGp6YnZ2cjZ5YTIJaC4zOWtrOHh1MgloLjFvcHVqNW4yCWguNDhwaTF0ZzIJaC4ybnVzYzE5MgloLjEzMDJtOTIyCWguM216cTR3djIJaC4yMjUwZjRvMg5oLmdmNzV0M3RsZWdiMjIOaC5tZnJsMm4zYWx5eHAyCWguMzE5eTgwYTIJaC4xZ2Y4aTgzMg5oLnZybzBlanVtNGV3czIOaC5mN2YxdjNybHFqd2oyCWguMXR1ZWU3NDIJaC40ZHUxd3V4Mg1oLnRpaTh6NHVzMjIxMgloLjJzemM3MnEyCGguejMzN3lhMgloLjE4NG1oYWoyDmgudm53Z3VxdDZ6bWw2MgloLjNzNDl6eWMyCWguMjc5a2E2NTIIaC5tZXVrZHkyCWguMjc5a2E2NTIOaC5hNndnb3FqY25lZXEyCGgubWV1a2R5Mg5oLnJoN3BuczF5c281bzIJaC4zNmVpMzFyMgloLjFsanNkOWsyCWguNDVqZnZ4ZDIOaC4zaGs3aGx5Y2NsMDkyDmguNzZsbDZpd2pjdnNuMg5oLjdlcTNwcjc2YTg3aTIOaC5vazFkczNsYnRma3IyDmguejRqODdicDVhbHNzMgloLjJrb3E2NTYyCGguenUwZ2N6MgloLjNqdG56MHMyCWguMXl5eTk4bDIJaC40aXlscndlMg5oLmk0Y2JpcjhqNnp4NzIJaC4yeTN3MjQ3Mg5oLjM1d2dtcTE4ZHVsbDIJaC4xZDk2Y2MwMg5oLjRmcm5pNG50cmQ5cTIJaC4yeTN3MjQ3Mg5oLmdzMTlvNWF3cjhtZzIJaC4zYmoxeTM4Mg5oLnNydnh4MXA1bjQ3NjIJaC4xcW9jOGIxMgloLjRhbnpxeXUyDmguOGQ3b3Z1MTQ1bHQ3MgloLjJwdGExNm4yCWguMTR5a2JlZzIJaC4zb3k3dTI5MgloLjI0M2k0YTIyCGguajhzZWh2Mg5oLmJkenhrbmxmMGY1YzIOaC5qbWdtb3JqaTRnbXIyCWguMzM4Zng1bzIJaC4xaWRxN2RoMg5oLmxjYmRodjJvM3BndTIOaC45bHNucTg0aXhsa2QyDmgucG90dGYxOHRqMzZkMgloLjQyZGRxMWEyCWguMmhpbzA5MzIIaC53bnlhZ3cyCWguM3UycnAzcTIJaC4yOTgxemJqMghoLm9kYzlqYzIJaC4zOGN6czc1Mg5oLjc5anB2NzM3czJ0bjIJaC4xbmlhMmV5MgloLjQ3aHhsMnIyDmgucWdnbmw1Yzdhc2ZuMgloLjNsczVvNjYyDmguc2YydWQzOWphZ3d1MgloLjFmN28xaGUyDmguN3l5YjN6Ym4zM2wzMg5oLnh5a2JlbzdraDMxODIOaC44cmVmYXc5MmgzaTEyCWguMmVjbHVkMDIOaC5oMWl0cXV5Y2ZpYXQyCGgudGh3NGt0OABqTQo1c3VnZ2VzdElkSW1wb3J0YzM2ZTg2OWQtNTQ4Mi00YmZhLWI1MzYtZTczOGQ0ZDQ5YWM4XzESFE1hcmNvcyBBbHZlcyBEZSBMaW1hak0KNXN1Z2dlc3RJZEltcG9ydGMzNmU4NjlkLTU0ODItNGJmYS1iNTM2LWU3MzhkNGQ0OWFjOF8yEhRNYXJjb3MgQWx2ZXMgRGUgTGltYWosChRzdWdnZXN0LjVtNHQ3eHBpcTZ1cRIUTWFyY29zIEFsdmVzIERlIExpbWFqLAoUc3VnZ2VzdC5iMXFmOWpkYjR4bWsSFE1hcmNvcyBBbHZlcyBEZSBMaW1hciExcXZmNWNrOVM2MTJKQ0gzN1JIblVRSVJOaV9KWGRya0s=</go:docsCustomData>
</go:gDocsCustomXmlDataStorage>
</file>

<file path=customXml/itemProps1.xml><?xml version="1.0" encoding="utf-8"?>
<ds:datastoreItem xmlns:ds="http://schemas.openxmlformats.org/officeDocument/2006/customXml" ds:itemID="{F09812AA-1B73-4312-B166-E957ABAAE70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3580</Words>
  <Characters>19333</Characters>
  <Application>Microsoft Office Word</Application>
  <DocSecurity>0</DocSecurity>
  <Lines>161</Lines>
  <Paragraphs>45</Paragraphs>
  <ScaleCrop>false</ScaleCrop>
  <Company/>
  <LinksUpToDate>false</LinksUpToDate>
  <CharactersWithSpaces>22868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Palacios</dc:creator>
  <cp:lastModifiedBy>marcos borges</cp:lastModifiedBy>
  <cp:revision>4</cp:revision>
  <dcterms:created xsi:type="dcterms:W3CDTF">2023-08-03T12:47:00Z</dcterms:created>
  <dcterms:modified xsi:type="dcterms:W3CDTF">2026-01-20T12:23:00Z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endeley Recent Style Id 0_1">
    <vt:lpwstr>http://www.zotero.org/styles/apa</vt:lpwstr>
  </property>
  <property fmtid="{D5CDD505-2E9C-101B-9397-08002B2CF9AE}" pid="7" name="Mendeley Recent Style Id 1_1">
    <vt:lpwstr>http://www.zotero.org/styles/american-sociological-association</vt:lpwstr>
  </property>
  <property fmtid="{D5CDD505-2E9C-101B-9397-08002B2CF9AE}" pid="8" name="Mendeley Recent Style Id 2_1">
    <vt:lpwstr>http://www.zotero.org/styles/harvard-cite-them-right</vt:lpwstr>
  </property>
  <property fmtid="{D5CDD505-2E9C-101B-9397-08002B2CF9AE}" pid="9" name="Mendeley Recent Style Id 3_1">
    <vt:lpwstr>http://www.zotero.org/styles/frontiers</vt:lpwstr>
  </property>
  <property fmtid="{D5CDD505-2E9C-101B-9397-08002B2CF9AE}" pid="10" name="Mendeley Recent Style Id 4_1">
    <vt:lpwstr>http://www.zotero.org/styles/ieee</vt:lpwstr>
  </property>
  <property fmtid="{D5CDD505-2E9C-101B-9397-08002B2CF9AE}" pid="11" name="Mendeley Recent Style Id 5_1">
    <vt:lpwstr>http://www.zotero.org/styles/modern-humanities-research-association</vt:lpwstr>
  </property>
  <property fmtid="{D5CDD505-2E9C-101B-9397-08002B2CF9AE}" pid="12" name="Mendeley Recent Style Id 6_1">
    <vt:lpwstr>http://www.zotero.org/styles/modern-language-association</vt:lpwstr>
  </property>
  <property fmtid="{D5CDD505-2E9C-101B-9397-08002B2CF9AE}" pid="13" name="Mendeley Recent Style Id 7_1">
    <vt:lpwstr>http://www.zotero.org/styles/nature</vt:lpwstr>
  </property>
  <property fmtid="{D5CDD505-2E9C-101B-9397-08002B2CF9AE}" pid="14" name="Mendeley Recent Style Id 8_1">
    <vt:lpwstr>http://www.zotero.org/styles/the-lancet</vt:lpwstr>
  </property>
  <property fmtid="{D5CDD505-2E9C-101B-9397-08002B2CF9AE}" pid="15" name="Mendeley Recent Style Id 9_1">
    <vt:lpwstr>http://www.zotero.org/styles/vancouver</vt:lpwstr>
  </property>
  <property fmtid="{D5CDD505-2E9C-101B-9397-08002B2CF9AE}" pid="16" name="Mendeley Recent Style Name 0_1">
    <vt:lpwstr>American Psychological Association 7th edition</vt:lpwstr>
  </property>
  <property fmtid="{D5CDD505-2E9C-101B-9397-08002B2CF9AE}" pid="17" name="Mendeley Recent Style Name 1_1">
    <vt:lpwstr>American Sociological Association 6th edition</vt:lpwstr>
  </property>
  <property fmtid="{D5CDD505-2E9C-101B-9397-08002B2CF9AE}" pid="18" name="Mendeley Recent Style Name 2_1">
    <vt:lpwstr>Cite Them Right 10th edition - Harvard</vt:lpwstr>
  </property>
  <property fmtid="{D5CDD505-2E9C-101B-9397-08002B2CF9AE}" pid="19" name="Mendeley Recent Style Name 3_1">
    <vt:lpwstr>Frontiers journals</vt:lpwstr>
  </property>
  <property fmtid="{D5CDD505-2E9C-101B-9397-08002B2CF9AE}" pid="20" name="Mendeley Recent Style Name 4_1">
    <vt:lpwstr>IEEE</vt:lpwstr>
  </property>
  <property fmtid="{D5CDD505-2E9C-101B-9397-08002B2CF9AE}" pid="21" name="Mendeley Recent Style Name 5_1">
    <vt:lpwstr>Modern Humanities Research Association 3rd edition (note with bibliography)</vt:lpwstr>
  </property>
  <property fmtid="{D5CDD505-2E9C-101B-9397-08002B2CF9AE}" pid="22" name="Mendeley Recent Style Name 6_1">
    <vt:lpwstr>Modern Language Association 8th edition</vt:lpwstr>
  </property>
  <property fmtid="{D5CDD505-2E9C-101B-9397-08002B2CF9AE}" pid="23" name="Mendeley Recent Style Name 7_1">
    <vt:lpwstr>Nature</vt:lpwstr>
  </property>
  <property fmtid="{D5CDD505-2E9C-101B-9397-08002B2CF9AE}" pid="24" name="Mendeley Recent Style Name 8_1">
    <vt:lpwstr>The Lancet</vt:lpwstr>
  </property>
  <property fmtid="{D5CDD505-2E9C-101B-9397-08002B2CF9AE}" pid="25" name="Mendeley Recent Style Name 9_1">
    <vt:lpwstr>Vancouver</vt:lpwstr>
  </property>
  <property fmtid="{D5CDD505-2E9C-101B-9397-08002B2CF9AE}" pid="26" name="ScaleCrop">
    <vt:bool>false</vt:bool>
  </property>
  <property fmtid="{D5CDD505-2E9C-101B-9397-08002B2CF9AE}" pid="27" name="ShareDoc">
    <vt:bool>false</vt:bool>
  </property>
</Properties>
</file>