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3701" w14:textId="3887828A" w:rsidR="00D41260" w:rsidRDefault="009822EA">
      <w:pPr>
        <w:rPr>
          <w:rFonts w:ascii="Times New Roman" w:eastAsia="Times New Roman" w:hAnsi="Times New Roman" w:cs="Times New Roman"/>
          <w:b/>
          <w:bCs/>
          <w:sz w:val="24"/>
          <w:szCs w:val="24"/>
          <w:lang w:eastAsia="en-IN"/>
        </w:rPr>
      </w:pPr>
      <w:r w:rsidRPr="005911D0">
        <w:rPr>
          <w:rFonts w:ascii="Times New Roman" w:hAnsi="Times New Roman" w:cs="Times New Roman"/>
          <w:b/>
          <w:bCs/>
          <w:sz w:val="24"/>
          <w:szCs w:val="24"/>
        </w:rPr>
        <w:t xml:space="preserve">Table </w:t>
      </w:r>
      <w:r w:rsidRPr="00C34650">
        <w:rPr>
          <w:rFonts w:ascii="Times New Roman" w:hAnsi="Times New Roman" w:cs="Times New Roman"/>
          <w:b/>
          <w:bCs/>
          <w:sz w:val="24"/>
          <w:szCs w:val="24"/>
        </w:rPr>
        <w:t>S</w:t>
      </w:r>
      <w:r>
        <w:rPr>
          <w:rFonts w:ascii="Times New Roman" w:hAnsi="Times New Roman" w:cs="Times New Roman"/>
          <w:b/>
          <w:bCs/>
          <w:sz w:val="24"/>
          <w:szCs w:val="24"/>
        </w:rPr>
        <w:t xml:space="preserve">9 </w:t>
      </w:r>
      <w:r w:rsidRPr="009822EA">
        <w:rPr>
          <w:rFonts w:ascii="Times New Roman" w:eastAsia="Times New Roman" w:hAnsi="Times New Roman" w:cs="Times New Roman"/>
          <w:b/>
          <w:bCs/>
          <w:sz w:val="24"/>
          <w:szCs w:val="24"/>
          <w:lang w:eastAsia="en-IN"/>
        </w:rPr>
        <w:t>Root expression analysis under progressive drought of plant at flowering stage</w:t>
      </w:r>
      <w:r>
        <w:rPr>
          <w:rFonts w:ascii="Times New Roman" w:eastAsia="Times New Roman" w:hAnsi="Times New Roman" w:cs="Times New Roman"/>
          <w:b/>
          <w:bCs/>
          <w:sz w:val="24"/>
          <w:szCs w:val="24"/>
          <w:lang w:eastAsia="en-IN"/>
        </w:rPr>
        <w:t xml:space="preserve"> by </w:t>
      </w:r>
      <w:r>
        <w:rPr>
          <w:rFonts w:ascii="Times New Roman" w:eastAsia="Times New Roman" w:hAnsi="Times New Roman" w:cs="Times New Roman"/>
          <w:b/>
          <w:bCs/>
          <w:sz w:val="24"/>
          <w:szCs w:val="24"/>
          <w:lang w:eastAsia="en-IN"/>
        </w:rPr>
        <w:fldChar w:fldCharType="begin" w:fldLock="1"/>
      </w:r>
      <w:r>
        <w:rPr>
          <w:rFonts w:ascii="Times New Roman" w:eastAsia="Times New Roman" w:hAnsi="Times New Roman" w:cs="Times New Roman"/>
          <w:b/>
          <w:bCs/>
          <w:sz w:val="24"/>
          <w:szCs w:val="24"/>
          <w:lang w:eastAsia="en-IN"/>
        </w:rPr>
        <w:instrText>ADDIN CSL_CITATION {"citationItems":[{"id":"ITEM-1","itemData":{"DOI":"10.1002/tpg2.20337","ISSN":"19403372","abstract":"Drought is one of the major constraints limiting chickpea productivity. To unravel complex mechanisms regulating drought response in chickpea, we generated transcriptomics, proteomics, and metabolomics datasets from root tissues of four contrasting drought-responsive chickpea genotypes: ICC 4958, JG 11, and JG 11+ (drought-tolerant), and ICC 1882 (drought-sensitive) under control and drought stress conditions. Integration of transcriptomics and proteomics data identified enriched hub proteins encoding isoflavone 4′-O-methyltransferase, UDP-d-glucose/UDP-d-galactose 4-epimerase, and delta-1-pyrroline-5-carboxylate synthetase. These proteins highlighted the involvement of pathways such as antibiotic biosynthesis, galactose metabolism, and isoflavonoid biosynthesis in activating drought stress response mechanisms. Subsequently, the integration of metabolomics data identified six metabolites (fructose, galactose, glucose, myoinositol, galactinol, and raffinose) that showed a significant correlation with galactose metabolism. Integration of root-omics data also revealed some key candidate genes underlying the drought-responsive “QTL-hotspot” region. These results provided key insights into complex molecular mechanisms underlying drought stress response in chickpea.","author":[{"dropping-particle":"","family":"Kudapa","given":"Himabindu","non-dropping-particle":"","parse-names":false,"suffix":""},{"dropping-particle":"","family":"Ghatak","given":"Arindam","non-dropping-particle":"","parse-names":false,"suffix":""},{"dropping-particle":"","family":"Barmukh","given":"Rutwik","non-dropping-particle":"","parse-names":false,"suffix":""},{"dropping-particle":"","family":"Chaturvedi","given":"Palak","non-dropping-particle":"","parse-names":false,"suffix":""},{"dropping-particle":"","family":"Khan","given":"Aamir","non-dropping-particle":"","parse-names":false,"suffix":""},{"dropping-particle":"","family":"Kale","given":"Sandip","non-dropping-particle":"","parse-names":false,"suffix":""},{"dropping-particle":"","family":"Fragner","given":"Lena","non-dropping-particle":"","parse-names":false,"suffix":""},{"dropping-particle":"","family":"Chitikineni","given":"Annapurna","non-dropping-particle":"","parse-names":false,"suffix":""},{"dropping-particle":"","family":"Weckwerth","given":"Wolfram","non-dropping-particle":"","parse-names":false,"suffix":""},{"dropping-particle":"","family":"Varshney","given":"Rajeev K.","non-dropping-particle":"","parse-names":false,"suffix":""}],"container-title":"Plant Genome","id":"ITEM-1","issued":{"date-parts":[["2023"]]},"title":"Integrated multi-omics analysis reveals drought stress response mechanism in chickpea (Cicer arietinum L.)","type":"article-journal"},"uris":["http://www.mendeley.com/documents/?uuid=cc60a3ff-d37d-3f76-8d69-3b1b05b31683"]}],"mendeley":{"formattedCitation":"(Kudapa et al., 2023)","manualFormatting":"Kudapa et al., 2023","plainTextFormattedCitation":"(Kudapa et al., 2023)","previouslyFormattedCitation":"(Kudapa et al., 2023)"},"properties":{"noteIndex":0},"schema":"https://github.com/citation-style-language/schema/raw/master/csl-citation.json"}</w:instrText>
      </w:r>
      <w:r>
        <w:rPr>
          <w:rFonts w:ascii="Times New Roman" w:eastAsia="Times New Roman" w:hAnsi="Times New Roman" w:cs="Times New Roman"/>
          <w:b/>
          <w:bCs/>
          <w:sz w:val="24"/>
          <w:szCs w:val="24"/>
          <w:lang w:eastAsia="en-IN"/>
        </w:rPr>
        <w:fldChar w:fldCharType="separate"/>
      </w:r>
      <w:r w:rsidRPr="009822EA">
        <w:rPr>
          <w:rFonts w:ascii="Times New Roman" w:eastAsia="Times New Roman" w:hAnsi="Times New Roman" w:cs="Times New Roman"/>
          <w:bCs/>
          <w:noProof/>
          <w:sz w:val="24"/>
          <w:szCs w:val="24"/>
          <w:lang w:eastAsia="en-IN"/>
        </w:rPr>
        <w:t>Kudapa et al., 2023</w:t>
      </w:r>
      <w:r>
        <w:rPr>
          <w:rFonts w:ascii="Times New Roman" w:eastAsia="Times New Roman" w:hAnsi="Times New Roman" w:cs="Times New Roman"/>
          <w:b/>
          <w:bCs/>
          <w:sz w:val="24"/>
          <w:szCs w:val="24"/>
          <w:lang w:eastAsia="en-IN"/>
        </w:rPr>
        <w:fldChar w:fldCharType="end"/>
      </w:r>
    </w:p>
    <w:tbl>
      <w:tblPr>
        <w:tblW w:w="9355" w:type="dxa"/>
        <w:tblLook w:val="04A0" w:firstRow="1" w:lastRow="0" w:firstColumn="1" w:lastColumn="0" w:noHBand="0" w:noVBand="1"/>
      </w:tblPr>
      <w:tblGrid>
        <w:gridCol w:w="2785"/>
        <w:gridCol w:w="3330"/>
        <w:gridCol w:w="3240"/>
      </w:tblGrid>
      <w:tr w:rsidR="009822EA" w:rsidRPr="009822EA" w14:paraId="2E4D1AA5"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FECA3A" w14:textId="77777777" w:rsidR="009822EA" w:rsidRPr="009822EA" w:rsidRDefault="009822EA" w:rsidP="009822EA">
            <w:pPr>
              <w:spacing w:after="0" w:line="240" w:lineRule="auto"/>
              <w:jc w:val="center"/>
              <w:rPr>
                <w:rFonts w:ascii="Times New Roman" w:eastAsia="Times New Roman" w:hAnsi="Times New Roman" w:cs="Times New Roman"/>
                <w:b/>
                <w:bCs/>
                <w:color w:val="000000"/>
                <w:sz w:val="24"/>
                <w:szCs w:val="24"/>
              </w:rPr>
            </w:pPr>
            <w:r w:rsidRPr="009822EA">
              <w:rPr>
                <w:rFonts w:ascii="Times New Roman" w:eastAsia="Times New Roman" w:hAnsi="Times New Roman" w:cs="Times New Roman"/>
                <w:b/>
                <w:bCs/>
                <w:color w:val="000000"/>
                <w:sz w:val="24"/>
                <w:szCs w:val="24"/>
              </w:rPr>
              <w:t>Gene Name</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A0EA49" w14:textId="77777777" w:rsidR="009822EA" w:rsidRPr="009822EA" w:rsidRDefault="009822EA" w:rsidP="009822EA">
            <w:pPr>
              <w:spacing w:after="0" w:line="240" w:lineRule="auto"/>
              <w:jc w:val="center"/>
              <w:rPr>
                <w:rFonts w:ascii="Times New Roman" w:eastAsia="Times New Roman" w:hAnsi="Times New Roman" w:cs="Times New Roman"/>
                <w:b/>
                <w:bCs/>
                <w:color w:val="000000"/>
                <w:sz w:val="24"/>
                <w:szCs w:val="24"/>
              </w:rPr>
            </w:pPr>
            <w:r w:rsidRPr="009822EA">
              <w:rPr>
                <w:rFonts w:ascii="Times New Roman" w:eastAsia="Times New Roman" w:hAnsi="Times New Roman" w:cs="Times New Roman"/>
                <w:b/>
                <w:bCs/>
                <w:color w:val="000000"/>
                <w:sz w:val="24"/>
                <w:szCs w:val="24"/>
              </w:rPr>
              <w:t>ICC 4958_C</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48DCD8" w14:textId="77777777" w:rsidR="009822EA" w:rsidRPr="009822EA" w:rsidRDefault="009822EA" w:rsidP="009822EA">
            <w:pPr>
              <w:spacing w:after="0" w:line="240" w:lineRule="auto"/>
              <w:jc w:val="center"/>
              <w:rPr>
                <w:rFonts w:ascii="Times New Roman" w:eastAsia="Times New Roman" w:hAnsi="Times New Roman" w:cs="Times New Roman"/>
                <w:b/>
                <w:bCs/>
                <w:color w:val="000000"/>
                <w:sz w:val="24"/>
                <w:szCs w:val="24"/>
              </w:rPr>
            </w:pPr>
            <w:r w:rsidRPr="009822EA">
              <w:rPr>
                <w:rFonts w:ascii="Times New Roman" w:eastAsia="Times New Roman" w:hAnsi="Times New Roman" w:cs="Times New Roman"/>
                <w:b/>
                <w:bCs/>
                <w:color w:val="000000"/>
                <w:sz w:val="24"/>
                <w:szCs w:val="24"/>
              </w:rPr>
              <w:t>ICC 4958_S</w:t>
            </w:r>
          </w:p>
        </w:tc>
      </w:tr>
      <w:tr w:rsidR="009822EA" w:rsidRPr="009822EA" w14:paraId="393E3598"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03ED0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CaCaM1</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AA060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10.763</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B53EF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8.31656</w:t>
            </w:r>
          </w:p>
        </w:tc>
      </w:tr>
      <w:tr w:rsidR="009822EA" w:rsidRPr="009822EA" w14:paraId="13711699"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9ADF5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CaCaM2</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77AFC7"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72.9124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9F399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80.7509</w:t>
            </w:r>
          </w:p>
        </w:tc>
      </w:tr>
      <w:tr w:rsidR="009822EA" w:rsidRPr="009822EA" w14:paraId="5CB8C838"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7C9CA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CaCaM4</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92D84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10.4921</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7F464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13.4432</w:t>
            </w:r>
          </w:p>
        </w:tc>
      </w:tr>
      <w:tr w:rsidR="009822EA" w:rsidRPr="009822EA" w14:paraId="0482EA7C"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E5FAD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CaCaM5</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D5C70E"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0.961193</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2249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3.18628</w:t>
            </w:r>
          </w:p>
        </w:tc>
      </w:tr>
      <w:tr w:rsidR="009822EA" w:rsidRPr="009822EA" w14:paraId="0D5D082A"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6A55E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CaCaM6</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6EC310"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3E3AA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2B9BBA79"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0EF18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54795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58.5742</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C012B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128.007</w:t>
            </w:r>
          </w:p>
        </w:tc>
      </w:tr>
      <w:tr w:rsidR="009822EA" w:rsidRPr="009822EA" w14:paraId="502E63C1"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4D775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CaCML2</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E7439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1866D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3AB01E36"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B5C38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CaCML3</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1BA2E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4672D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4F8B6AA7"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83C660"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CaCML4</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5E12A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1.11987</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FEC9AB"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13.15</w:t>
            </w:r>
          </w:p>
        </w:tc>
      </w:tr>
      <w:tr w:rsidR="009822EA" w:rsidRPr="009822EA" w14:paraId="16C7F28A"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87781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CaCML5</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16C1A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1.77903</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0FFF7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4.82892</w:t>
            </w:r>
          </w:p>
        </w:tc>
      </w:tr>
      <w:tr w:rsidR="009822EA" w:rsidRPr="009822EA" w14:paraId="4B13EA00"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B0531B"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CaCML6</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70E46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F7736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2D7BE8E2"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04CDD4"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CaCML7</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910F7"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40.4183</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EC8A2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24.0091</w:t>
            </w:r>
          </w:p>
        </w:tc>
      </w:tr>
      <w:tr w:rsidR="009822EA" w:rsidRPr="009822EA" w14:paraId="6E3A3E6B"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A1F83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CaCML8</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BC7F8B"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1.71214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75D35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2.08325</w:t>
            </w:r>
          </w:p>
        </w:tc>
      </w:tr>
      <w:tr w:rsidR="009822EA" w:rsidRPr="009822EA" w14:paraId="2C66F819"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79927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CaCML9</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F3F7C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7486D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54512C81"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489DD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CaCML10</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DB206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10.9442</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76380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20.042</w:t>
            </w:r>
          </w:p>
        </w:tc>
      </w:tr>
      <w:tr w:rsidR="009822EA" w:rsidRPr="009822EA" w14:paraId="34E24560"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252C47"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CaCML11</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206A59"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9CA7E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2873698F"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8C426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CaCML12</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DC2AA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18.3783</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5E371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17.7282</w:t>
            </w:r>
          </w:p>
        </w:tc>
      </w:tr>
      <w:tr w:rsidR="009822EA" w:rsidRPr="009822EA" w14:paraId="08B1E6E7"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A5596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CaCML13</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62D48D"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80F7DE"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109EBFCD"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F3EAE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CaCML14</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88A372"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2.04234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F3375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0.517947</w:t>
            </w:r>
          </w:p>
        </w:tc>
      </w:tr>
      <w:tr w:rsidR="009822EA" w:rsidRPr="009822EA" w14:paraId="3DCFB1D9"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30E1FB"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CaCML15</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A311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1A80E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24DBB6CF"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E6B7C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CaCML16</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26623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92553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1CC1C423"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00F3E6"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CaCML17</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998A14"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532510"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578FC441"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8E26C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CaCML18</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72F66F"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650578"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274CFD75"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68CE99"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CaCML19</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CAAD6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22.5404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6A4E5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11.992</w:t>
            </w:r>
          </w:p>
        </w:tc>
      </w:tr>
      <w:tr w:rsidR="009822EA" w:rsidRPr="009822EA" w14:paraId="3384E010"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449C5"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CaCML20</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AEE35B"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54FD44"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3161543E"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948ECC"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CaCML21</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36D870"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1.71364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1A2099"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0.132529</w:t>
            </w:r>
          </w:p>
        </w:tc>
      </w:tr>
      <w:tr w:rsidR="009822EA" w:rsidRPr="009822EA" w14:paraId="4421B347"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E98D03"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CaCML22</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D398AA"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946CE0"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#N/A</w:t>
            </w:r>
          </w:p>
        </w:tc>
      </w:tr>
      <w:tr w:rsidR="009822EA" w:rsidRPr="009822EA" w14:paraId="1F9C6603" w14:textId="77777777" w:rsidTr="009822EA">
        <w:trPr>
          <w:trHeight w:val="312"/>
        </w:trPr>
        <w:tc>
          <w:tcPr>
            <w:tcW w:w="27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E785D4"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CaCML23</w:t>
            </w:r>
          </w:p>
        </w:tc>
        <w:tc>
          <w:tcPr>
            <w:tcW w:w="3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060A74"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119.344</w:t>
            </w:r>
          </w:p>
        </w:tc>
        <w:tc>
          <w:tcPr>
            <w:tcW w:w="3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BE851" w14:textId="77777777" w:rsidR="009822EA" w:rsidRPr="009822EA" w:rsidRDefault="009822EA" w:rsidP="009822EA">
            <w:pPr>
              <w:spacing w:after="0" w:line="240" w:lineRule="auto"/>
              <w:jc w:val="center"/>
              <w:rPr>
                <w:rFonts w:ascii="Times New Roman" w:eastAsia="Times New Roman" w:hAnsi="Times New Roman" w:cs="Times New Roman"/>
                <w:color w:val="000000"/>
                <w:sz w:val="24"/>
                <w:szCs w:val="24"/>
              </w:rPr>
            </w:pPr>
            <w:r w:rsidRPr="009822EA">
              <w:rPr>
                <w:rFonts w:ascii="Times New Roman" w:eastAsia="Times New Roman" w:hAnsi="Times New Roman" w:cs="Times New Roman"/>
                <w:color w:val="000000"/>
                <w:sz w:val="24"/>
                <w:szCs w:val="24"/>
              </w:rPr>
              <w:t>9.65879</w:t>
            </w:r>
          </w:p>
        </w:tc>
      </w:tr>
    </w:tbl>
    <w:p w14:paraId="66D700E9" w14:textId="5430C7D8" w:rsidR="009822EA" w:rsidRDefault="009822EA"/>
    <w:p w14:paraId="6E6F846E" w14:textId="532F1D86" w:rsidR="009822EA" w:rsidRDefault="009822EA">
      <w:pPr>
        <w:rPr>
          <w:rFonts w:ascii="Times New Roman" w:hAnsi="Times New Roman" w:cs="Times New Roman"/>
          <w:b/>
          <w:bCs/>
          <w:sz w:val="24"/>
          <w:szCs w:val="24"/>
        </w:rPr>
      </w:pPr>
      <w:r w:rsidRPr="009822EA">
        <w:rPr>
          <w:rFonts w:ascii="Times New Roman" w:hAnsi="Times New Roman" w:cs="Times New Roman"/>
          <w:b/>
          <w:bCs/>
          <w:sz w:val="24"/>
          <w:szCs w:val="24"/>
        </w:rPr>
        <w:t>Reference</w:t>
      </w:r>
    </w:p>
    <w:p w14:paraId="3D1BC350" w14:textId="7B88CE0C" w:rsidR="009822EA" w:rsidRPr="009822EA" w:rsidRDefault="009822EA" w:rsidP="009822EA">
      <w:pPr>
        <w:widowControl w:val="0"/>
        <w:autoSpaceDE w:val="0"/>
        <w:autoSpaceDN w:val="0"/>
        <w:adjustRightInd w:val="0"/>
        <w:spacing w:line="240" w:lineRule="auto"/>
        <w:ind w:left="480" w:hanging="480"/>
        <w:rPr>
          <w:rFonts w:ascii="Times New Roman" w:hAnsi="Times New Roman" w:cs="Times New Roman"/>
          <w:noProof/>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9822EA">
        <w:rPr>
          <w:rFonts w:ascii="Times New Roman" w:hAnsi="Times New Roman" w:cs="Times New Roman"/>
          <w:noProof/>
          <w:sz w:val="24"/>
          <w:szCs w:val="24"/>
        </w:rPr>
        <w:t xml:space="preserve">Kudapa, H., Ghatak, A., Barmukh, R., Chaturvedi, P., Khan, A., Kale, S., Fragner, L., Chitikineni, A., Weckwerth, W., &amp; Varshney, R. K. (2023). Integrated multi-omics analysis reveals drought stress response mechanism in chickpea (Cicer arietinum L.). </w:t>
      </w:r>
      <w:r w:rsidRPr="009822EA">
        <w:rPr>
          <w:rFonts w:ascii="Times New Roman" w:hAnsi="Times New Roman" w:cs="Times New Roman"/>
          <w:i/>
          <w:iCs/>
          <w:noProof/>
          <w:sz w:val="24"/>
          <w:szCs w:val="24"/>
        </w:rPr>
        <w:t>Plant Genome</w:t>
      </w:r>
      <w:r w:rsidRPr="009822EA">
        <w:rPr>
          <w:rFonts w:ascii="Times New Roman" w:hAnsi="Times New Roman" w:cs="Times New Roman"/>
          <w:noProof/>
          <w:sz w:val="24"/>
          <w:szCs w:val="24"/>
        </w:rPr>
        <w:t>. https://doi.org/10.1002/tpg2.20337</w:t>
      </w:r>
    </w:p>
    <w:p w14:paraId="518C80E2" w14:textId="2C19F997" w:rsidR="009822EA" w:rsidRPr="009822EA" w:rsidRDefault="009822EA">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9822EA" w:rsidRPr="00982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EA"/>
    <w:rsid w:val="009822EA"/>
    <w:rsid w:val="00D41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F100"/>
  <w15:chartTrackingRefBased/>
  <w15:docId w15:val="{6F37B85B-8EF4-4721-95C5-CAB78A2BC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96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653</Words>
  <Characters>3723</Characters>
  <Application>Microsoft Office Word</Application>
  <DocSecurity>0</DocSecurity>
  <Lines>31</Lines>
  <Paragraphs>8</Paragraphs>
  <ScaleCrop>false</ScaleCrop>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Bharati Swain</dc:creator>
  <cp:keywords/>
  <dc:description/>
  <cp:lastModifiedBy>Bharati Swain</cp:lastModifiedBy>
  <cp:revision>1</cp:revision>
  <dcterms:created xsi:type="dcterms:W3CDTF">2025-12-25T13:19:00Z</dcterms:created>
  <dcterms:modified xsi:type="dcterms:W3CDTF">2025-12-25T13:25:00Z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6a9e01cb-b7e9-3542-8e72-e65e3e02b40f</vt:lpwstr>
  </property>
  <property fmtid="{D5CDD505-2E9C-101B-9397-08002B2CF9AE}" pid="24" name="Mendeley Citation Style_1">
    <vt:lpwstr>http://www.zotero.org/styles/apa</vt:lpwstr>
  </property>
</Properties>
</file>