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F05D8" w14:textId="39B29DB3" w:rsidR="00350D34" w:rsidRDefault="00350D34" w:rsidP="00350D34">
      <w:pPr>
        <w:spacing w:after="60"/>
        <w:jc w:val="center"/>
        <w:rPr>
          <w:lang w:val="en-US"/>
        </w:rPr>
      </w:pPr>
      <w:r w:rsidRPr="00350D34">
        <w:rPr>
          <w:lang w:val="en-US"/>
        </w:rPr>
        <w:t>Supplementary Figure</w:t>
      </w:r>
      <w:r w:rsidR="00812591">
        <w:rPr>
          <w:lang w:val="en-US"/>
        </w:rPr>
        <w:t>s</w:t>
      </w:r>
    </w:p>
    <w:p w14:paraId="0E491980" w14:textId="77777777" w:rsidR="00350D34" w:rsidRDefault="00350D34" w:rsidP="00350D34">
      <w:pPr>
        <w:spacing w:after="60"/>
        <w:jc w:val="both"/>
        <w:rPr>
          <w:lang w:val="en-US"/>
        </w:rPr>
      </w:pPr>
    </w:p>
    <w:p w14:paraId="53452D5F" w14:textId="77777777" w:rsidR="00350D34" w:rsidRPr="001222E5" w:rsidRDefault="00350D34" w:rsidP="00350D34">
      <w:pPr>
        <w:spacing w:after="60"/>
        <w:jc w:val="both"/>
        <w:rPr>
          <w:lang w:val="en-US"/>
        </w:rPr>
      </w:pPr>
    </w:p>
    <w:p w14:paraId="70AFA23D" w14:textId="62F96C67" w:rsidR="0019644C" w:rsidRDefault="00DA6483" w:rsidP="00350D34">
      <w:pPr>
        <w:spacing w:line="48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Functional</w:t>
      </w:r>
      <w:r w:rsidRPr="00DA6483">
        <w:rPr>
          <w:b/>
          <w:bCs/>
          <w:sz w:val="28"/>
          <w:szCs w:val="28"/>
        </w:rPr>
        <w:t xml:space="preserve"> properties of skeletal </w:t>
      </w:r>
      <w:r w:rsidR="00F803DF">
        <w:rPr>
          <w:b/>
          <w:bCs/>
          <w:sz w:val="28"/>
          <w:szCs w:val="28"/>
        </w:rPr>
        <w:t>myotube</w:t>
      </w:r>
      <w:r w:rsidR="008C0FB5">
        <w:rPr>
          <w:b/>
          <w:bCs/>
          <w:sz w:val="28"/>
          <w:szCs w:val="28"/>
        </w:rPr>
        <w:t>-</w:t>
      </w:r>
      <w:r w:rsidRPr="00DA6483">
        <w:rPr>
          <w:b/>
          <w:bCs/>
          <w:sz w:val="28"/>
          <w:szCs w:val="28"/>
        </w:rPr>
        <w:t>derived extracellular vesicles based on microRNA profiles: a comparative analysis with mesenchymal stem cell</w:t>
      </w:r>
      <w:r w:rsidR="008C0FB5">
        <w:rPr>
          <w:b/>
          <w:bCs/>
          <w:sz w:val="28"/>
          <w:szCs w:val="28"/>
        </w:rPr>
        <w:t>-</w:t>
      </w:r>
      <w:r w:rsidRPr="00DA6483">
        <w:rPr>
          <w:b/>
          <w:bCs/>
          <w:sz w:val="28"/>
          <w:szCs w:val="28"/>
        </w:rPr>
        <w:t>derived extracellular vesicles</w:t>
      </w:r>
    </w:p>
    <w:p w14:paraId="08ADD7C1" w14:textId="77777777" w:rsidR="00350D34" w:rsidRDefault="00350D34" w:rsidP="00350D34">
      <w:pPr>
        <w:spacing w:line="480" w:lineRule="exact"/>
        <w:jc w:val="both"/>
      </w:pPr>
    </w:p>
    <w:p w14:paraId="3A7800FA" w14:textId="77777777" w:rsidR="004C59AB" w:rsidRDefault="00904922" w:rsidP="00350D34">
      <w:pPr>
        <w:spacing w:line="480" w:lineRule="exact"/>
        <w:jc w:val="both"/>
      </w:pPr>
      <w:r w:rsidRPr="00E978C0">
        <w:t>Yudai Kawamoto</w:t>
      </w:r>
      <w:r w:rsidRPr="00E978C0">
        <w:rPr>
          <w:vertAlign w:val="superscript"/>
        </w:rPr>
        <w:t>1</w:t>
      </w:r>
      <w:r w:rsidRPr="00E978C0">
        <w:t>, Atomu Yamaguchi</w:t>
      </w:r>
      <w:r w:rsidRPr="00E978C0">
        <w:rPr>
          <w:vertAlign w:val="superscript"/>
        </w:rPr>
        <w:t>1,2</w:t>
      </w:r>
      <w:r w:rsidRPr="00E978C0">
        <w:t>, Xiaoqi Ma</w:t>
      </w:r>
      <w:r w:rsidRPr="00E978C0">
        <w:rPr>
          <w:vertAlign w:val="superscript"/>
        </w:rPr>
        <w:t>1</w:t>
      </w:r>
      <w:r w:rsidRPr="00E978C0">
        <w:t xml:space="preserve">, </w:t>
      </w:r>
      <w:r w:rsidR="0082250F" w:rsidRPr="0082250F">
        <w:t>Yun</w:t>
      </w:r>
      <w:r w:rsidR="0082250F">
        <w:t>fei Fu</w:t>
      </w:r>
      <w:r w:rsidR="0082250F" w:rsidRPr="0082250F">
        <w:rPr>
          <w:vertAlign w:val="superscript"/>
        </w:rPr>
        <w:t>1</w:t>
      </w:r>
      <w:r w:rsidR="0082250F">
        <w:t xml:space="preserve">, </w:t>
      </w:r>
      <w:r w:rsidR="004C59AB">
        <w:rPr>
          <w:rFonts w:hint="eastAsia"/>
        </w:rPr>
        <w:t>Qingcheng Guo</w:t>
      </w:r>
      <w:r w:rsidR="004C59AB" w:rsidRPr="0082250F">
        <w:rPr>
          <w:vertAlign w:val="superscript"/>
        </w:rPr>
        <w:t>1</w:t>
      </w:r>
      <w:r w:rsidR="004C59AB">
        <w:t>,</w:t>
      </w:r>
    </w:p>
    <w:p w14:paraId="21CDAB2C" w14:textId="28CA4EF0" w:rsidR="00904922" w:rsidRPr="00E978C0" w:rsidRDefault="00BC45ED" w:rsidP="00350D34">
      <w:pPr>
        <w:spacing w:line="480" w:lineRule="exact"/>
        <w:jc w:val="both"/>
      </w:pPr>
      <w:r>
        <w:t>Mikiko Uemura</w:t>
      </w:r>
      <w:r w:rsidR="00C3441D">
        <w:rPr>
          <w:vertAlign w:val="superscript"/>
        </w:rPr>
        <w:t>1</w:t>
      </w:r>
      <w:r>
        <w:t>,</w:t>
      </w:r>
      <w:r w:rsidR="00350D34">
        <w:t xml:space="preserve"> </w:t>
      </w:r>
      <w:r w:rsidR="00904922" w:rsidRPr="00E978C0">
        <w:t>Hidemi Fujino</w:t>
      </w:r>
      <w:r w:rsidR="00904922" w:rsidRPr="00E978C0">
        <w:rPr>
          <w:vertAlign w:val="superscript"/>
        </w:rPr>
        <w:t>1</w:t>
      </w:r>
      <w:r w:rsidR="00904922" w:rsidRPr="00E978C0">
        <w:t>, Noriaki Maeshige</w:t>
      </w:r>
      <w:r w:rsidR="00904922" w:rsidRPr="00E978C0">
        <w:rPr>
          <w:vertAlign w:val="superscript"/>
        </w:rPr>
        <w:t>1*</w:t>
      </w:r>
    </w:p>
    <w:p w14:paraId="6A2C6FED" w14:textId="77777777" w:rsidR="00904922" w:rsidRPr="00E978C0" w:rsidRDefault="00904922" w:rsidP="00350D34">
      <w:pPr>
        <w:spacing w:line="480" w:lineRule="exact"/>
        <w:jc w:val="both"/>
      </w:pPr>
    </w:p>
    <w:p w14:paraId="45CED919" w14:textId="77777777" w:rsidR="00904922" w:rsidRPr="00E978C0" w:rsidRDefault="00904922" w:rsidP="00350D34">
      <w:pPr>
        <w:spacing w:after="60"/>
        <w:jc w:val="both"/>
        <w:rPr>
          <w:i/>
          <w:color w:val="000000" w:themeColor="text1"/>
        </w:rPr>
      </w:pPr>
      <w:r w:rsidRPr="00E978C0">
        <w:rPr>
          <w:i/>
          <w:color w:val="000000" w:themeColor="text1"/>
          <w:vertAlign w:val="superscript"/>
        </w:rPr>
        <w:t>1</w:t>
      </w:r>
      <w:r w:rsidRPr="00E978C0">
        <w:rPr>
          <w:i/>
          <w:color w:val="000000" w:themeColor="text1"/>
        </w:rPr>
        <w:t>Department of Rehabilitation Science, Kobe University Graduate School of Health Sciences, Kobe, Japan</w:t>
      </w:r>
    </w:p>
    <w:p w14:paraId="1D1626C4" w14:textId="54C1F245" w:rsidR="00350D34" w:rsidRPr="00350D34" w:rsidRDefault="00904922" w:rsidP="00350D34">
      <w:pPr>
        <w:spacing w:after="60"/>
        <w:jc w:val="both"/>
        <w:rPr>
          <w:i/>
        </w:rPr>
      </w:pPr>
      <w:r w:rsidRPr="00E978C0">
        <w:rPr>
          <w:i/>
          <w:vertAlign w:val="superscript"/>
        </w:rPr>
        <w:t>2</w:t>
      </w:r>
      <w:r w:rsidRPr="00E978C0">
        <w:rPr>
          <w:i/>
        </w:rPr>
        <w:t>Harvard T.H. Chan School of Public Health, Boston, USA</w:t>
      </w:r>
      <w:r w:rsidR="00350D34">
        <w:rPr>
          <w:lang w:val="en-US"/>
        </w:rPr>
        <w:br w:type="page"/>
      </w:r>
    </w:p>
    <w:p w14:paraId="50F422E6" w14:textId="426C0DBA" w:rsidR="00710ECF" w:rsidRPr="00710ECF" w:rsidRDefault="00DD57B8" w:rsidP="00710ECF">
      <w:pPr>
        <w:spacing w:after="60"/>
        <w:jc w:val="both"/>
        <w:rPr>
          <w:noProof/>
        </w:rPr>
      </w:pPr>
      <w:r w:rsidRPr="00350D34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36282E3" wp14:editId="1B120D01">
            <wp:simplePos x="0" y="0"/>
            <wp:positionH relativeFrom="margin">
              <wp:posOffset>0</wp:posOffset>
            </wp:positionH>
            <wp:positionV relativeFrom="margin">
              <wp:posOffset>257175</wp:posOffset>
            </wp:positionV>
            <wp:extent cx="5731510" cy="6291580"/>
            <wp:effectExtent l="0" t="0" r="0" b="0"/>
            <wp:wrapSquare wrapText="bothSides"/>
            <wp:docPr id="180008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889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D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DB646" wp14:editId="2FF493E8">
                <wp:simplePos x="0" y="0"/>
                <wp:positionH relativeFrom="column">
                  <wp:posOffset>-196770</wp:posOffset>
                </wp:positionH>
                <wp:positionV relativeFrom="paragraph">
                  <wp:posOffset>6811701</wp:posOffset>
                </wp:positionV>
                <wp:extent cx="6331352" cy="861774"/>
                <wp:effectExtent l="0" t="0" r="0" b="0"/>
                <wp:wrapNone/>
                <wp:docPr id="28" name="TextBox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4367E4-713D-E86A-596C-337F558515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1352" cy="8617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F66E14" w14:textId="5BBAF52E" w:rsidR="00350D34" w:rsidRPr="00350D34" w:rsidRDefault="00350D34" w:rsidP="00350D34">
                            <w:pPr>
                              <w:jc w:val="both"/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Supplementary Figure S1.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 Principal component analysis (PCA) of normalized miRNA expression (TPM ≥ 5) from skeletal muscle–derived EVs (</w:t>
                            </w:r>
                            <w:proofErr w:type="spellStart"/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SkM</w:t>
                            </w:r>
                            <w:proofErr w:type="spellEnd"/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-EVs) and two independent murine bone-marrow MSC-EV datasets (MSC1, MSC2). (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 Unsupervised hierarchical clustering of log₂-scaled, row-z-scored TPM values grouped samples primarily by cell of origin.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 Pairwise scatterplot matrix of miRNA expression (log</w:t>
                            </w:r>
                            <w:proofErr w:type="gramStart"/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₂[</w:t>
                            </w:r>
                            <w:proofErr w:type="gramEnd"/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TPM + 1]) showing replicate-level concordance within each dataset.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type w14:anchorId="105DB646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left:0;text-align:left;margin-left:-15.5pt;margin-top:536.35pt;width:498.55pt;height:67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" filled="f" stroked="f">
                <v:textbox style="mso-fit-shape-to-text:t">
                  <w:txbxContent>
                    <w:p w14:paraId="48F66E14" w14:textId="5BBAF52E" w:rsidR="00350D34" w:rsidRPr="00350D34" w:rsidRDefault="00350D34" w:rsidP="00350D34">
                      <w:pPr>
                        <w:jc w:val="both"/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Supplementary Figure S1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a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 Principal component analysis (PCA) of normalized miRNA expression (TPM ≥ 5) from skeletal muscle–derived EVs (</w:t>
                      </w:r>
                      <w:proofErr w:type="spellStart"/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SkM</w:t>
                      </w:r>
                      <w:proofErr w:type="spellEnd"/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-EVs) and two independent murine bone-marrow MSC-EV datasets (MSC1, MSC2). (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 Unsupervised hierarchical clustering of log₂-scaled, row-z-scored TPM values grouped samples primarily by cell of origin.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(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c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 Pairwise scatterplot matrix of miRNA expression (log</w:t>
                      </w:r>
                      <w:proofErr w:type="gramStart"/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₂[</w:t>
                      </w:r>
                      <w:proofErr w:type="gramEnd"/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TPM + 1]) showing replicate-level concordance within each dataset. </w:t>
                      </w:r>
                    </w:p>
                  </w:txbxContent>
                </v:textbox>
              </v:shape>
            </w:pict>
          </mc:Fallback>
        </mc:AlternateContent>
      </w:r>
    </w:p>
    <w:p w14:paraId="41C934E6" w14:textId="451C602A" w:rsidR="00710ECF" w:rsidRDefault="00710ECF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40BA2D52" w14:textId="098B70FE" w:rsidR="001D1B26" w:rsidRDefault="001D1B26">
      <w:pPr>
        <w:spacing w:after="160" w:line="278" w:lineRule="auto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13A7B6" wp14:editId="7E8099F1">
                <wp:simplePos x="0" y="0"/>
                <wp:positionH relativeFrom="column">
                  <wp:posOffset>-46182</wp:posOffset>
                </wp:positionH>
                <wp:positionV relativeFrom="paragraph">
                  <wp:posOffset>6622473</wp:posOffset>
                </wp:positionV>
                <wp:extent cx="6022109" cy="861774"/>
                <wp:effectExtent l="0" t="0" r="0" b="0"/>
                <wp:wrapNone/>
                <wp:docPr id="1314230601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2109" cy="8617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4B274B" w14:textId="77D13C24" w:rsidR="001D1B26" w:rsidRPr="00881DDD" w:rsidRDefault="001D1B26" w:rsidP="001D1B26">
                            <w:pPr>
                              <w:jc w:val="both"/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Supplementary Figure S2. </w:t>
                            </w:r>
                            <w:r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(a, b) </w:t>
                            </w:r>
                            <w:proofErr w:type="spellStart"/>
                            <w:r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SkM</w:t>
                            </w:r>
                            <w:proofErr w:type="spellEnd"/>
                            <w:r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-EVs; (c, d) MSC-EVs. KEGG pathway analysis was performed on </w:t>
                            </w:r>
                            <w:proofErr w:type="spellStart"/>
                            <w:r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preranked</w:t>
                            </w:r>
                            <w:proofErr w:type="spellEnd"/>
                            <w:r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gene-level Impact Scores (IS) derived from the miRNA profiles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filtered using a TPM ≥ 1 threshold</w:t>
                            </w:r>
                            <w:r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 (a, c) show KEGG signaling pathways, and (b, d) show KEGG non-signaling pathways. The x-axis denotes the normalized enrichment score (NES), which is the enrichment score normalized for gene-set size by phenotype permutations. Circle size indicates the number of target genes per pathway, and color encodes the adjusted p-values (Benjamini–Hochberg). Up to 10 pathways per panel were displayed, selected by the smallest adjusted p-values. Note that the color scale is different in (a)–(d).</w:t>
                            </w:r>
                            <w:r w:rsidR="00FA43E4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A43E4" w:rsidRPr="00FA43E4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KEGG pathway annotations were obtained from KEGG (www.kegg.jp/kegg/kegg1.html).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type w14:anchorId="2813A7B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.65pt;margin-top:521.45pt;width:474.2pt;height:67.8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" filled="f" stroked="f">
                <v:textbox style="mso-fit-shape-to-text:t">
                  <w:txbxContent>
                    <w:p w14:paraId="184B274B" w14:textId="77D13C24" w:rsidR="001D1B26" w:rsidRPr="00881DDD" w:rsidRDefault="001D1B26" w:rsidP="001D1B26">
                      <w:pPr>
                        <w:jc w:val="both"/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Supplementary Figure S2. </w:t>
                      </w:r>
                      <w:r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(a, b) </w:t>
                      </w:r>
                      <w:proofErr w:type="spellStart"/>
                      <w:r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SkM</w:t>
                      </w:r>
                      <w:proofErr w:type="spellEnd"/>
                      <w:r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-EVs; (c, d) MSC-EVs. KEGG pathway analysis was performed on </w:t>
                      </w:r>
                      <w:proofErr w:type="spellStart"/>
                      <w:r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preranked</w:t>
                      </w:r>
                      <w:proofErr w:type="spellEnd"/>
                      <w:r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gene-level Impact Scores (IS) derived from the miRNA profiles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filtered using a TPM ≥ 1 threshold</w:t>
                      </w:r>
                      <w:r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 (a, c) show KEGG signaling pathways, and (b, d) show KEGG non-signaling pathways. The x-axis denotes the normalized enrichment score (NES), which is the enrichment score normalized for gene-set size by phenotype permutations. Circle size indicates the number of target genes per pathway, and color encodes the adjusted p-values (Benjamini–Hochberg). Up to 10 pathways per panel were displayed, selected by the smallest adjusted p-values. Note that the color scale is different in (a)–(d).</w:t>
                      </w:r>
                      <w:r w:rsidR="00FA43E4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A43E4" w:rsidRPr="00FA43E4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KEGG pathway annotations were obtained from KEGG (www.kegg.jp/kegg/kegg1.html).</w:t>
                      </w:r>
                    </w:p>
                  </w:txbxContent>
                </v:textbox>
              </v:shape>
            </w:pict>
          </mc:Fallback>
        </mc:AlternateContent>
      </w:r>
      <w:r w:rsidRPr="00710ECF">
        <w:rPr>
          <w:noProof/>
        </w:rPr>
        <w:drawing>
          <wp:anchor distT="0" distB="0" distL="114300" distR="114300" simplePos="0" relativeHeight="251680768" behindDoc="0" locked="0" layoutInCell="1" allowOverlap="1" wp14:anchorId="7C1728C7" wp14:editId="7F3B42F5">
            <wp:simplePos x="0" y="0"/>
            <wp:positionH relativeFrom="margin">
              <wp:posOffset>2713</wp:posOffset>
            </wp:positionH>
            <wp:positionV relativeFrom="margin">
              <wp:posOffset>110548</wp:posOffset>
            </wp:positionV>
            <wp:extent cx="5731510" cy="6186805"/>
            <wp:effectExtent l="0" t="0" r="0" b="0"/>
            <wp:wrapSquare wrapText="bothSides"/>
            <wp:docPr id="496474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748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8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 w14:paraId="10FAAD11" w14:textId="07EA4087" w:rsidR="00710ECF" w:rsidRDefault="00F86FA6">
      <w:pPr>
        <w:spacing w:after="160" w:line="278" w:lineRule="auto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11003" wp14:editId="6528AD2A">
                <wp:simplePos x="0" y="0"/>
                <wp:positionH relativeFrom="column">
                  <wp:posOffset>-210185</wp:posOffset>
                </wp:positionH>
                <wp:positionV relativeFrom="paragraph">
                  <wp:posOffset>6462918</wp:posOffset>
                </wp:positionV>
                <wp:extent cx="6331352" cy="861774"/>
                <wp:effectExtent l="0" t="0" r="0" b="0"/>
                <wp:wrapNone/>
                <wp:docPr id="200813716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1352" cy="8617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7D998C" w14:textId="0565A1A5" w:rsidR="00710ECF" w:rsidRPr="004C45A5" w:rsidRDefault="00710ECF" w:rsidP="004C45A5">
                            <w:pPr>
                              <w:jc w:val="both"/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Supplementary Figure S</w:t>
                            </w:r>
                            <w:r w:rsidR="001D1B26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4C45A5" w:rsidRPr="004C45A5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(a</w:t>
                            </w:r>
                            <w:r w:rsidR="00204C2A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) </w:t>
                            </w:r>
                            <w:r w:rsidR="00204C2A" w:rsidRPr="00204C2A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Relative abundance of the top 10 expressed miRNAs in </w:t>
                            </w:r>
                            <w:r w:rsidR="00204C2A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MSC2</w:t>
                            </w:r>
                            <w:r w:rsidR="00204C2A" w:rsidRPr="00204C2A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-EVs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This 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denotes the proportion of total normalized reads assigned to an individual miRNA (TPM ≥ 5). (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 KEGG signaling pathways; (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) KEGG non-signaling pathways. Bars show the between-source coefficient from </w:t>
                            </w:r>
                            <w:proofErr w:type="spellStart"/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RBiomirGS</w:t>
                            </w:r>
                            <w:proofErr w:type="spellEnd"/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(negative = stronger predicted repression potential in </w:t>
                            </w:r>
                            <w:proofErr w:type="spellStart"/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SkM</w:t>
                            </w:r>
                            <w:proofErr w:type="spellEnd"/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-EVs; positive = stronger predicted repression potential in MSC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-EVs). Up to 10 pathways per panel were selected after filtering by adjusted p-values &lt; 0.25; when fewer met the threshold, all qualifying pathways are shown. Color encodes adjusted p within each panel; note that the color scale is different between (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 and (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).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A43E4" w:rsidRPr="00FA43E4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KEGG pathway annotations were obtained from KEGG (www.kegg.jp/kegg/kegg1.html).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 w14:anchorId="25611003" id="_x0000_s1028" type="#_x0000_t202" style="position:absolute;margin-left:-16.55pt;margin-top:508.9pt;width:498.55pt;height:67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" filled="f" stroked="f">
                <v:textbox style="mso-fit-shape-to-text:t">
                  <w:txbxContent>
                    <w:p w14:paraId="687D998C" w14:textId="0565A1A5" w:rsidR="00710ECF" w:rsidRPr="004C45A5" w:rsidRDefault="00710ECF" w:rsidP="004C45A5">
                      <w:pPr>
                        <w:jc w:val="both"/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Supplementary Figure S</w:t>
                      </w:r>
                      <w:r w:rsidR="001D1B26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3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4C45A5" w:rsidRPr="004C45A5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(a</w:t>
                      </w:r>
                      <w:r w:rsidR="00204C2A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) </w:t>
                      </w:r>
                      <w:r w:rsidR="00204C2A" w:rsidRPr="00204C2A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Relative abundance of the top 10 expressed miRNAs in </w:t>
                      </w:r>
                      <w:r w:rsidR="00204C2A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MSC2</w:t>
                      </w:r>
                      <w:r w:rsidR="00204C2A" w:rsidRPr="00204C2A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-EVs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This 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denotes the proportion of total normalized reads assigned to an individual miRNA (TPM ≥ 5). (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 KEGG signaling pathways; (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c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) KEGG non-signaling pathways. Bars show the between-source coefficient from </w:t>
                      </w:r>
                      <w:proofErr w:type="spellStart"/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RBiomirGS</w:t>
                      </w:r>
                      <w:proofErr w:type="spellEnd"/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(negative = stronger predicted repression potential in </w:t>
                      </w:r>
                      <w:proofErr w:type="spellStart"/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SkM</w:t>
                      </w:r>
                      <w:proofErr w:type="spellEnd"/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-EVs; positive = stronger predicted repression potential in MSC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-EVs). Up to 10 pathways per panel were selected after filtering by adjusted p-values &lt; 0.25; when fewer met the threshold, all qualifying pathways are shown. Color encodes adjusted p within each panel; note that the color scale is different between (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 and (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c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).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A43E4" w:rsidRPr="00FA43E4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KEGG pathway annotations were obtained from KEGG (www.kegg.jp/kegg/kegg1.html).</w:t>
                      </w:r>
                    </w:p>
                  </w:txbxContent>
                </v:textbox>
              </v:shape>
            </w:pict>
          </mc:Fallback>
        </mc:AlternateContent>
      </w:r>
      <w:r w:rsidRPr="00F86FA6">
        <w:rPr>
          <w:noProof/>
        </w:rPr>
        <w:drawing>
          <wp:anchor distT="0" distB="0" distL="114300" distR="114300" simplePos="0" relativeHeight="251677696" behindDoc="0" locked="0" layoutInCell="1" allowOverlap="1" wp14:anchorId="459F0A2E" wp14:editId="17A8C114">
            <wp:simplePos x="0" y="0"/>
            <wp:positionH relativeFrom="margin">
              <wp:posOffset>0</wp:posOffset>
            </wp:positionH>
            <wp:positionV relativeFrom="margin">
              <wp:posOffset>809886</wp:posOffset>
            </wp:positionV>
            <wp:extent cx="5731510" cy="5172075"/>
            <wp:effectExtent l="0" t="0" r="0" b="0"/>
            <wp:wrapSquare wrapText="bothSides"/>
            <wp:docPr id="675416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164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ECF">
        <w:rPr>
          <w:lang w:val="en-US"/>
        </w:rPr>
        <w:br w:type="page"/>
      </w:r>
    </w:p>
    <w:p w14:paraId="1F8751B8" w14:textId="7AF34E9C" w:rsidR="00710ECF" w:rsidRPr="00710ECF" w:rsidRDefault="001B7347" w:rsidP="002414CB">
      <w:pPr>
        <w:spacing w:after="160" w:line="278" w:lineRule="auto"/>
        <w:rPr>
          <w:lang w:val="en-US"/>
        </w:rPr>
      </w:pPr>
      <w:r w:rsidRPr="001B7347">
        <w:lastRenderedPageBreak/>
        <w:drawing>
          <wp:anchor distT="0" distB="0" distL="114300" distR="114300" simplePos="0" relativeHeight="251681792" behindDoc="0" locked="0" layoutInCell="1" allowOverlap="1" wp14:anchorId="56E6D615" wp14:editId="435A2EEC">
            <wp:simplePos x="0" y="0"/>
            <wp:positionH relativeFrom="column">
              <wp:posOffset>-276225</wp:posOffset>
            </wp:positionH>
            <wp:positionV relativeFrom="paragraph">
              <wp:posOffset>2010074</wp:posOffset>
            </wp:positionV>
            <wp:extent cx="6515100" cy="3267075"/>
            <wp:effectExtent l="0" t="0" r="0" b="0"/>
            <wp:wrapTopAndBottom/>
            <wp:docPr id="551284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843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347">
        <w:t xml:space="preserve"> </w:t>
      </w:r>
      <w:r w:rsidR="00881DD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393A0C" wp14:editId="6AD2FB6B">
                <wp:simplePos x="0" y="0"/>
                <wp:positionH relativeFrom="column">
                  <wp:posOffset>-277825</wp:posOffset>
                </wp:positionH>
                <wp:positionV relativeFrom="paragraph">
                  <wp:posOffset>6143066</wp:posOffset>
                </wp:positionV>
                <wp:extent cx="6331352" cy="861774"/>
                <wp:effectExtent l="0" t="0" r="0" b="0"/>
                <wp:wrapNone/>
                <wp:docPr id="1271538986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1352" cy="8617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187153" w14:textId="7725773E" w:rsidR="00710ECF" w:rsidRPr="00350D34" w:rsidRDefault="00710ECF" w:rsidP="00710ECF">
                            <w:pPr>
                              <w:jc w:val="both"/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Supplementary Figure S</w:t>
                            </w:r>
                            <w:r w:rsidR="001D1B26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KEGG pathway analysis was performed on </w:t>
                            </w:r>
                            <w:proofErr w:type="spellStart"/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preranked</w:t>
                            </w:r>
                            <w:proofErr w:type="spellEnd"/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gene-level Impact Scores (IS) derived from the 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MSC2-EV 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miRNA profiles. (a) show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KEGG signaling pathways, and (b) show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KEGG non-signaling pathways. The x-axis denotes the normalized enrichment score (NES), which is the enrichment score normalized for gene-set size by phenotype permutations. Circle size indicates the number of target genes per pathway, and color encodes the adjusted p-values (Benjamini–Hochberg). Up to 10 pathways per panel were displayed, selected by the smallest adjusted p-values. Note that the color scale is different 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between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(a)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="00881DDD" w:rsidRPr="00881DDD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).</w:t>
                            </w:r>
                            <w:r w:rsidR="00FA43E4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A43E4" w:rsidRPr="00FA43E4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KEGG pathway annotations were obtained from KEGG (www.kegg.jp/kegg/kegg1.html).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 w14:anchorId="3E393A0C" id="_x0000_s1029" type="#_x0000_t202" style="position:absolute;margin-left:-21.9pt;margin-top:483.7pt;width:498.55pt;height:67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" filled="f" stroked="f">
                <v:textbox style="mso-fit-shape-to-text:t">
                  <w:txbxContent>
                    <w:p w14:paraId="0A187153" w14:textId="7725773E" w:rsidR="00710ECF" w:rsidRPr="00350D34" w:rsidRDefault="00710ECF" w:rsidP="00710ECF">
                      <w:pPr>
                        <w:jc w:val="both"/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Supplementary Figure S</w:t>
                      </w:r>
                      <w:r w:rsidR="001D1B26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KEGG pathway analysis was performed on </w:t>
                      </w:r>
                      <w:proofErr w:type="spellStart"/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preranked</w:t>
                      </w:r>
                      <w:proofErr w:type="spellEnd"/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gene-level Impact Scores (IS) derived from the 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MSC2-EV 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miRNA profiles. (a) show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KEGG signaling pathways, and (b) show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KEGG non-signaling pathways. The x-axis denotes the normalized enrichment score (NES), which is the enrichment score normalized for gene-set size by phenotype permutations. Circle size indicates the number of target genes per pathway, and color encodes the adjusted p-values (Benjamini–Hochberg). Up to 10 pathways per panel were displayed, selected by the smallest adjusted p-values. Note that the color scale is different 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between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(a)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</w:t>
                      </w:r>
                      <w:r w:rsidR="00881DDD" w:rsidRPr="00881DDD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).</w:t>
                      </w:r>
                      <w:r w:rsidR="00FA43E4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A43E4" w:rsidRPr="00FA43E4">
                        <w:rPr>
                          <w:rFonts w:eastAsia="+mn-ea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KEGG pathway annotations were obtained from KEGG (www.kegg.jp/kegg/kegg1.html).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0ECF" w:rsidRPr="00710ECF" w:rsidSect="00230BD2">
      <w:footerReference w:type="even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type="linesAndChars" w:linePitch="398" w:charSpace="-2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1670" w14:textId="77777777" w:rsidR="00E46BCA" w:rsidRDefault="00E46BCA" w:rsidP="00945FB0">
      <w:r>
        <w:separator/>
      </w:r>
    </w:p>
  </w:endnote>
  <w:endnote w:type="continuationSeparator" w:id="0">
    <w:p w14:paraId="1878B9CA" w14:textId="77777777" w:rsidR="00E46BCA" w:rsidRDefault="00E46BCA" w:rsidP="0094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n-e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21817650"/>
      <w:docPartObj>
        <w:docPartGallery w:val="Page Numbers (Bottom of Page)"/>
        <w:docPartUnique/>
      </w:docPartObj>
    </w:sdtPr>
    <w:sdtContent>
      <w:p w14:paraId="167F0CFE" w14:textId="734AAAD4" w:rsidR="00945FB0" w:rsidRDefault="00945FB0" w:rsidP="000E195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3D88F19" w14:textId="77777777" w:rsidR="00945FB0" w:rsidRDefault="00945F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7228171"/>
      <w:docPartObj>
        <w:docPartGallery w:val="Page Numbers (Bottom of Page)"/>
        <w:docPartUnique/>
      </w:docPartObj>
    </w:sdtPr>
    <w:sdtContent>
      <w:p w14:paraId="692EF21B" w14:textId="0CEC8489" w:rsidR="00945FB0" w:rsidRDefault="00945FB0" w:rsidP="000E195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5629F0" w14:textId="77777777" w:rsidR="00945FB0" w:rsidRDefault="00945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351E" w14:textId="77777777" w:rsidR="00E46BCA" w:rsidRDefault="00E46BCA" w:rsidP="00945FB0">
      <w:r>
        <w:separator/>
      </w:r>
    </w:p>
  </w:footnote>
  <w:footnote w:type="continuationSeparator" w:id="0">
    <w:p w14:paraId="23334730" w14:textId="77777777" w:rsidR="00E46BCA" w:rsidRDefault="00E46BCA" w:rsidP="00945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7A01"/>
    <w:multiLevelType w:val="hybridMultilevel"/>
    <w:tmpl w:val="A0AEB716"/>
    <w:lvl w:ilvl="0" w:tplc="574C6B1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7EF3"/>
    <w:multiLevelType w:val="hybridMultilevel"/>
    <w:tmpl w:val="E5E073A4"/>
    <w:lvl w:ilvl="0" w:tplc="B8C4EF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91D45"/>
    <w:multiLevelType w:val="hybridMultilevel"/>
    <w:tmpl w:val="2D907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437481">
    <w:abstractNumId w:val="2"/>
  </w:num>
  <w:num w:numId="2" w16cid:durableId="1481342428">
    <w:abstractNumId w:val="0"/>
  </w:num>
  <w:num w:numId="3" w16cid:durableId="695035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drawingGridHorizontalSpacing w:val="113"/>
  <w:drawingGridVerticalSpacing w:val="19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B0"/>
    <w:rsid w:val="00000669"/>
    <w:rsid w:val="00003401"/>
    <w:rsid w:val="00006770"/>
    <w:rsid w:val="00010B2C"/>
    <w:rsid w:val="000117BF"/>
    <w:rsid w:val="00011BE6"/>
    <w:rsid w:val="000125A6"/>
    <w:rsid w:val="00015F86"/>
    <w:rsid w:val="00016714"/>
    <w:rsid w:val="00017684"/>
    <w:rsid w:val="0001796B"/>
    <w:rsid w:val="00020FB4"/>
    <w:rsid w:val="00021EC3"/>
    <w:rsid w:val="00022E34"/>
    <w:rsid w:val="0002427E"/>
    <w:rsid w:val="000253E4"/>
    <w:rsid w:val="000276B5"/>
    <w:rsid w:val="00031E91"/>
    <w:rsid w:val="000354AD"/>
    <w:rsid w:val="0004181C"/>
    <w:rsid w:val="00042604"/>
    <w:rsid w:val="000451A0"/>
    <w:rsid w:val="00056E8C"/>
    <w:rsid w:val="00056F54"/>
    <w:rsid w:val="00060141"/>
    <w:rsid w:val="00061A9D"/>
    <w:rsid w:val="00062357"/>
    <w:rsid w:val="00062A32"/>
    <w:rsid w:val="0006345E"/>
    <w:rsid w:val="000638EC"/>
    <w:rsid w:val="00063A94"/>
    <w:rsid w:val="00064A5C"/>
    <w:rsid w:val="000709A4"/>
    <w:rsid w:val="00070A06"/>
    <w:rsid w:val="00071882"/>
    <w:rsid w:val="000733F2"/>
    <w:rsid w:val="00073792"/>
    <w:rsid w:val="00073E7D"/>
    <w:rsid w:val="000742A7"/>
    <w:rsid w:val="0007539D"/>
    <w:rsid w:val="00075890"/>
    <w:rsid w:val="00077A1E"/>
    <w:rsid w:val="00077A83"/>
    <w:rsid w:val="00077BB1"/>
    <w:rsid w:val="0008725C"/>
    <w:rsid w:val="0009132D"/>
    <w:rsid w:val="00091673"/>
    <w:rsid w:val="00092822"/>
    <w:rsid w:val="00093B07"/>
    <w:rsid w:val="00096784"/>
    <w:rsid w:val="000970B0"/>
    <w:rsid w:val="000A007F"/>
    <w:rsid w:val="000A0602"/>
    <w:rsid w:val="000A1FAA"/>
    <w:rsid w:val="000A3E08"/>
    <w:rsid w:val="000A40A7"/>
    <w:rsid w:val="000A41A3"/>
    <w:rsid w:val="000B0B9D"/>
    <w:rsid w:val="000B1A60"/>
    <w:rsid w:val="000B2992"/>
    <w:rsid w:val="000B29E7"/>
    <w:rsid w:val="000B4492"/>
    <w:rsid w:val="000B6220"/>
    <w:rsid w:val="000B7981"/>
    <w:rsid w:val="000B7FDC"/>
    <w:rsid w:val="000C06AB"/>
    <w:rsid w:val="000C21C2"/>
    <w:rsid w:val="000C508D"/>
    <w:rsid w:val="000C525D"/>
    <w:rsid w:val="000C75FD"/>
    <w:rsid w:val="000D097F"/>
    <w:rsid w:val="000D11AE"/>
    <w:rsid w:val="000D14E3"/>
    <w:rsid w:val="000D2809"/>
    <w:rsid w:val="000D3651"/>
    <w:rsid w:val="000D6CBD"/>
    <w:rsid w:val="000D78AF"/>
    <w:rsid w:val="000E0CCA"/>
    <w:rsid w:val="000E0F54"/>
    <w:rsid w:val="000E16ED"/>
    <w:rsid w:val="000E1958"/>
    <w:rsid w:val="000E1EB7"/>
    <w:rsid w:val="000E2EB0"/>
    <w:rsid w:val="000E3CA7"/>
    <w:rsid w:val="000E4620"/>
    <w:rsid w:val="000E6A43"/>
    <w:rsid w:val="000F0312"/>
    <w:rsid w:val="000F0732"/>
    <w:rsid w:val="000F579F"/>
    <w:rsid w:val="000F58E2"/>
    <w:rsid w:val="000F5EB7"/>
    <w:rsid w:val="00100BE6"/>
    <w:rsid w:val="00101AD9"/>
    <w:rsid w:val="00101BA5"/>
    <w:rsid w:val="00106CA1"/>
    <w:rsid w:val="001073CA"/>
    <w:rsid w:val="00107CAC"/>
    <w:rsid w:val="00110381"/>
    <w:rsid w:val="00111829"/>
    <w:rsid w:val="00113D19"/>
    <w:rsid w:val="00117049"/>
    <w:rsid w:val="0011732C"/>
    <w:rsid w:val="00120028"/>
    <w:rsid w:val="001218C4"/>
    <w:rsid w:val="001222E5"/>
    <w:rsid w:val="00122927"/>
    <w:rsid w:val="00123637"/>
    <w:rsid w:val="001241D5"/>
    <w:rsid w:val="00124F84"/>
    <w:rsid w:val="00125694"/>
    <w:rsid w:val="001260C7"/>
    <w:rsid w:val="001278C7"/>
    <w:rsid w:val="0013050B"/>
    <w:rsid w:val="00130B38"/>
    <w:rsid w:val="00132D87"/>
    <w:rsid w:val="001340C4"/>
    <w:rsid w:val="00135114"/>
    <w:rsid w:val="001378DD"/>
    <w:rsid w:val="00140B5A"/>
    <w:rsid w:val="00146A94"/>
    <w:rsid w:val="00146AA3"/>
    <w:rsid w:val="001471D9"/>
    <w:rsid w:val="001479A9"/>
    <w:rsid w:val="00151877"/>
    <w:rsid w:val="00152101"/>
    <w:rsid w:val="00154434"/>
    <w:rsid w:val="001546ED"/>
    <w:rsid w:val="00154916"/>
    <w:rsid w:val="00155445"/>
    <w:rsid w:val="00155BDA"/>
    <w:rsid w:val="00157316"/>
    <w:rsid w:val="0016060D"/>
    <w:rsid w:val="0016238C"/>
    <w:rsid w:val="0016285E"/>
    <w:rsid w:val="001631FB"/>
    <w:rsid w:val="00164240"/>
    <w:rsid w:val="00164B90"/>
    <w:rsid w:val="001663EF"/>
    <w:rsid w:val="00170453"/>
    <w:rsid w:val="0017425A"/>
    <w:rsid w:val="00177129"/>
    <w:rsid w:val="001778B0"/>
    <w:rsid w:val="00177FC7"/>
    <w:rsid w:val="00182C3F"/>
    <w:rsid w:val="00182FA5"/>
    <w:rsid w:val="00183936"/>
    <w:rsid w:val="00186252"/>
    <w:rsid w:val="0018643C"/>
    <w:rsid w:val="00187702"/>
    <w:rsid w:val="00187D7D"/>
    <w:rsid w:val="00190891"/>
    <w:rsid w:val="00192FF7"/>
    <w:rsid w:val="0019527A"/>
    <w:rsid w:val="0019644C"/>
    <w:rsid w:val="001969EE"/>
    <w:rsid w:val="00197EEE"/>
    <w:rsid w:val="001A03E7"/>
    <w:rsid w:val="001A1BA9"/>
    <w:rsid w:val="001A1C87"/>
    <w:rsid w:val="001A36C4"/>
    <w:rsid w:val="001A4243"/>
    <w:rsid w:val="001A4F95"/>
    <w:rsid w:val="001A55E9"/>
    <w:rsid w:val="001A6A0F"/>
    <w:rsid w:val="001B2721"/>
    <w:rsid w:val="001B29E2"/>
    <w:rsid w:val="001B2A31"/>
    <w:rsid w:val="001B30F9"/>
    <w:rsid w:val="001B3272"/>
    <w:rsid w:val="001B6F7C"/>
    <w:rsid w:val="001B7347"/>
    <w:rsid w:val="001B7E04"/>
    <w:rsid w:val="001C013C"/>
    <w:rsid w:val="001C388F"/>
    <w:rsid w:val="001C435E"/>
    <w:rsid w:val="001C7CA7"/>
    <w:rsid w:val="001D0102"/>
    <w:rsid w:val="001D1B26"/>
    <w:rsid w:val="001D1EF1"/>
    <w:rsid w:val="001D4D22"/>
    <w:rsid w:val="001D517E"/>
    <w:rsid w:val="001E1C0F"/>
    <w:rsid w:val="001E3513"/>
    <w:rsid w:val="001E3D0E"/>
    <w:rsid w:val="001E3D70"/>
    <w:rsid w:val="001E4B4C"/>
    <w:rsid w:val="001E50C9"/>
    <w:rsid w:val="001E708B"/>
    <w:rsid w:val="001F019F"/>
    <w:rsid w:val="001F02C4"/>
    <w:rsid w:val="001F0F43"/>
    <w:rsid w:val="001F7F77"/>
    <w:rsid w:val="002019C2"/>
    <w:rsid w:val="00204C2A"/>
    <w:rsid w:val="00205245"/>
    <w:rsid w:val="00210714"/>
    <w:rsid w:val="002117D9"/>
    <w:rsid w:val="00213AA1"/>
    <w:rsid w:val="00214077"/>
    <w:rsid w:val="00214A52"/>
    <w:rsid w:val="00215246"/>
    <w:rsid w:val="002171BC"/>
    <w:rsid w:val="00220BAA"/>
    <w:rsid w:val="00220BCD"/>
    <w:rsid w:val="00221411"/>
    <w:rsid w:val="00227037"/>
    <w:rsid w:val="0022792D"/>
    <w:rsid w:val="002300C8"/>
    <w:rsid w:val="00230BD2"/>
    <w:rsid w:val="00231311"/>
    <w:rsid w:val="002340FB"/>
    <w:rsid w:val="0023522C"/>
    <w:rsid w:val="00235CA9"/>
    <w:rsid w:val="0023640A"/>
    <w:rsid w:val="002414CB"/>
    <w:rsid w:val="002426C5"/>
    <w:rsid w:val="0024346C"/>
    <w:rsid w:val="00243957"/>
    <w:rsid w:val="00245575"/>
    <w:rsid w:val="00245916"/>
    <w:rsid w:val="002460BA"/>
    <w:rsid w:val="00246B78"/>
    <w:rsid w:val="00247F3E"/>
    <w:rsid w:val="0025048F"/>
    <w:rsid w:val="00250B57"/>
    <w:rsid w:val="00250FE1"/>
    <w:rsid w:val="00251B98"/>
    <w:rsid w:val="002526E2"/>
    <w:rsid w:val="00253490"/>
    <w:rsid w:val="002535FF"/>
    <w:rsid w:val="00255336"/>
    <w:rsid w:val="00257D93"/>
    <w:rsid w:val="00260289"/>
    <w:rsid w:val="002611B0"/>
    <w:rsid w:val="00263852"/>
    <w:rsid w:val="002655C3"/>
    <w:rsid w:val="00266798"/>
    <w:rsid w:val="00271012"/>
    <w:rsid w:val="00271069"/>
    <w:rsid w:val="00273630"/>
    <w:rsid w:val="00273B92"/>
    <w:rsid w:val="002741AE"/>
    <w:rsid w:val="00277349"/>
    <w:rsid w:val="00282F50"/>
    <w:rsid w:val="00285A2F"/>
    <w:rsid w:val="002868ED"/>
    <w:rsid w:val="002873BA"/>
    <w:rsid w:val="0029027E"/>
    <w:rsid w:val="00291620"/>
    <w:rsid w:val="00292189"/>
    <w:rsid w:val="002923E7"/>
    <w:rsid w:val="002943D4"/>
    <w:rsid w:val="0029591D"/>
    <w:rsid w:val="002A09A9"/>
    <w:rsid w:val="002A26AC"/>
    <w:rsid w:val="002A4276"/>
    <w:rsid w:val="002A4DF8"/>
    <w:rsid w:val="002A6BB0"/>
    <w:rsid w:val="002A6C66"/>
    <w:rsid w:val="002A7D51"/>
    <w:rsid w:val="002B1511"/>
    <w:rsid w:val="002B2B48"/>
    <w:rsid w:val="002B2D1F"/>
    <w:rsid w:val="002B72C0"/>
    <w:rsid w:val="002B75EA"/>
    <w:rsid w:val="002C0676"/>
    <w:rsid w:val="002C11AE"/>
    <w:rsid w:val="002C582C"/>
    <w:rsid w:val="002C5B2E"/>
    <w:rsid w:val="002C7E44"/>
    <w:rsid w:val="002D1E15"/>
    <w:rsid w:val="002D5514"/>
    <w:rsid w:val="002D5520"/>
    <w:rsid w:val="002D643C"/>
    <w:rsid w:val="002E1D97"/>
    <w:rsid w:val="002E3ADE"/>
    <w:rsid w:val="002E3E09"/>
    <w:rsid w:val="002E4C2C"/>
    <w:rsid w:val="002E6892"/>
    <w:rsid w:val="002F0892"/>
    <w:rsid w:val="002F0A27"/>
    <w:rsid w:val="002F317E"/>
    <w:rsid w:val="002F323B"/>
    <w:rsid w:val="002F6097"/>
    <w:rsid w:val="002F6B41"/>
    <w:rsid w:val="00301E8C"/>
    <w:rsid w:val="00304522"/>
    <w:rsid w:val="00313ACE"/>
    <w:rsid w:val="00314343"/>
    <w:rsid w:val="00314831"/>
    <w:rsid w:val="00320441"/>
    <w:rsid w:val="003218EB"/>
    <w:rsid w:val="00322F93"/>
    <w:rsid w:val="00324B4B"/>
    <w:rsid w:val="003250DF"/>
    <w:rsid w:val="0032552D"/>
    <w:rsid w:val="00326E5B"/>
    <w:rsid w:val="00327BDF"/>
    <w:rsid w:val="00330B53"/>
    <w:rsid w:val="003341DA"/>
    <w:rsid w:val="0033472A"/>
    <w:rsid w:val="00336C78"/>
    <w:rsid w:val="00336E3F"/>
    <w:rsid w:val="003376F5"/>
    <w:rsid w:val="00340102"/>
    <w:rsid w:val="003402F0"/>
    <w:rsid w:val="00341792"/>
    <w:rsid w:val="00341988"/>
    <w:rsid w:val="003461B1"/>
    <w:rsid w:val="00347CA4"/>
    <w:rsid w:val="00350D34"/>
    <w:rsid w:val="00352505"/>
    <w:rsid w:val="00353A38"/>
    <w:rsid w:val="003540CB"/>
    <w:rsid w:val="0035415B"/>
    <w:rsid w:val="00356D0A"/>
    <w:rsid w:val="003600F8"/>
    <w:rsid w:val="00366479"/>
    <w:rsid w:val="0036728B"/>
    <w:rsid w:val="003702EB"/>
    <w:rsid w:val="003719A3"/>
    <w:rsid w:val="003746BE"/>
    <w:rsid w:val="00380F78"/>
    <w:rsid w:val="00381A90"/>
    <w:rsid w:val="003834BC"/>
    <w:rsid w:val="00390D1E"/>
    <w:rsid w:val="00394B72"/>
    <w:rsid w:val="00394C35"/>
    <w:rsid w:val="0039732E"/>
    <w:rsid w:val="00397803"/>
    <w:rsid w:val="003A12C0"/>
    <w:rsid w:val="003A18F2"/>
    <w:rsid w:val="003A27F3"/>
    <w:rsid w:val="003A35C2"/>
    <w:rsid w:val="003B1D9B"/>
    <w:rsid w:val="003B77DD"/>
    <w:rsid w:val="003C177A"/>
    <w:rsid w:val="003C1818"/>
    <w:rsid w:val="003C1AAF"/>
    <w:rsid w:val="003C1C02"/>
    <w:rsid w:val="003C24D6"/>
    <w:rsid w:val="003C2A83"/>
    <w:rsid w:val="003C2C3A"/>
    <w:rsid w:val="003C2CFB"/>
    <w:rsid w:val="003C447B"/>
    <w:rsid w:val="003C469E"/>
    <w:rsid w:val="003D049B"/>
    <w:rsid w:val="003D27AF"/>
    <w:rsid w:val="003D2971"/>
    <w:rsid w:val="003D6BF6"/>
    <w:rsid w:val="003E014A"/>
    <w:rsid w:val="003E0D9D"/>
    <w:rsid w:val="003E10B9"/>
    <w:rsid w:val="003E4E73"/>
    <w:rsid w:val="003E4FAF"/>
    <w:rsid w:val="003E506B"/>
    <w:rsid w:val="003E5C07"/>
    <w:rsid w:val="003F1069"/>
    <w:rsid w:val="003F2444"/>
    <w:rsid w:val="003F26E9"/>
    <w:rsid w:val="003F4B70"/>
    <w:rsid w:val="003F6B4E"/>
    <w:rsid w:val="003F7C20"/>
    <w:rsid w:val="00400939"/>
    <w:rsid w:val="0040132D"/>
    <w:rsid w:val="004016A8"/>
    <w:rsid w:val="004018BC"/>
    <w:rsid w:val="004037DF"/>
    <w:rsid w:val="004038CC"/>
    <w:rsid w:val="00407CE1"/>
    <w:rsid w:val="00411076"/>
    <w:rsid w:val="004123D0"/>
    <w:rsid w:val="004211BD"/>
    <w:rsid w:val="00421CFE"/>
    <w:rsid w:val="00423AF0"/>
    <w:rsid w:val="00424D3D"/>
    <w:rsid w:val="00425D65"/>
    <w:rsid w:val="00426991"/>
    <w:rsid w:val="00427BFC"/>
    <w:rsid w:val="00430516"/>
    <w:rsid w:val="00431DB5"/>
    <w:rsid w:val="00433C97"/>
    <w:rsid w:val="004342CD"/>
    <w:rsid w:val="00435037"/>
    <w:rsid w:val="00435173"/>
    <w:rsid w:val="004362EB"/>
    <w:rsid w:val="00440BA1"/>
    <w:rsid w:val="0044195A"/>
    <w:rsid w:val="00441E72"/>
    <w:rsid w:val="00443173"/>
    <w:rsid w:val="004445D5"/>
    <w:rsid w:val="00445820"/>
    <w:rsid w:val="004464B8"/>
    <w:rsid w:val="00447BF0"/>
    <w:rsid w:val="00447C66"/>
    <w:rsid w:val="004512E6"/>
    <w:rsid w:val="00451384"/>
    <w:rsid w:val="00451C6A"/>
    <w:rsid w:val="00453CE2"/>
    <w:rsid w:val="0045439F"/>
    <w:rsid w:val="0045527A"/>
    <w:rsid w:val="0046252A"/>
    <w:rsid w:val="00464BF8"/>
    <w:rsid w:val="00465880"/>
    <w:rsid w:val="0046598C"/>
    <w:rsid w:val="00470534"/>
    <w:rsid w:val="00470693"/>
    <w:rsid w:val="00471203"/>
    <w:rsid w:val="00472E10"/>
    <w:rsid w:val="0047317B"/>
    <w:rsid w:val="00473450"/>
    <w:rsid w:val="00474F66"/>
    <w:rsid w:val="00477670"/>
    <w:rsid w:val="00477878"/>
    <w:rsid w:val="00481693"/>
    <w:rsid w:val="00481AA3"/>
    <w:rsid w:val="00481BA0"/>
    <w:rsid w:val="00481F62"/>
    <w:rsid w:val="004834AF"/>
    <w:rsid w:val="00484608"/>
    <w:rsid w:val="00484EE6"/>
    <w:rsid w:val="0048600C"/>
    <w:rsid w:val="00487871"/>
    <w:rsid w:val="00490CDC"/>
    <w:rsid w:val="00491D58"/>
    <w:rsid w:val="00494753"/>
    <w:rsid w:val="00496F4D"/>
    <w:rsid w:val="00497537"/>
    <w:rsid w:val="004A0B26"/>
    <w:rsid w:val="004A557A"/>
    <w:rsid w:val="004B1DA5"/>
    <w:rsid w:val="004B2D03"/>
    <w:rsid w:val="004B2FF3"/>
    <w:rsid w:val="004B4821"/>
    <w:rsid w:val="004B513A"/>
    <w:rsid w:val="004B6556"/>
    <w:rsid w:val="004B6E9D"/>
    <w:rsid w:val="004B7A34"/>
    <w:rsid w:val="004C044B"/>
    <w:rsid w:val="004C1A74"/>
    <w:rsid w:val="004C2A0B"/>
    <w:rsid w:val="004C45A5"/>
    <w:rsid w:val="004C59AB"/>
    <w:rsid w:val="004D17A9"/>
    <w:rsid w:val="004D2B92"/>
    <w:rsid w:val="004E0214"/>
    <w:rsid w:val="004E0CAF"/>
    <w:rsid w:val="004E2120"/>
    <w:rsid w:val="004E2956"/>
    <w:rsid w:val="004E3FAF"/>
    <w:rsid w:val="004E56E1"/>
    <w:rsid w:val="004E64F6"/>
    <w:rsid w:val="004F07D0"/>
    <w:rsid w:val="004F163A"/>
    <w:rsid w:val="004F4943"/>
    <w:rsid w:val="004F6B75"/>
    <w:rsid w:val="00500B8F"/>
    <w:rsid w:val="00501222"/>
    <w:rsid w:val="00506584"/>
    <w:rsid w:val="00506A61"/>
    <w:rsid w:val="00507F25"/>
    <w:rsid w:val="00507FF4"/>
    <w:rsid w:val="0051103D"/>
    <w:rsid w:val="00513EB5"/>
    <w:rsid w:val="00514C2B"/>
    <w:rsid w:val="00515576"/>
    <w:rsid w:val="00523422"/>
    <w:rsid w:val="00531266"/>
    <w:rsid w:val="005326A6"/>
    <w:rsid w:val="00533D5F"/>
    <w:rsid w:val="0053423F"/>
    <w:rsid w:val="00534D75"/>
    <w:rsid w:val="00535A84"/>
    <w:rsid w:val="00543547"/>
    <w:rsid w:val="00550C4F"/>
    <w:rsid w:val="00550DA7"/>
    <w:rsid w:val="00552B07"/>
    <w:rsid w:val="005603AC"/>
    <w:rsid w:val="00565422"/>
    <w:rsid w:val="00566619"/>
    <w:rsid w:val="00566F34"/>
    <w:rsid w:val="00570281"/>
    <w:rsid w:val="00570619"/>
    <w:rsid w:val="0057344B"/>
    <w:rsid w:val="00573691"/>
    <w:rsid w:val="00574404"/>
    <w:rsid w:val="00574B71"/>
    <w:rsid w:val="0057555A"/>
    <w:rsid w:val="00575D7B"/>
    <w:rsid w:val="0057715F"/>
    <w:rsid w:val="00577F43"/>
    <w:rsid w:val="00580DB7"/>
    <w:rsid w:val="00582488"/>
    <w:rsid w:val="00584494"/>
    <w:rsid w:val="00584847"/>
    <w:rsid w:val="00586DA3"/>
    <w:rsid w:val="00586DB6"/>
    <w:rsid w:val="00591ABD"/>
    <w:rsid w:val="00592C62"/>
    <w:rsid w:val="00593444"/>
    <w:rsid w:val="005964C4"/>
    <w:rsid w:val="00597B21"/>
    <w:rsid w:val="00597E61"/>
    <w:rsid w:val="005A1858"/>
    <w:rsid w:val="005A21D6"/>
    <w:rsid w:val="005A253D"/>
    <w:rsid w:val="005A5B8F"/>
    <w:rsid w:val="005B19D2"/>
    <w:rsid w:val="005B22DB"/>
    <w:rsid w:val="005B26E9"/>
    <w:rsid w:val="005B6348"/>
    <w:rsid w:val="005B7CD9"/>
    <w:rsid w:val="005C1523"/>
    <w:rsid w:val="005C3BFB"/>
    <w:rsid w:val="005C4174"/>
    <w:rsid w:val="005C7DD2"/>
    <w:rsid w:val="005D1953"/>
    <w:rsid w:val="005D1F31"/>
    <w:rsid w:val="005D2F5E"/>
    <w:rsid w:val="005E16A1"/>
    <w:rsid w:val="005E325F"/>
    <w:rsid w:val="005E381A"/>
    <w:rsid w:val="005E4636"/>
    <w:rsid w:val="005E4829"/>
    <w:rsid w:val="005E4C33"/>
    <w:rsid w:val="005E504B"/>
    <w:rsid w:val="005E5C5F"/>
    <w:rsid w:val="005E6B9C"/>
    <w:rsid w:val="005E7BB4"/>
    <w:rsid w:val="005F0CED"/>
    <w:rsid w:val="005F1F24"/>
    <w:rsid w:val="005F4115"/>
    <w:rsid w:val="005F4630"/>
    <w:rsid w:val="005F46BA"/>
    <w:rsid w:val="005F5914"/>
    <w:rsid w:val="005F65BE"/>
    <w:rsid w:val="006008E3"/>
    <w:rsid w:val="00602ADA"/>
    <w:rsid w:val="00604AAF"/>
    <w:rsid w:val="00607979"/>
    <w:rsid w:val="006109CB"/>
    <w:rsid w:val="00616B77"/>
    <w:rsid w:val="006220EC"/>
    <w:rsid w:val="00622609"/>
    <w:rsid w:val="0062445D"/>
    <w:rsid w:val="00626065"/>
    <w:rsid w:val="0063052A"/>
    <w:rsid w:val="006306C6"/>
    <w:rsid w:val="006310AF"/>
    <w:rsid w:val="00632946"/>
    <w:rsid w:val="00635794"/>
    <w:rsid w:val="00635D60"/>
    <w:rsid w:val="00635F9F"/>
    <w:rsid w:val="0063710D"/>
    <w:rsid w:val="00637C85"/>
    <w:rsid w:val="006406D7"/>
    <w:rsid w:val="0064124C"/>
    <w:rsid w:val="006429B9"/>
    <w:rsid w:val="0064749C"/>
    <w:rsid w:val="00653900"/>
    <w:rsid w:val="0066095F"/>
    <w:rsid w:val="0066106B"/>
    <w:rsid w:val="00662DDA"/>
    <w:rsid w:val="00664744"/>
    <w:rsid w:val="006655AA"/>
    <w:rsid w:val="00672727"/>
    <w:rsid w:val="00673BE0"/>
    <w:rsid w:val="0067486C"/>
    <w:rsid w:val="006756E2"/>
    <w:rsid w:val="00676F56"/>
    <w:rsid w:val="00676F5D"/>
    <w:rsid w:val="006804E5"/>
    <w:rsid w:val="006827D1"/>
    <w:rsid w:val="00682D4F"/>
    <w:rsid w:val="00683CD5"/>
    <w:rsid w:val="00684851"/>
    <w:rsid w:val="00685D0B"/>
    <w:rsid w:val="00686E12"/>
    <w:rsid w:val="0069030C"/>
    <w:rsid w:val="0069477D"/>
    <w:rsid w:val="00695213"/>
    <w:rsid w:val="006A3508"/>
    <w:rsid w:val="006A3D4F"/>
    <w:rsid w:val="006A67AA"/>
    <w:rsid w:val="006A6EA9"/>
    <w:rsid w:val="006B3553"/>
    <w:rsid w:val="006B3D68"/>
    <w:rsid w:val="006B4D5D"/>
    <w:rsid w:val="006B6092"/>
    <w:rsid w:val="006B7203"/>
    <w:rsid w:val="006C0D46"/>
    <w:rsid w:val="006C1871"/>
    <w:rsid w:val="006C1D54"/>
    <w:rsid w:val="006C3EC9"/>
    <w:rsid w:val="006C4C78"/>
    <w:rsid w:val="006D0F8E"/>
    <w:rsid w:val="006D1680"/>
    <w:rsid w:val="006E07B3"/>
    <w:rsid w:val="006E19EF"/>
    <w:rsid w:val="006E2958"/>
    <w:rsid w:val="006E30B0"/>
    <w:rsid w:val="006E3B32"/>
    <w:rsid w:val="006E55DE"/>
    <w:rsid w:val="006E5AB2"/>
    <w:rsid w:val="006E6CD1"/>
    <w:rsid w:val="006E793C"/>
    <w:rsid w:val="006F022D"/>
    <w:rsid w:val="006F1E5E"/>
    <w:rsid w:val="006F2272"/>
    <w:rsid w:val="006F2B59"/>
    <w:rsid w:val="006F2D7E"/>
    <w:rsid w:val="006F2EBA"/>
    <w:rsid w:val="006F5129"/>
    <w:rsid w:val="006F6222"/>
    <w:rsid w:val="006F74D8"/>
    <w:rsid w:val="00700C8A"/>
    <w:rsid w:val="00702146"/>
    <w:rsid w:val="0070357B"/>
    <w:rsid w:val="007042B4"/>
    <w:rsid w:val="00704DE9"/>
    <w:rsid w:val="007074CC"/>
    <w:rsid w:val="007107B6"/>
    <w:rsid w:val="00710ECF"/>
    <w:rsid w:val="007116AD"/>
    <w:rsid w:val="00712C20"/>
    <w:rsid w:val="00712D22"/>
    <w:rsid w:val="00713BCA"/>
    <w:rsid w:val="00713EE9"/>
    <w:rsid w:val="00715A76"/>
    <w:rsid w:val="00716F21"/>
    <w:rsid w:val="00721E1E"/>
    <w:rsid w:val="007247B0"/>
    <w:rsid w:val="007265B2"/>
    <w:rsid w:val="0072748A"/>
    <w:rsid w:val="007319A0"/>
    <w:rsid w:val="00732A13"/>
    <w:rsid w:val="0073479E"/>
    <w:rsid w:val="00737D3C"/>
    <w:rsid w:val="0074060A"/>
    <w:rsid w:val="007419C2"/>
    <w:rsid w:val="00746DE0"/>
    <w:rsid w:val="00747E76"/>
    <w:rsid w:val="00750326"/>
    <w:rsid w:val="007514CF"/>
    <w:rsid w:val="0075370F"/>
    <w:rsid w:val="00754A13"/>
    <w:rsid w:val="00754C6C"/>
    <w:rsid w:val="00757C3C"/>
    <w:rsid w:val="00757F8B"/>
    <w:rsid w:val="00762165"/>
    <w:rsid w:val="007645EC"/>
    <w:rsid w:val="00766905"/>
    <w:rsid w:val="00770AA3"/>
    <w:rsid w:val="0077303B"/>
    <w:rsid w:val="00774389"/>
    <w:rsid w:val="007759C9"/>
    <w:rsid w:val="007760EF"/>
    <w:rsid w:val="00776403"/>
    <w:rsid w:val="00776682"/>
    <w:rsid w:val="00780908"/>
    <w:rsid w:val="00781FB9"/>
    <w:rsid w:val="00782EDA"/>
    <w:rsid w:val="00784D10"/>
    <w:rsid w:val="00784EBA"/>
    <w:rsid w:val="0078540E"/>
    <w:rsid w:val="007865F0"/>
    <w:rsid w:val="00790436"/>
    <w:rsid w:val="00791C06"/>
    <w:rsid w:val="00791CBA"/>
    <w:rsid w:val="007953FF"/>
    <w:rsid w:val="00797072"/>
    <w:rsid w:val="00797F53"/>
    <w:rsid w:val="007A4639"/>
    <w:rsid w:val="007A5CC6"/>
    <w:rsid w:val="007A6EEC"/>
    <w:rsid w:val="007B05EC"/>
    <w:rsid w:val="007B57DB"/>
    <w:rsid w:val="007B7633"/>
    <w:rsid w:val="007C11F9"/>
    <w:rsid w:val="007C11FF"/>
    <w:rsid w:val="007C2328"/>
    <w:rsid w:val="007C2509"/>
    <w:rsid w:val="007C3D45"/>
    <w:rsid w:val="007C3E77"/>
    <w:rsid w:val="007C4F92"/>
    <w:rsid w:val="007C57BB"/>
    <w:rsid w:val="007C7832"/>
    <w:rsid w:val="007D0329"/>
    <w:rsid w:val="007D333E"/>
    <w:rsid w:val="007D56D0"/>
    <w:rsid w:val="007D5ACB"/>
    <w:rsid w:val="007D5D91"/>
    <w:rsid w:val="007E0BD9"/>
    <w:rsid w:val="007E1E70"/>
    <w:rsid w:val="007E2A3D"/>
    <w:rsid w:val="007E2F4F"/>
    <w:rsid w:val="007E3196"/>
    <w:rsid w:val="007E332F"/>
    <w:rsid w:val="007E5DF5"/>
    <w:rsid w:val="007E6CB5"/>
    <w:rsid w:val="007E724E"/>
    <w:rsid w:val="007F0078"/>
    <w:rsid w:val="007F0437"/>
    <w:rsid w:val="007F26C7"/>
    <w:rsid w:val="007F5CF8"/>
    <w:rsid w:val="007F733C"/>
    <w:rsid w:val="007F79C8"/>
    <w:rsid w:val="007F7C68"/>
    <w:rsid w:val="0080388C"/>
    <w:rsid w:val="00803A00"/>
    <w:rsid w:val="00804315"/>
    <w:rsid w:val="0080508A"/>
    <w:rsid w:val="008052CE"/>
    <w:rsid w:val="00806913"/>
    <w:rsid w:val="00806D68"/>
    <w:rsid w:val="00807270"/>
    <w:rsid w:val="0080758E"/>
    <w:rsid w:val="00810207"/>
    <w:rsid w:val="00810F04"/>
    <w:rsid w:val="00810F9D"/>
    <w:rsid w:val="0081199E"/>
    <w:rsid w:val="00812591"/>
    <w:rsid w:val="00812F85"/>
    <w:rsid w:val="0081304B"/>
    <w:rsid w:val="0081434B"/>
    <w:rsid w:val="0081482C"/>
    <w:rsid w:val="0082250F"/>
    <w:rsid w:val="008227A1"/>
    <w:rsid w:val="008262D1"/>
    <w:rsid w:val="00827A0C"/>
    <w:rsid w:val="0083164D"/>
    <w:rsid w:val="008324DF"/>
    <w:rsid w:val="00835E2A"/>
    <w:rsid w:val="00837BE5"/>
    <w:rsid w:val="0084188B"/>
    <w:rsid w:val="0084542A"/>
    <w:rsid w:val="00847A07"/>
    <w:rsid w:val="00850983"/>
    <w:rsid w:val="0085336D"/>
    <w:rsid w:val="00854DBC"/>
    <w:rsid w:val="00855253"/>
    <w:rsid w:val="00855C8A"/>
    <w:rsid w:val="008561AC"/>
    <w:rsid w:val="00856405"/>
    <w:rsid w:val="00856603"/>
    <w:rsid w:val="00856B18"/>
    <w:rsid w:val="0086029D"/>
    <w:rsid w:val="00861E02"/>
    <w:rsid w:val="008632C3"/>
    <w:rsid w:val="00865718"/>
    <w:rsid w:val="00866DF7"/>
    <w:rsid w:val="00867D2F"/>
    <w:rsid w:val="008703D1"/>
    <w:rsid w:val="00872CAB"/>
    <w:rsid w:val="0087360A"/>
    <w:rsid w:val="00874CD3"/>
    <w:rsid w:val="008753D5"/>
    <w:rsid w:val="008774C2"/>
    <w:rsid w:val="00877774"/>
    <w:rsid w:val="00877E01"/>
    <w:rsid w:val="008801A4"/>
    <w:rsid w:val="00881DDD"/>
    <w:rsid w:val="00882B1E"/>
    <w:rsid w:val="00883E08"/>
    <w:rsid w:val="00884235"/>
    <w:rsid w:val="00885F75"/>
    <w:rsid w:val="00887D4C"/>
    <w:rsid w:val="008928D7"/>
    <w:rsid w:val="00894272"/>
    <w:rsid w:val="00896159"/>
    <w:rsid w:val="008970E9"/>
    <w:rsid w:val="00897AC7"/>
    <w:rsid w:val="008A2B51"/>
    <w:rsid w:val="008A310B"/>
    <w:rsid w:val="008A432D"/>
    <w:rsid w:val="008A733E"/>
    <w:rsid w:val="008B1234"/>
    <w:rsid w:val="008B3FB7"/>
    <w:rsid w:val="008B4A55"/>
    <w:rsid w:val="008B4E3F"/>
    <w:rsid w:val="008B5349"/>
    <w:rsid w:val="008B5F20"/>
    <w:rsid w:val="008C0FB5"/>
    <w:rsid w:val="008C58DA"/>
    <w:rsid w:val="008C6934"/>
    <w:rsid w:val="008D0660"/>
    <w:rsid w:val="008D266D"/>
    <w:rsid w:val="008D35F9"/>
    <w:rsid w:val="008D47D2"/>
    <w:rsid w:val="008D4E2D"/>
    <w:rsid w:val="008D5108"/>
    <w:rsid w:val="008E11F4"/>
    <w:rsid w:val="008E42CE"/>
    <w:rsid w:val="008F0898"/>
    <w:rsid w:val="008F265B"/>
    <w:rsid w:val="008F3859"/>
    <w:rsid w:val="008F441D"/>
    <w:rsid w:val="008F5080"/>
    <w:rsid w:val="008F65E2"/>
    <w:rsid w:val="008F7BFB"/>
    <w:rsid w:val="009004C1"/>
    <w:rsid w:val="00900FE2"/>
    <w:rsid w:val="0090237B"/>
    <w:rsid w:val="009024C1"/>
    <w:rsid w:val="009026BE"/>
    <w:rsid w:val="009029D5"/>
    <w:rsid w:val="00902ED4"/>
    <w:rsid w:val="009040BA"/>
    <w:rsid w:val="00904922"/>
    <w:rsid w:val="00905A81"/>
    <w:rsid w:val="00910532"/>
    <w:rsid w:val="009118E2"/>
    <w:rsid w:val="00912CA7"/>
    <w:rsid w:val="00913249"/>
    <w:rsid w:val="0091628E"/>
    <w:rsid w:val="00916CDF"/>
    <w:rsid w:val="00920764"/>
    <w:rsid w:val="00921276"/>
    <w:rsid w:val="0092371A"/>
    <w:rsid w:val="009274A4"/>
    <w:rsid w:val="009339EE"/>
    <w:rsid w:val="0093641F"/>
    <w:rsid w:val="00940C67"/>
    <w:rsid w:val="00944422"/>
    <w:rsid w:val="00945FB0"/>
    <w:rsid w:val="00950946"/>
    <w:rsid w:val="00950A81"/>
    <w:rsid w:val="00952768"/>
    <w:rsid w:val="00953586"/>
    <w:rsid w:val="009541FA"/>
    <w:rsid w:val="00955AD3"/>
    <w:rsid w:val="0096115A"/>
    <w:rsid w:val="00963AFE"/>
    <w:rsid w:val="00965041"/>
    <w:rsid w:val="00966971"/>
    <w:rsid w:val="00966C79"/>
    <w:rsid w:val="009730F8"/>
    <w:rsid w:val="00974054"/>
    <w:rsid w:val="00974EC7"/>
    <w:rsid w:val="00976604"/>
    <w:rsid w:val="009775E9"/>
    <w:rsid w:val="00980631"/>
    <w:rsid w:val="00980E5D"/>
    <w:rsid w:val="00980E81"/>
    <w:rsid w:val="009831C0"/>
    <w:rsid w:val="00984E72"/>
    <w:rsid w:val="00986F54"/>
    <w:rsid w:val="009917D7"/>
    <w:rsid w:val="00992298"/>
    <w:rsid w:val="00992409"/>
    <w:rsid w:val="00993520"/>
    <w:rsid w:val="009951F2"/>
    <w:rsid w:val="00995ED3"/>
    <w:rsid w:val="00996790"/>
    <w:rsid w:val="009A25C2"/>
    <w:rsid w:val="009A327F"/>
    <w:rsid w:val="009A3516"/>
    <w:rsid w:val="009A3A25"/>
    <w:rsid w:val="009B1AF7"/>
    <w:rsid w:val="009B1C03"/>
    <w:rsid w:val="009B2BE3"/>
    <w:rsid w:val="009B360B"/>
    <w:rsid w:val="009B4691"/>
    <w:rsid w:val="009B6F4B"/>
    <w:rsid w:val="009C0FF8"/>
    <w:rsid w:val="009C14A9"/>
    <w:rsid w:val="009C171B"/>
    <w:rsid w:val="009C3647"/>
    <w:rsid w:val="009C5EE0"/>
    <w:rsid w:val="009C678D"/>
    <w:rsid w:val="009C7068"/>
    <w:rsid w:val="009C79C4"/>
    <w:rsid w:val="009D1B9B"/>
    <w:rsid w:val="009D1ED7"/>
    <w:rsid w:val="009D1F57"/>
    <w:rsid w:val="009D456F"/>
    <w:rsid w:val="009D4DCA"/>
    <w:rsid w:val="009E0DCD"/>
    <w:rsid w:val="009E4B6C"/>
    <w:rsid w:val="009E6F4C"/>
    <w:rsid w:val="009E7ACF"/>
    <w:rsid w:val="009E7C48"/>
    <w:rsid w:val="009F05BA"/>
    <w:rsid w:val="009F265D"/>
    <w:rsid w:val="009F3577"/>
    <w:rsid w:val="009F35C7"/>
    <w:rsid w:val="009F36F7"/>
    <w:rsid w:val="009F4386"/>
    <w:rsid w:val="009F7965"/>
    <w:rsid w:val="009F7E6F"/>
    <w:rsid w:val="00A000F7"/>
    <w:rsid w:val="00A0194B"/>
    <w:rsid w:val="00A02103"/>
    <w:rsid w:val="00A02843"/>
    <w:rsid w:val="00A042D7"/>
    <w:rsid w:val="00A047EA"/>
    <w:rsid w:val="00A10C44"/>
    <w:rsid w:val="00A1395C"/>
    <w:rsid w:val="00A149E3"/>
    <w:rsid w:val="00A16718"/>
    <w:rsid w:val="00A20732"/>
    <w:rsid w:val="00A237E9"/>
    <w:rsid w:val="00A23CD3"/>
    <w:rsid w:val="00A27EF8"/>
    <w:rsid w:val="00A33C67"/>
    <w:rsid w:val="00A35334"/>
    <w:rsid w:val="00A37063"/>
    <w:rsid w:val="00A37F3F"/>
    <w:rsid w:val="00A41BF0"/>
    <w:rsid w:val="00A426FF"/>
    <w:rsid w:val="00A43536"/>
    <w:rsid w:val="00A444FC"/>
    <w:rsid w:val="00A46C87"/>
    <w:rsid w:val="00A507EF"/>
    <w:rsid w:val="00A54B1D"/>
    <w:rsid w:val="00A566B6"/>
    <w:rsid w:val="00A57965"/>
    <w:rsid w:val="00A600C3"/>
    <w:rsid w:val="00A601C0"/>
    <w:rsid w:val="00A60B49"/>
    <w:rsid w:val="00A611B9"/>
    <w:rsid w:val="00A61B79"/>
    <w:rsid w:val="00A63A90"/>
    <w:rsid w:val="00A653EA"/>
    <w:rsid w:val="00A65558"/>
    <w:rsid w:val="00A66244"/>
    <w:rsid w:val="00A67F7C"/>
    <w:rsid w:val="00A73DCF"/>
    <w:rsid w:val="00A75BCC"/>
    <w:rsid w:val="00A769CB"/>
    <w:rsid w:val="00A778AB"/>
    <w:rsid w:val="00A80EC8"/>
    <w:rsid w:val="00A81E56"/>
    <w:rsid w:val="00A8282D"/>
    <w:rsid w:val="00A8284D"/>
    <w:rsid w:val="00A8338A"/>
    <w:rsid w:val="00A840D2"/>
    <w:rsid w:val="00A846D7"/>
    <w:rsid w:val="00A8542A"/>
    <w:rsid w:val="00A870B1"/>
    <w:rsid w:val="00A91215"/>
    <w:rsid w:val="00A92F82"/>
    <w:rsid w:val="00A938E3"/>
    <w:rsid w:val="00A94E6B"/>
    <w:rsid w:val="00A973DD"/>
    <w:rsid w:val="00A976B5"/>
    <w:rsid w:val="00AA013C"/>
    <w:rsid w:val="00AA171E"/>
    <w:rsid w:val="00AA3540"/>
    <w:rsid w:val="00AA3793"/>
    <w:rsid w:val="00AA3955"/>
    <w:rsid w:val="00AA45E0"/>
    <w:rsid w:val="00AA52AE"/>
    <w:rsid w:val="00AA72A4"/>
    <w:rsid w:val="00AB0CC2"/>
    <w:rsid w:val="00AB0F7C"/>
    <w:rsid w:val="00AB1B6C"/>
    <w:rsid w:val="00AB2A4A"/>
    <w:rsid w:val="00AC2224"/>
    <w:rsid w:val="00AC2722"/>
    <w:rsid w:val="00AC28ED"/>
    <w:rsid w:val="00AC3513"/>
    <w:rsid w:val="00AC5797"/>
    <w:rsid w:val="00AD07EB"/>
    <w:rsid w:val="00AD0CF7"/>
    <w:rsid w:val="00AD2209"/>
    <w:rsid w:val="00AD6356"/>
    <w:rsid w:val="00AD68DA"/>
    <w:rsid w:val="00AD7196"/>
    <w:rsid w:val="00AE0B03"/>
    <w:rsid w:val="00AE1A3F"/>
    <w:rsid w:val="00AE1E21"/>
    <w:rsid w:val="00AE3BBC"/>
    <w:rsid w:val="00AF0A24"/>
    <w:rsid w:val="00AF131F"/>
    <w:rsid w:val="00AF3BFE"/>
    <w:rsid w:val="00AF545C"/>
    <w:rsid w:val="00AF61BB"/>
    <w:rsid w:val="00AF646C"/>
    <w:rsid w:val="00B02867"/>
    <w:rsid w:val="00B05607"/>
    <w:rsid w:val="00B0798E"/>
    <w:rsid w:val="00B10F44"/>
    <w:rsid w:val="00B11366"/>
    <w:rsid w:val="00B13DAA"/>
    <w:rsid w:val="00B15AD5"/>
    <w:rsid w:val="00B16263"/>
    <w:rsid w:val="00B16DA7"/>
    <w:rsid w:val="00B232FB"/>
    <w:rsid w:val="00B23A0E"/>
    <w:rsid w:val="00B25216"/>
    <w:rsid w:val="00B306EE"/>
    <w:rsid w:val="00B31D9D"/>
    <w:rsid w:val="00B34105"/>
    <w:rsid w:val="00B34A63"/>
    <w:rsid w:val="00B352CD"/>
    <w:rsid w:val="00B40412"/>
    <w:rsid w:val="00B40579"/>
    <w:rsid w:val="00B409F0"/>
    <w:rsid w:val="00B46425"/>
    <w:rsid w:val="00B47E57"/>
    <w:rsid w:val="00B51898"/>
    <w:rsid w:val="00B51FF7"/>
    <w:rsid w:val="00B52567"/>
    <w:rsid w:val="00B52C76"/>
    <w:rsid w:val="00B563E5"/>
    <w:rsid w:val="00B57159"/>
    <w:rsid w:val="00B577C4"/>
    <w:rsid w:val="00B57C66"/>
    <w:rsid w:val="00B60DE8"/>
    <w:rsid w:val="00B61004"/>
    <w:rsid w:val="00B63680"/>
    <w:rsid w:val="00B63A3F"/>
    <w:rsid w:val="00B64857"/>
    <w:rsid w:val="00B65D8F"/>
    <w:rsid w:val="00B71B1C"/>
    <w:rsid w:val="00B720B2"/>
    <w:rsid w:val="00B73C19"/>
    <w:rsid w:val="00B751DD"/>
    <w:rsid w:val="00B75A92"/>
    <w:rsid w:val="00B815B9"/>
    <w:rsid w:val="00B82A58"/>
    <w:rsid w:val="00B8305F"/>
    <w:rsid w:val="00B836D6"/>
    <w:rsid w:val="00B83AD3"/>
    <w:rsid w:val="00B84986"/>
    <w:rsid w:val="00B851AE"/>
    <w:rsid w:val="00B873BB"/>
    <w:rsid w:val="00B96113"/>
    <w:rsid w:val="00B9678E"/>
    <w:rsid w:val="00BA104D"/>
    <w:rsid w:val="00BA24B1"/>
    <w:rsid w:val="00BA3133"/>
    <w:rsid w:val="00BA3177"/>
    <w:rsid w:val="00BA344E"/>
    <w:rsid w:val="00BA7C18"/>
    <w:rsid w:val="00BB0AE2"/>
    <w:rsid w:val="00BB13A3"/>
    <w:rsid w:val="00BB271B"/>
    <w:rsid w:val="00BB408B"/>
    <w:rsid w:val="00BB55FF"/>
    <w:rsid w:val="00BB6F69"/>
    <w:rsid w:val="00BB741E"/>
    <w:rsid w:val="00BC19DE"/>
    <w:rsid w:val="00BC3822"/>
    <w:rsid w:val="00BC3DC7"/>
    <w:rsid w:val="00BC41EC"/>
    <w:rsid w:val="00BC45ED"/>
    <w:rsid w:val="00BC4A7D"/>
    <w:rsid w:val="00BC63D1"/>
    <w:rsid w:val="00BD0618"/>
    <w:rsid w:val="00BD1669"/>
    <w:rsid w:val="00BD29F6"/>
    <w:rsid w:val="00BD2F52"/>
    <w:rsid w:val="00BD5BC8"/>
    <w:rsid w:val="00BD67B3"/>
    <w:rsid w:val="00BD7379"/>
    <w:rsid w:val="00BD7B29"/>
    <w:rsid w:val="00BE4CE8"/>
    <w:rsid w:val="00BE57D8"/>
    <w:rsid w:val="00BE73CE"/>
    <w:rsid w:val="00BE7460"/>
    <w:rsid w:val="00BF1E10"/>
    <w:rsid w:val="00BF1E2B"/>
    <w:rsid w:val="00BF3BBC"/>
    <w:rsid w:val="00BF5A81"/>
    <w:rsid w:val="00BF66D2"/>
    <w:rsid w:val="00BF7A2B"/>
    <w:rsid w:val="00C00741"/>
    <w:rsid w:val="00C01548"/>
    <w:rsid w:val="00C02854"/>
    <w:rsid w:val="00C02932"/>
    <w:rsid w:val="00C030F4"/>
    <w:rsid w:val="00C03E32"/>
    <w:rsid w:val="00C11437"/>
    <w:rsid w:val="00C12176"/>
    <w:rsid w:val="00C13A1A"/>
    <w:rsid w:val="00C16818"/>
    <w:rsid w:val="00C16845"/>
    <w:rsid w:val="00C1702C"/>
    <w:rsid w:val="00C170E9"/>
    <w:rsid w:val="00C17FA8"/>
    <w:rsid w:val="00C20F36"/>
    <w:rsid w:val="00C20FFE"/>
    <w:rsid w:val="00C22411"/>
    <w:rsid w:val="00C23CBB"/>
    <w:rsid w:val="00C27014"/>
    <w:rsid w:val="00C31180"/>
    <w:rsid w:val="00C311C9"/>
    <w:rsid w:val="00C34254"/>
    <w:rsid w:val="00C3441D"/>
    <w:rsid w:val="00C34675"/>
    <w:rsid w:val="00C37BB2"/>
    <w:rsid w:val="00C460AF"/>
    <w:rsid w:val="00C46834"/>
    <w:rsid w:val="00C47E78"/>
    <w:rsid w:val="00C516E1"/>
    <w:rsid w:val="00C5225B"/>
    <w:rsid w:val="00C5250E"/>
    <w:rsid w:val="00C52A2A"/>
    <w:rsid w:val="00C55574"/>
    <w:rsid w:val="00C56E03"/>
    <w:rsid w:val="00C60E33"/>
    <w:rsid w:val="00C63013"/>
    <w:rsid w:val="00C64047"/>
    <w:rsid w:val="00C656E0"/>
    <w:rsid w:val="00C65D7C"/>
    <w:rsid w:val="00C670F1"/>
    <w:rsid w:val="00C6738F"/>
    <w:rsid w:val="00C72BC6"/>
    <w:rsid w:val="00C733DE"/>
    <w:rsid w:val="00C73660"/>
    <w:rsid w:val="00C778B8"/>
    <w:rsid w:val="00C8688F"/>
    <w:rsid w:val="00C86E24"/>
    <w:rsid w:val="00C8795F"/>
    <w:rsid w:val="00C90CCE"/>
    <w:rsid w:val="00C9127D"/>
    <w:rsid w:val="00C928E1"/>
    <w:rsid w:val="00CA2817"/>
    <w:rsid w:val="00CA4589"/>
    <w:rsid w:val="00CA7B5E"/>
    <w:rsid w:val="00CB00CD"/>
    <w:rsid w:val="00CB3673"/>
    <w:rsid w:val="00CB5B11"/>
    <w:rsid w:val="00CB61B4"/>
    <w:rsid w:val="00CB7865"/>
    <w:rsid w:val="00CB7B94"/>
    <w:rsid w:val="00CC0D7E"/>
    <w:rsid w:val="00CC133A"/>
    <w:rsid w:val="00CC418A"/>
    <w:rsid w:val="00CC47D1"/>
    <w:rsid w:val="00CC4880"/>
    <w:rsid w:val="00CD1BF7"/>
    <w:rsid w:val="00CD29A0"/>
    <w:rsid w:val="00CD2C1F"/>
    <w:rsid w:val="00CD2F98"/>
    <w:rsid w:val="00CD3843"/>
    <w:rsid w:val="00CD6442"/>
    <w:rsid w:val="00CD6E6C"/>
    <w:rsid w:val="00CD72A4"/>
    <w:rsid w:val="00CD79B8"/>
    <w:rsid w:val="00CE011C"/>
    <w:rsid w:val="00CE0465"/>
    <w:rsid w:val="00CE21FE"/>
    <w:rsid w:val="00CE31EF"/>
    <w:rsid w:val="00CE343B"/>
    <w:rsid w:val="00CE3A5C"/>
    <w:rsid w:val="00CE48B4"/>
    <w:rsid w:val="00CE4A79"/>
    <w:rsid w:val="00CE6B75"/>
    <w:rsid w:val="00CE7575"/>
    <w:rsid w:val="00CF108E"/>
    <w:rsid w:val="00CF2D71"/>
    <w:rsid w:val="00CF3EF7"/>
    <w:rsid w:val="00CF4729"/>
    <w:rsid w:val="00CF640D"/>
    <w:rsid w:val="00D01277"/>
    <w:rsid w:val="00D02804"/>
    <w:rsid w:val="00D03136"/>
    <w:rsid w:val="00D075BA"/>
    <w:rsid w:val="00D11257"/>
    <w:rsid w:val="00D11C74"/>
    <w:rsid w:val="00D120C4"/>
    <w:rsid w:val="00D123C8"/>
    <w:rsid w:val="00D12FDB"/>
    <w:rsid w:val="00D15490"/>
    <w:rsid w:val="00D15832"/>
    <w:rsid w:val="00D178D8"/>
    <w:rsid w:val="00D220F5"/>
    <w:rsid w:val="00D305BB"/>
    <w:rsid w:val="00D31DFE"/>
    <w:rsid w:val="00D321E9"/>
    <w:rsid w:val="00D34659"/>
    <w:rsid w:val="00D34BE7"/>
    <w:rsid w:val="00D3536A"/>
    <w:rsid w:val="00D35D66"/>
    <w:rsid w:val="00D41A6F"/>
    <w:rsid w:val="00D43C3C"/>
    <w:rsid w:val="00D44F8C"/>
    <w:rsid w:val="00D4554C"/>
    <w:rsid w:val="00D457B4"/>
    <w:rsid w:val="00D45FE4"/>
    <w:rsid w:val="00D511F6"/>
    <w:rsid w:val="00D53387"/>
    <w:rsid w:val="00D630A8"/>
    <w:rsid w:val="00D70D73"/>
    <w:rsid w:val="00D72612"/>
    <w:rsid w:val="00D74D3A"/>
    <w:rsid w:val="00D76CC0"/>
    <w:rsid w:val="00D80D17"/>
    <w:rsid w:val="00D83DC3"/>
    <w:rsid w:val="00D8430D"/>
    <w:rsid w:val="00D84E12"/>
    <w:rsid w:val="00D85B06"/>
    <w:rsid w:val="00D86F92"/>
    <w:rsid w:val="00D8712B"/>
    <w:rsid w:val="00D87528"/>
    <w:rsid w:val="00D913C1"/>
    <w:rsid w:val="00D9395A"/>
    <w:rsid w:val="00D955DF"/>
    <w:rsid w:val="00D97447"/>
    <w:rsid w:val="00D97F1A"/>
    <w:rsid w:val="00DA182C"/>
    <w:rsid w:val="00DA18D6"/>
    <w:rsid w:val="00DA239E"/>
    <w:rsid w:val="00DA2406"/>
    <w:rsid w:val="00DA36AB"/>
    <w:rsid w:val="00DA3B08"/>
    <w:rsid w:val="00DA4947"/>
    <w:rsid w:val="00DA4C5D"/>
    <w:rsid w:val="00DA5649"/>
    <w:rsid w:val="00DA6044"/>
    <w:rsid w:val="00DA6483"/>
    <w:rsid w:val="00DA6ACB"/>
    <w:rsid w:val="00DB0402"/>
    <w:rsid w:val="00DB05D5"/>
    <w:rsid w:val="00DB0ADE"/>
    <w:rsid w:val="00DB2CCA"/>
    <w:rsid w:val="00DB367A"/>
    <w:rsid w:val="00DB3C2A"/>
    <w:rsid w:val="00DB48F1"/>
    <w:rsid w:val="00DB54E8"/>
    <w:rsid w:val="00DB5FEE"/>
    <w:rsid w:val="00DB6051"/>
    <w:rsid w:val="00DC1546"/>
    <w:rsid w:val="00DC1699"/>
    <w:rsid w:val="00DC61C4"/>
    <w:rsid w:val="00DC674B"/>
    <w:rsid w:val="00DC7AFF"/>
    <w:rsid w:val="00DD2B49"/>
    <w:rsid w:val="00DD3602"/>
    <w:rsid w:val="00DD4C3B"/>
    <w:rsid w:val="00DD57B8"/>
    <w:rsid w:val="00DD5D3C"/>
    <w:rsid w:val="00DD6524"/>
    <w:rsid w:val="00DE72D0"/>
    <w:rsid w:val="00DF008C"/>
    <w:rsid w:val="00DF0807"/>
    <w:rsid w:val="00DF37BF"/>
    <w:rsid w:val="00DF5DB5"/>
    <w:rsid w:val="00DF61DD"/>
    <w:rsid w:val="00DF7655"/>
    <w:rsid w:val="00E0082A"/>
    <w:rsid w:val="00E00F3D"/>
    <w:rsid w:val="00E02F98"/>
    <w:rsid w:val="00E067FF"/>
    <w:rsid w:val="00E104EA"/>
    <w:rsid w:val="00E10789"/>
    <w:rsid w:val="00E10C45"/>
    <w:rsid w:val="00E11338"/>
    <w:rsid w:val="00E126EF"/>
    <w:rsid w:val="00E15284"/>
    <w:rsid w:val="00E15CB3"/>
    <w:rsid w:val="00E16B25"/>
    <w:rsid w:val="00E16E41"/>
    <w:rsid w:val="00E17E63"/>
    <w:rsid w:val="00E20EEB"/>
    <w:rsid w:val="00E21EA2"/>
    <w:rsid w:val="00E222DB"/>
    <w:rsid w:val="00E24D91"/>
    <w:rsid w:val="00E254F6"/>
    <w:rsid w:val="00E2580F"/>
    <w:rsid w:val="00E262B5"/>
    <w:rsid w:val="00E31830"/>
    <w:rsid w:val="00E31E5C"/>
    <w:rsid w:val="00E341F4"/>
    <w:rsid w:val="00E40C73"/>
    <w:rsid w:val="00E41688"/>
    <w:rsid w:val="00E42AA5"/>
    <w:rsid w:val="00E45B85"/>
    <w:rsid w:val="00E46BCA"/>
    <w:rsid w:val="00E51183"/>
    <w:rsid w:val="00E5249D"/>
    <w:rsid w:val="00E5400E"/>
    <w:rsid w:val="00E550F4"/>
    <w:rsid w:val="00E57A9F"/>
    <w:rsid w:val="00E57C2A"/>
    <w:rsid w:val="00E6019B"/>
    <w:rsid w:val="00E612FF"/>
    <w:rsid w:val="00E61392"/>
    <w:rsid w:val="00E624F8"/>
    <w:rsid w:val="00E747E1"/>
    <w:rsid w:val="00E764FE"/>
    <w:rsid w:val="00E76E51"/>
    <w:rsid w:val="00E77674"/>
    <w:rsid w:val="00E80FEC"/>
    <w:rsid w:val="00E84981"/>
    <w:rsid w:val="00E87DAD"/>
    <w:rsid w:val="00E90910"/>
    <w:rsid w:val="00E91D2A"/>
    <w:rsid w:val="00E93899"/>
    <w:rsid w:val="00E94EBC"/>
    <w:rsid w:val="00E968F4"/>
    <w:rsid w:val="00E978C0"/>
    <w:rsid w:val="00E97CC3"/>
    <w:rsid w:val="00EA04E9"/>
    <w:rsid w:val="00EA14A8"/>
    <w:rsid w:val="00EA1637"/>
    <w:rsid w:val="00EA3DA2"/>
    <w:rsid w:val="00EA4E23"/>
    <w:rsid w:val="00EA5D6E"/>
    <w:rsid w:val="00EA6A38"/>
    <w:rsid w:val="00EB3091"/>
    <w:rsid w:val="00EB606D"/>
    <w:rsid w:val="00EB6465"/>
    <w:rsid w:val="00EB7E80"/>
    <w:rsid w:val="00EC046E"/>
    <w:rsid w:val="00EC0A8D"/>
    <w:rsid w:val="00EC17F9"/>
    <w:rsid w:val="00EC2617"/>
    <w:rsid w:val="00EC3D27"/>
    <w:rsid w:val="00EC4E4D"/>
    <w:rsid w:val="00EC5829"/>
    <w:rsid w:val="00EC5AC0"/>
    <w:rsid w:val="00EC61AB"/>
    <w:rsid w:val="00EC6E8E"/>
    <w:rsid w:val="00EC6F51"/>
    <w:rsid w:val="00EC7AD8"/>
    <w:rsid w:val="00ED08F2"/>
    <w:rsid w:val="00ED23EE"/>
    <w:rsid w:val="00ED251F"/>
    <w:rsid w:val="00ED2A08"/>
    <w:rsid w:val="00EE0A9F"/>
    <w:rsid w:val="00EE18F6"/>
    <w:rsid w:val="00EE3E50"/>
    <w:rsid w:val="00EE3F93"/>
    <w:rsid w:val="00EE40CF"/>
    <w:rsid w:val="00EE5718"/>
    <w:rsid w:val="00EE707B"/>
    <w:rsid w:val="00EE7D14"/>
    <w:rsid w:val="00EF1294"/>
    <w:rsid w:val="00EF12AC"/>
    <w:rsid w:val="00EF2918"/>
    <w:rsid w:val="00EF5277"/>
    <w:rsid w:val="00EF5E20"/>
    <w:rsid w:val="00EF6E1A"/>
    <w:rsid w:val="00F00EEA"/>
    <w:rsid w:val="00F01D6F"/>
    <w:rsid w:val="00F02136"/>
    <w:rsid w:val="00F036AD"/>
    <w:rsid w:val="00F03947"/>
    <w:rsid w:val="00F039F4"/>
    <w:rsid w:val="00F0444E"/>
    <w:rsid w:val="00F04818"/>
    <w:rsid w:val="00F054E7"/>
    <w:rsid w:val="00F0566E"/>
    <w:rsid w:val="00F0765E"/>
    <w:rsid w:val="00F1090C"/>
    <w:rsid w:val="00F113DA"/>
    <w:rsid w:val="00F120AD"/>
    <w:rsid w:val="00F14EBF"/>
    <w:rsid w:val="00F15E02"/>
    <w:rsid w:val="00F1619E"/>
    <w:rsid w:val="00F176B6"/>
    <w:rsid w:val="00F238A1"/>
    <w:rsid w:val="00F24B90"/>
    <w:rsid w:val="00F26CBB"/>
    <w:rsid w:val="00F30A5E"/>
    <w:rsid w:val="00F31AFE"/>
    <w:rsid w:val="00F31BDD"/>
    <w:rsid w:val="00F32F58"/>
    <w:rsid w:val="00F3456A"/>
    <w:rsid w:val="00F374CF"/>
    <w:rsid w:val="00F37DCD"/>
    <w:rsid w:val="00F40B7B"/>
    <w:rsid w:val="00F44699"/>
    <w:rsid w:val="00F47B8F"/>
    <w:rsid w:val="00F5582B"/>
    <w:rsid w:val="00F55A20"/>
    <w:rsid w:val="00F55F0D"/>
    <w:rsid w:val="00F56267"/>
    <w:rsid w:val="00F56588"/>
    <w:rsid w:val="00F56F9A"/>
    <w:rsid w:val="00F61310"/>
    <w:rsid w:val="00F64984"/>
    <w:rsid w:val="00F6569A"/>
    <w:rsid w:val="00F67BB2"/>
    <w:rsid w:val="00F67FBC"/>
    <w:rsid w:val="00F701BF"/>
    <w:rsid w:val="00F71260"/>
    <w:rsid w:val="00F72269"/>
    <w:rsid w:val="00F74AC4"/>
    <w:rsid w:val="00F75294"/>
    <w:rsid w:val="00F752D9"/>
    <w:rsid w:val="00F803DF"/>
    <w:rsid w:val="00F8174F"/>
    <w:rsid w:val="00F824F2"/>
    <w:rsid w:val="00F86FA6"/>
    <w:rsid w:val="00F87ED2"/>
    <w:rsid w:val="00F90820"/>
    <w:rsid w:val="00F91E4E"/>
    <w:rsid w:val="00F93E17"/>
    <w:rsid w:val="00F946B5"/>
    <w:rsid w:val="00F95590"/>
    <w:rsid w:val="00F95877"/>
    <w:rsid w:val="00F96A12"/>
    <w:rsid w:val="00F978A0"/>
    <w:rsid w:val="00FA327E"/>
    <w:rsid w:val="00FA43E4"/>
    <w:rsid w:val="00FB0EEA"/>
    <w:rsid w:val="00FB373C"/>
    <w:rsid w:val="00FB39ED"/>
    <w:rsid w:val="00FB56CF"/>
    <w:rsid w:val="00FB577C"/>
    <w:rsid w:val="00FC1102"/>
    <w:rsid w:val="00FC2FFF"/>
    <w:rsid w:val="00FC3377"/>
    <w:rsid w:val="00FC4F2D"/>
    <w:rsid w:val="00FC5E67"/>
    <w:rsid w:val="00FC6698"/>
    <w:rsid w:val="00FC7F91"/>
    <w:rsid w:val="00FD0CB8"/>
    <w:rsid w:val="00FD13F6"/>
    <w:rsid w:val="00FD2CBF"/>
    <w:rsid w:val="00FD743E"/>
    <w:rsid w:val="00FE0DE7"/>
    <w:rsid w:val="00FE3015"/>
    <w:rsid w:val="00FE3B83"/>
    <w:rsid w:val="00FE4AAC"/>
    <w:rsid w:val="00FE51C2"/>
    <w:rsid w:val="00FE60FE"/>
    <w:rsid w:val="00FE70D8"/>
    <w:rsid w:val="00FE7F82"/>
    <w:rsid w:val="00FF23F0"/>
    <w:rsid w:val="00FF4F28"/>
    <w:rsid w:val="00FF501B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61D8"/>
  <w14:defaultImageDpi w14:val="32767"/>
  <w15:chartTrackingRefBased/>
  <w15:docId w15:val="{C0764A0A-9A28-E34C-8D72-93E1D4B9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 (Body CS)"/>
        <w:spacing w:val="20"/>
        <w:kern w:val="2"/>
        <w:sz w:val="22"/>
        <w:szCs w:val="22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FA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5F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5F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F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F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F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F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F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F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F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5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F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F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F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FB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FB0"/>
    <w:pPr>
      <w:spacing w:after="160"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45F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F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FB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45FB0"/>
  </w:style>
  <w:style w:type="paragraph" w:styleId="Header">
    <w:name w:val="header"/>
    <w:basedOn w:val="Normal"/>
    <w:link w:val="HeaderChar"/>
    <w:uiPriority w:val="99"/>
    <w:unhideWhenUsed/>
    <w:rsid w:val="00945FB0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45FB0"/>
  </w:style>
  <w:style w:type="paragraph" w:styleId="Footer">
    <w:name w:val="footer"/>
    <w:basedOn w:val="Normal"/>
    <w:link w:val="FooterChar"/>
    <w:uiPriority w:val="99"/>
    <w:unhideWhenUsed/>
    <w:rsid w:val="00945FB0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45FB0"/>
  </w:style>
  <w:style w:type="character" w:styleId="PageNumber">
    <w:name w:val="page number"/>
    <w:basedOn w:val="DefaultParagraphFont"/>
    <w:uiPriority w:val="99"/>
    <w:semiHidden/>
    <w:unhideWhenUsed/>
    <w:rsid w:val="00945FB0"/>
  </w:style>
  <w:style w:type="character" w:styleId="Hyperlink">
    <w:name w:val="Hyperlink"/>
    <w:basedOn w:val="DefaultParagraphFont"/>
    <w:uiPriority w:val="99"/>
    <w:unhideWhenUsed/>
    <w:rsid w:val="009049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9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3AFE"/>
    <w:rPr>
      <w:color w:val="96607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DF37BF"/>
    <w:pPr>
      <w:spacing w:after="160" w:line="278" w:lineRule="auto"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533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D5F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D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D5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BE3"/>
    <w:rPr>
      <w:color w:val="666666"/>
    </w:rPr>
  </w:style>
  <w:style w:type="paragraph" w:customStyle="1" w:styleId="p1">
    <w:name w:val="p1"/>
    <w:basedOn w:val="Normal"/>
    <w:rsid w:val="00F054E7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F054E7"/>
  </w:style>
  <w:style w:type="character" w:customStyle="1" w:styleId="anchor-text">
    <w:name w:val="anchor-text"/>
    <w:basedOn w:val="DefaultParagraphFont"/>
    <w:rsid w:val="00F0765E"/>
  </w:style>
  <w:style w:type="paragraph" w:customStyle="1" w:styleId="p2">
    <w:name w:val="p2"/>
    <w:basedOn w:val="Normal"/>
    <w:rsid w:val="00E57C2A"/>
    <w:rPr>
      <w:rFonts w:ascii="Helvetica Neue" w:eastAsia="Times New Roman" w:hAnsi="Helvetica Neue" w:cs="Times New Roman"/>
      <w:color w:val="000000"/>
      <w:spacing w:val="0"/>
      <w:kern w:val="0"/>
      <w:sz w:val="21"/>
      <w:szCs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5970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089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300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9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6D3BAD-796F-B548-8048-40EA1048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Yudai Kawamoto</dc:creator>
  <cp:keywords/>
  <dc:description/>
  <cp:lastModifiedBy>Yudai Kawamoto</cp:lastModifiedBy>
  <cp:revision>17</cp:revision>
  <cp:lastPrinted>2025-11-04T08:35:00Z</cp:lastPrinted>
  <dcterms:created xsi:type="dcterms:W3CDTF">2025-11-17T04:44:00Z</dcterms:created>
  <dcterms:modified xsi:type="dcterms:W3CDTF">2026-01-27T15:30:00Z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zotero-version="7.0.29"&gt;&lt;session id="6GYLDJC9"/&gt;&lt;style id="http://www.zotero.org/styles/nature" hasBibliography="1" bibliographyStyleHasBeenSet="1"/&gt;&lt;prefs&gt;&lt;pref name="fieldType" value="Field"/&gt;&lt;pref name="dontAskDelayCitationUpdate</vt:lpwstr>
  </property>
  <property fmtid="{D5CDD505-2E9C-101B-9397-08002B2CF9AE}" pid="3" name="ZOTERO_PREF_2">
    <vt:lpwstr>s" value="true"/&gt;&lt;/prefs&gt;&lt;/data&gt;</vt:lpwstr>
  </property>
</Properties>
</file>