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965C" w14:textId="1109A45B" w:rsidR="0033120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Materials</w:t>
      </w:r>
    </w:p>
    <w:p w14:paraId="1A7CE5D9" w14:textId="25B97D40" w:rsidR="00907FAD" w:rsidRPr="000A1002" w:rsidRDefault="00907FAD" w:rsidP="00907FAD">
      <w:pPr>
        <w:rPr>
          <w:rFonts w:ascii="Times New Roman" w:hAnsi="Times New Roman" w:cs="Times New Roman"/>
          <w:b/>
          <w:bCs/>
          <w:sz w:val="24"/>
          <w:szCs w:val="24"/>
        </w:rPr>
      </w:pPr>
      <w:r w:rsidRPr="000A1002">
        <w:rPr>
          <w:rFonts w:ascii="Times New Roman" w:hAnsi="Times New Roman" w:cs="Times New Roman"/>
          <w:b/>
          <w:bCs/>
          <w:sz w:val="24"/>
          <w:szCs w:val="24"/>
        </w:rPr>
        <w:t>Supplemental Table 1. Study Activities</w:t>
      </w:r>
    </w:p>
    <w:tbl>
      <w:tblPr>
        <w:tblStyle w:val="8"/>
        <w:tblW w:w="9480"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5"/>
        <w:gridCol w:w="960"/>
        <w:gridCol w:w="900"/>
        <w:gridCol w:w="735"/>
        <w:gridCol w:w="570"/>
        <w:gridCol w:w="585"/>
        <w:gridCol w:w="615"/>
        <w:gridCol w:w="615"/>
        <w:gridCol w:w="615"/>
        <w:gridCol w:w="585"/>
        <w:gridCol w:w="585"/>
        <w:gridCol w:w="615"/>
        <w:gridCol w:w="795"/>
      </w:tblGrid>
      <w:tr w:rsidR="00907FAD" w:rsidRPr="000A1002" w14:paraId="689F6A9D" w14:textId="77777777" w:rsidTr="00BA2175">
        <w:trPr>
          <w:trHeight w:val="420"/>
        </w:trPr>
        <w:tc>
          <w:tcPr>
            <w:tcW w:w="1305" w:type="dxa"/>
            <w:vMerge w:val="restart"/>
            <w:tcMar>
              <w:top w:w="100" w:type="dxa"/>
              <w:left w:w="100" w:type="dxa"/>
              <w:bottom w:w="100" w:type="dxa"/>
              <w:right w:w="100" w:type="dxa"/>
            </w:tcMar>
            <w:vAlign w:val="center"/>
          </w:tcPr>
          <w:p w14:paraId="448A7B24" w14:textId="77777777" w:rsidR="00907FAD" w:rsidRPr="000A1002" w:rsidRDefault="00907FAD" w:rsidP="00BA2175">
            <w:pPr>
              <w:widowControl w:val="0"/>
              <w:spacing w:before="0"/>
              <w:jc w:val="center"/>
              <w:rPr>
                <w:rFonts w:ascii="Times New Roman" w:eastAsia="Times New Roman" w:hAnsi="Times New Roman" w:cs="Times New Roman"/>
                <w:sz w:val="14"/>
                <w:szCs w:val="14"/>
              </w:rPr>
            </w:pPr>
          </w:p>
          <w:p w14:paraId="0FA2EE98"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Protocol Activities</w:t>
            </w:r>
          </w:p>
        </w:tc>
        <w:tc>
          <w:tcPr>
            <w:tcW w:w="960" w:type="dxa"/>
            <w:vMerge w:val="restart"/>
            <w:tcMar>
              <w:top w:w="100" w:type="dxa"/>
              <w:left w:w="100" w:type="dxa"/>
              <w:bottom w:w="100" w:type="dxa"/>
              <w:right w:w="100" w:type="dxa"/>
            </w:tcMar>
            <w:vAlign w:val="center"/>
          </w:tcPr>
          <w:p w14:paraId="78A800E0" w14:textId="77777777" w:rsidR="00907FAD" w:rsidRPr="000A1002" w:rsidRDefault="00907FAD" w:rsidP="00BA2175">
            <w:pPr>
              <w:widowControl w:val="0"/>
              <w:spacing w:before="0"/>
              <w:jc w:val="center"/>
              <w:rPr>
                <w:rFonts w:ascii="Times New Roman" w:eastAsia="Times New Roman" w:hAnsi="Times New Roman" w:cs="Times New Roman"/>
                <w:sz w:val="14"/>
                <w:szCs w:val="14"/>
              </w:rPr>
            </w:pPr>
          </w:p>
          <w:p w14:paraId="60369266"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Screen</w:t>
            </w:r>
            <w:r w:rsidRPr="000A1002">
              <w:rPr>
                <w:rFonts w:ascii="Times New Roman" w:eastAsia="Times New Roman" w:hAnsi="Times New Roman" w:cs="Times New Roman"/>
                <w:b/>
                <w:sz w:val="14"/>
                <w:szCs w:val="14"/>
                <w:vertAlign w:val="superscript"/>
              </w:rPr>
              <w:t xml:space="preserve">(a) </w:t>
            </w:r>
          </w:p>
        </w:tc>
        <w:tc>
          <w:tcPr>
            <w:tcW w:w="7215" w:type="dxa"/>
            <w:gridSpan w:val="11"/>
            <w:tcMar>
              <w:top w:w="100" w:type="dxa"/>
              <w:left w:w="100" w:type="dxa"/>
              <w:bottom w:w="100" w:type="dxa"/>
              <w:right w:w="100" w:type="dxa"/>
            </w:tcMar>
            <w:vAlign w:val="center"/>
          </w:tcPr>
          <w:p w14:paraId="289B4B2B"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Study Duration</w:t>
            </w:r>
          </w:p>
        </w:tc>
      </w:tr>
      <w:tr w:rsidR="00907FAD" w:rsidRPr="000A1002" w14:paraId="1B5EF892" w14:textId="77777777" w:rsidTr="00BA2175">
        <w:trPr>
          <w:trHeight w:val="400"/>
        </w:trPr>
        <w:tc>
          <w:tcPr>
            <w:tcW w:w="1305" w:type="dxa"/>
            <w:vMerge/>
            <w:tcMar>
              <w:top w:w="100" w:type="dxa"/>
              <w:left w:w="100" w:type="dxa"/>
              <w:bottom w:w="100" w:type="dxa"/>
              <w:right w:w="100" w:type="dxa"/>
            </w:tcMar>
            <w:vAlign w:val="center"/>
          </w:tcPr>
          <w:p w14:paraId="46C9F981"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960" w:type="dxa"/>
            <w:vMerge/>
            <w:tcMar>
              <w:top w:w="100" w:type="dxa"/>
              <w:left w:w="100" w:type="dxa"/>
              <w:bottom w:w="100" w:type="dxa"/>
              <w:right w:w="100" w:type="dxa"/>
            </w:tcMar>
            <w:vAlign w:val="center"/>
          </w:tcPr>
          <w:p w14:paraId="4D7595FD"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900" w:type="dxa"/>
            <w:vMerge w:val="restart"/>
            <w:tcMar>
              <w:top w:w="100" w:type="dxa"/>
              <w:left w:w="100" w:type="dxa"/>
              <w:bottom w:w="100" w:type="dxa"/>
              <w:right w:w="100" w:type="dxa"/>
            </w:tcMar>
            <w:vAlign w:val="center"/>
          </w:tcPr>
          <w:p w14:paraId="3307F9BB"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Randomize</w:t>
            </w:r>
          </w:p>
          <w:p w14:paraId="54044736"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and Ship</w:t>
            </w:r>
            <w:r w:rsidRPr="000A1002">
              <w:rPr>
                <w:rFonts w:ascii="Times New Roman" w:eastAsia="Times New Roman" w:hAnsi="Times New Roman" w:cs="Times New Roman"/>
                <w:b/>
                <w:sz w:val="14"/>
                <w:szCs w:val="14"/>
                <w:vertAlign w:val="superscript"/>
              </w:rPr>
              <w:t>(b)</w:t>
            </w:r>
          </w:p>
        </w:tc>
        <w:tc>
          <w:tcPr>
            <w:tcW w:w="735" w:type="dxa"/>
            <w:vMerge w:val="restart"/>
            <w:tcMar>
              <w:top w:w="100" w:type="dxa"/>
              <w:left w:w="100" w:type="dxa"/>
              <w:bottom w:w="100" w:type="dxa"/>
              <w:right w:w="100" w:type="dxa"/>
            </w:tcMar>
            <w:vAlign w:val="center"/>
          </w:tcPr>
          <w:p w14:paraId="432CB902" w14:textId="77777777" w:rsidR="00907FAD" w:rsidRPr="000A1002" w:rsidRDefault="00907FAD" w:rsidP="00BA2175">
            <w:pPr>
              <w:widowControl w:val="0"/>
              <w:spacing w:before="0"/>
              <w:jc w:val="center"/>
              <w:rPr>
                <w:rFonts w:ascii="Times New Roman" w:eastAsia="Times New Roman" w:hAnsi="Times New Roman" w:cs="Times New Roman"/>
                <w:b/>
                <w:color w:val="FF0000"/>
                <w:sz w:val="14"/>
                <w:szCs w:val="14"/>
              </w:rPr>
            </w:pPr>
          </w:p>
          <w:p w14:paraId="25C26C20" w14:textId="77777777" w:rsidR="00907FAD" w:rsidRPr="000A1002" w:rsidRDefault="00907FAD" w:rsidP="00BA2175">
            <w:pPr>
              <w:widowControl w:val="0"/>
              <w:spacing w:before="0"/>
              <w:jc w:val="center"/>
              <w:rPr>
                <w:rFonts w:ascii="Times New Roman" w:eastAsia="Times New Roman" w:hAnsi="Times New Roman" w:cs="Times New Roman"/>
                <w:b/>
                <w:color w:val="FF0000"/>
                <w:sz w:val="14"/>
                <w:szCs w:val="14"/>
              </w:rPr>
            </w:pPr>
          </w:p>
          <w:p w14:paraId="2EBADEC5"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color w:val="FF0000"/>
                <w:sz w:val="14"/>
                <w:szCs w:val="14"/>
              </w:rPr>
              <w:t xml:space="preserve"> </w:t>
            </w:r>
          </w:p>
          <w:p w14:paraId="5200E88F"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Baseline</w:t>
            </w:r>
          </w:p>
        </w:tc>
        <w:tc>
          <w:tcPr>
            <w:tcW w:w="5580" w:type="dxa"/>
            <w:gridSpan w:val="9"/>
            <w:tcMar>
              <w:top w:w="100" w:type="dxa"/>
              <w:left w:w="100" w:type="dxa"/>
              <w:bottom w:w="100" w:type="dxa"/>
              <w:right w:w="100" w:type="dxa"/>
            </w:tcMar>
            <w:vAlign w:val="center"/>
          </w:tcPr>
          <w:p w14:paraId="07E68A3F"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Study Product/Placebo Use Period</w:t>
            </w:r>
          </w:p>
          <w:p w14:paraId="325253A0"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(8 weeks)</w:t>
            </w:r>
          </w:p>
        </w:tc>
      </w:tr>
      <w:tr w:rsidR="00907FAD" w:rsidRPr="000A1002" w14:paraId="58689032" w14:textId="77777777" w:rsidTr="00BA2175">
        <w:trPr>
          <w:trHeight w:val="380"/>
        </w:trPr>
        <w:tc>
          <w:tcPr>
            <w:tcW w:w="1305" w:type="dxa"/>
            <w:vMerge/>
            <w:tcMar>
              <w:top w:w="100" w:type="dxa"/>
              <w:left w:w="100" w:type="dxa"/>
              <w:bottom w:w="100" w:type="dxa"/>
              <w:right w:w="100" w:type="dxa"/>
            </w:tcMar>
            <w:vAlign w:val="center"/>
          </w:tcPr>
          <w:p w14:paraId="2572AB8B"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960" w:type="dxa"/>
            <w:vMerge/>
            <w:tcMar>
              <w:top w:w="100" w:type="dxa"/>
              <w:left w:w="100" w:type="dxa"/>
              <w:bottom w:w="100" w:type="dxa"/>
              <w:right w:w="100" w:type="dxa"/>
            </w:tcMar>
            <w:vAlign w:val="center"/>
          </w:tcPr>
          <w:p w14:paraId="3B2BB74F"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900" w:type="dxa"/>
            <w:vMerge/>
            <w:tcMar>
              <w:top w:w="100" w:type="dxa"/>
              <w:left w:w="100" w:type="dxa"/>
              <w:bottom w:w="100" w:type="dxa"/>
              <w:right w:w="100" w:type="dxa"/>
            </w:tcMar>
            <w:vAlign w:val="center"/>
          </w:tcPr>
          <w:p w14:paraId="172413F0"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735" w:type="dxa"/>
            <w:vMerge/>
            <w:tcMar>
              <w:top w:w="100" w:type="dxa"/>
              <w:left w:w="100" w:type="dxa"/>
              <w:bottom w:w="100" w:type="dxa"/>
              <w:right w:w="100" w:type="dxa"/>
            </w:tcMar>
            <w:vAlign w:val="center"/>
          </w:tcPr>
          <w:p w14:paraId="5E1DA78A"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570" w:type="dxa"/>
            <w:tcMar>
              <w:top w:w="100" w:type="dxa"/>
              <w:left w:w="100" w:type="dxa"/>
              <w:bottom w:w="100" w:type="dxa"/>
              <w:right w:w="100" w:type="dxa"/>
            </w:tcMar>
          </w:tcPr>
          <w:p w14:paraId="32B152AB"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 xml:space="preserve">Week </w:t>
            </w:r>
          </w:p>
          <w:p w14:paraId="57BD356C"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1</w:t>
            </w:r>
          </w:p>
        </w:tc>
        <w:tc>
          <w:tcPr>
            <w:tcW w:w="585" w:type="dxa"/>
            <w:tcMar>
              <w:top w:w="100" w:type="dxa"/>
              <w:left w:w="100" w:type="dxa"/>
              <w:bottom w:w="100" w:type="dxa"/>
              <w:right w:w="100" w:type="dxa"/>
            </w:tcMar>
          </w:tcPr>
          <w:p w14:paraId="10B75F2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 xml:space="preserve">Week </w:t>
            </w:r>
          </w:p>
          <w:p w14:paraId="65C9483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2</w:t>
            </w:r>
          </w:p>
        </w:tc>
        <w:tc>
          <w:tcPr>
            <w:tcW w:w="615" w:type="dxa"/>
            <w:tcMar>
              <w:top w:w="100" w:type="dxa"/>
              <w:left w:w="100" w:type="dxa"/>
              <w:bottom w:w="100" w:type="dxa"/>
              <w:right w:w="100" w:type="dxa"/>
            </w:tcMar>
          </w:tcPr>
          <w:p w14:paraId="75E4F81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 xml:space="preserve">Week </w:t>
            </w:r>
          </w:p>
          <w:p w14:paraId="6C0D8EF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3</w:t>
            </w:r>
          </w:p>
        </w:tc>
        <w:tc>
          <w:tcPr>
            <w:tcW w:w="615" w:type="dxa"/>
            <w:tcMar>
              <w:top w:w="100" w:type="dxa"/>
              <w:left w:w="100" w:type="dxa"/>
              <w:bottom w:w="100" w:type="dxa"/>
              <w:right w:w="100" w:type="dxa"/>
            </w:tcMar>
          </w:tcPr>
          <w:p w14:paraId="5F31D3F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 xml:space="preserve">Week </w:t>
            </w:r>
          </w:p>
          <w:p w14:paraId="159DCD4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4</w:t>
            </w:r>
          </w:p>
        </w:tc>
        <w:tc>
          <w:tcPr>
            <w:tcW w:w="615" w:type="dxa"/>
            <w:tcMar>
              <w:top w:w="100" w:type="dxa"/>
              <w:left w:w="100" w:type="dxa"/>
              <w:bottom w:w="100" w:type="dxa"/>
              <w:right w:w="100" w:type="dxa"/>
            </w:tcMar>
          </w:tcPr>
          <w:p w14:paraId="61D7E94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Week 5</w:t>
            </w:r>
          </w:p>
        </w:tc>
        <w:tc>
          <w:tcPr>
            <w:tcW w:w="585" w:type="dxa"/>
            <w:tcMar>
              <w:top w:w="100" w:type="dxa"/>
              <w:left w:w="100" w:type="dxa"/>
              <w:bottom w:w="100" w:type="dxa"/>
              <w:right w:w="100" w:type="dxa"/>
            </w:tcMar>
          </w:tcPr>
          <w:p w14:paraId="331CA77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Week 6</w:t>
            </w:r>
          </w:p>
        </w:tc>
        <w:tc>
          <w:tcPr>
            <w:tcW w:w="585" w:type="dxa"/>
            <w:tcMar>
              <w:top w:w="100" w:type="dxa"/>
              <w:left w:w="100" w:type="dxa"/>
              <w:bottom w:w="100" w:type="dxa"/>
              <w:right w:w="100" w:type="dxa"/>
            </w:tcMar>
          </w:tcPr>
          <w:p w14:paraId="6D50C722"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Week 7</w:t>
            </w:r>
          </w:p>
        </w:tc>
        <w:tc>
          <w:tcPr>
            <w:tcW w:w="615" w:type="dxa"/>
            <w:tcMar>
              <w:top w:w="100" w:type="dxa"/>
              <w:left w:w="100" w:type="dxa"/>
              <w:bottom w:w="100" w:type="dxa"/>
              <w:right w:w="100" w:type="dxa"/>
            </w:tcMar>
          </w:tcPr>
          <w:p w14:paraId="4EF453D1"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Week 8</w:t>
            </w:r>
          </w:p>
        </w:tc>
        <w:tc>
          <w:tcPr>
            <w:tcW w:w="795" w:type="dxa"/>
            <w:tcMar>
              <w:top w:w="100" w:type="dxa"/>
              <w:left w:w="100" w:type="dxa"/>
              <w:bottom w:w="100" w:type="dxa"/>
              <w:right w:w="100" w:type="dxa"/>
            </w:tcMar>
          </w:tcPr>
          <w:p w14:paraId="0E406B7F"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End of Study</w:t>
            </w:r>
          </w:p>
        </w:tc>
      </w:tr>
      <w:tr w:rsidR="00907FAD" w:rsidRPr="000A1002" w14:paraId="51B7957D" w14:textId="77777777" w:rsidTr="00BA2175">
        <w:trPr>
          <w:trHeight w:val="340"/>
        </w:trPr>
        <w:tc>
          <w:tcPr>
            <w:tcW w:w="1305" w:type="dxa"/>
            <w:vMerge/>
            <w:tcMar>
              <w:top w:w="100" w:type="dxa"/>
              <w:left w:w="100" w:type="dxa"/>
              <w:bottom w:w="100" w:type="dxa"/>
              <w:right w:w="100" w:type="dxa"/>
            </w:tcMar>
            <w:vAlign w:val="center"/>
          </w:tcPr>
          <w:p w14:paraId="3E70BCAF"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b/>
                <w:sz w:val="24"/>
                <w:szCs w:val="24"/>
              </w:rPr>
            </w:pPr>
          </w:p>
        </w:tc>
        <w:tc>
          <w:tcPr>
            <w:tcW w:w="960" w:type="dxa"/>
            <w:tcMar>
              <w:top w:w="100" w:type="dxa"/>
              <w:left w:w="100" w:type="dxa"/>
              <w:bottom w:w="100" w:type="dxa"/>
              <w:right w:w="100" w:type="dxa"/>
            </w:tcMar>
          </w:tcPr>
          <w:p w14:paraId="06035C5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Up to Day</w:t>
            </w:r>
          </w:p>
          <w:p w14:paraId="49FA5C7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 xml:space="preserve"> -14</w:t>
            </w:r>
          </w:p>
        </w:tc>
        <w:tc>
          <w:tcPr>
            <w:tcW w:w="900" w:type="dxa"/>
            <w:tcMar>
              <w:top w:w="100" w:type="dxa"/>
              <w:left w:w="100" w:type="dxa"/>
              <w:bottom w:w="100" w:type="dxa"/>
              <w:right w:w="100" w:type="dxa"/>
            </w:tcMar>
          </w:tcPr>
          <w:p w14:paraId="24BAC396"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Up to Day 0</w:t>
            </w:r>
          </w:p>
        </w:tc>
        <w:tc>
          <w:tcPr>
            <w:tcW w:w="735" w:type="dxa"/>
            <w:tcMar>
              <w:top w:w="100" w:type="dxa"/>
              <w:left w:w="100" w:type="dxa"/>
              <w:bottom w:w="100" w:type="dxa"/>
              <w:right w:w="100" w:type="dxa"/>
            </w:tcMar>
          </w:tcPr>
          <w:p w14:paraId="2BEE105C"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1-14</w:t>
            </w:r>
          </w:p>
        </w:tc>
        <w:tc>
          <w:tcPr>
            <w:tcW w:w="570" w:type="dxa"/>
            <w:tcMar>
              <w:top w:w="100" w:type="dxa"/>
              <w:left w:w="100" w:type="dxa"/>
              <w:bottom w:w="100" w:type="dxa"/>
              <w:right w:w="100" w:type="dxa"/>
            </w:tcMar>
          </w:tcPr>
          <w:p w14:paraId="66F65C1B"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15–21</w:t>
            </w:r>
          </w:p>
        </w:tc>
        <w:tc>
          <w:tcPr>
            <w:tcW w:w="585" w:type="dxa"/>
            <w:tcMar>
              <w:top w:w="100" w:type="dxa"/>
              <w:left w:w="100" w:type="dxa"/>
              <w:bottom w:w="100" w:type="dxa"/>
              <w:right w:w="100" w:type="dxa"/>
            </w:tcMar>
          </w:tcPr>
          <w:p w14:paraId="14386AFA"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22-28</w:t>
            </w:r>
          </w:p>
        </w:tc>
        <w:tc>
          <w:tcPr>
            <w:tcW w:w="615" w:type="dxa"/>
            <w:tcMar>
              <w:top w:w="100" w:type="dxa"/>
              <w:left w:w="100" w:type="dxa"/>
              <w:bottom w:w="100" w:type="dxa"/>
              <w:right w:w="100" w:type="dxa"/>
            </w:tcMar>
          </w:tcPr>
          <w:p w14:paraId="536CB343"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29-35</w:t>
            </w:r>
          </w:p>
        </w:tc>
        <w:tc>
          <w:tcPr>
            <w:tcW w:w="615" w:type="dxa"/>
            <w:tcMar>
              <w:top w:w="100" w:type="dxa"/>
              <w:left w:w="100" w:type="dxa"/>
              <w:bottom w:w="100" w:type="dxa"/>
              <w:right w:w="100" w:type="dxa"/>
            </w:tcMar>
          </w:tcPr>
          <w:p w14:paraId="0C260542"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36-42</w:t>
            </w:r>
          </w:p>
        </w:tc>
        <w:tc>
          <w:tcPr>
            <w:tcW w:w="615" w:type="dxa"/>
            <w:tcMar>
              <w:top w:w="100" w:type="dxa"/>
              <w:left w:w="100" w:type="dxa"/>
              <w:bottom w:w="100" w:type="dxa"/>
              <w:right w:w="100" w:type="dxa"/>
            </w:tcMar>
          </w:tcPr>
          <w:p w14:paraId="29A46861"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43-49</w:t>
            </w:r>
          </w:p>
        </w:tc>
        <w:tc>
          <w:tcPr>
            <w:tcW w:w="585" w:type="dxa"/>
            <w:tcMar>
              <w:top w:w="100" w:type="dxa"/>
              <w:left w:w="100" w:type="dxa"/>
              <w:bottom w:w="100" w:type="dxa"/>
              <w:right w:w="100" w:type="dxa"/>
            </w:tcMar>
          </w:tcPr>
          <w:p w14:paraId="23451BF2" w14:textId="77777777" w:rsidR="00907FAD" w:rsidRPr="000A1002" w:rsidRDefault="00907FAD" w:rsidP="00BA2175">
            <w:pPr>
              <w:widowControl w:val="0"/>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50-56</w:t>
            </w:r>
          </w:p>
        </w:tc>
        <w:tc>
          <w:tcPr>
            <w:tcW w:w="585" w:type="dxa"/>
            <w:tcMar>
              <w:top w:w="100" w:type="dxa"/>
              <w:left w:w="100" w:type="dxa"/>
              <w:bottom w:w="100" w:type="dxa"/>
              <w:right w:w="100" w:type="dxa"/>
            </w:tcMar>
          </w:tcPr>
          <w:p w14:paraId="2D4DCA10"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Days 57-63</w:t>
            </w:r>
          </w:p>
        </w:tc>
        <w:tc>
          <w:tcPr>
            <w:tcW w:w="615" w:type="dxa"/>
            <w:tcMar>
              <w:top w:w="100" w:type="dxa"/>
              <w:left w:w="100" w:type="dxa"/>
              <w:bottom w:w="100" w:type="dxa"/>
              <w:right w:w="100" w:type="dxa"/>
            </w:tcMar>
          </w:tcPr>
          <w:p w14:paraId="1C4D95A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Day 64-70</w:t>
            </w:r>
          </w:p>
        </w:tc>
        <w:tc>
          <w:tcPr>
            <w:tcW w:w="795" w:type="dxa"/>
            <w:tcMar>
              <w:top w:w="100" w:type="dxa"/>
              <w:left w:w="100" w:type="dxa"/>
              <w:bottom w:w="100" w:type="dxa"/>
              <w:right w:w="100" w:type="dxa"/>
            </w:tcMar>
          </w:tcPr>
          <w:p w14:paraId="67736A0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b/>
                <w:sz w:val="14"/>
                <w:szCs w:val="14"/>
              </w:rPr>
            </w:pPr>
            <w:r w:rsidRPr="000A1002">
              <w:rPr>
                <w:rFonts w:ascii="Times New Roman" w:eastAsia="Times New Roman" w:hAnsi="Times New Roman" w:cs="Times New Roman"/>
                <w:b/>
                <w:sz w:val="14"/>
                <w:szCs w:val="14"/>
              </w:rPr>
              <w:t xml:space="preserve">Up to Day 77  </w:t>
            </w:r>
          </w:p>
        </w:tc>
      </w:tr>
      <w:tr w:rsidR="00907FAD" w:rsidRPr="000A1002" w14:paraId="3DB404C2" w14:textId="77777777" w:rsidTr="00BA2175">
        <w:tc>
          <w:tcPr>
            <w:tcW w:w="1305" w:type="dxa"/>
            <w:tcMar>
              <w:top w:w="100" w:type="dxa"/>
              <w:left w:w="100" w:type="dxa"/>
              <w:bottom w:w="100" w:type="dxa"/>
              <w:right w:w="100" w:type="dxa"/>
            </w:tcMar>
          </w:tcPr>
          <w:p w14:paraId="0AEEBB6C"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Informed Consent</w:t>
            </w:r>
          </w:p>
        </w:tc>
        <w:tc>
          <w:tcPr>
            <w:tcW w:w="960" w:type="dxa"/>
            <w:tcMar>
              <w:top w:w="100" w:type="dxa"/>
              <w:left w:w="100" w:type="dxa"/>
              <w:bottom w:w="100" w:type="dxa"/>
              <w:right w:w="100" w:type="dxa"/>
            </w:tcMar>
          </w:tcPr>
          <w:p w14:paraId="0398DE0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900" w:type="dxa"/>
            <w:tcMar>
              <w:top w:w="100" w:type="dxa"/>
              <w:left w:w="100" w:type="dxa"/>
              <w:bottom w:w="100" w:type="dxa"/>
              <w:right w:w="100" w:type="dxa"/>
            </w:tcMar>
          </w:tcPr>
          <w:p w14:paraId="1A896F95"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258A68D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49E4E56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6D41B6C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0D0E9F2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04FC7C8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5411277"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0C6E428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7CFA68E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2D97C43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324FE29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08EE8594" w14:textId="77777777" w:rsidTr="00BA2175">
        <w:tc>
          <w:tcPr>
            <w:tcW w:w="1305" w:type="dxa"/>
            <w:tcMar>
              <w:top w:w="100" w:type="dxa"/>
              <w:left w:w="100" w:type="dxa"/>
              <w:bottom w:w="100" w:type="dxa"/>
              <w:right w:w="100" w:type="dxa"/>
            </w:tcMar>
          </w:tcPr>
          <w:p w14:paraId="3E275AC5"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Demographics</w:t>
            </w:r>
          </w:p>
        </w:tc>
        <w:tc>
          <w:tcPr>
            <w:tcW w:w="960" w:type="dxa"/>
            <w:tcMar>
              <w:top w:w="100" w:type="dxa"/>
              <w:left w:w="100" w:type="dxa"/>
              <w:bottom w:w="100" w:type="dxa"/>
              <w:right w:w="100" w:type="dxa"/>
            </w:tcMar>
          </w:tcPr>
          <w:p w14:paraId="06D21EA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900" w:type="dxa"/>
            <w:tcMar>
              <w:top w:w="100" w:type="dxa"/>
              <w:left w:w="100" w:type="dxa"/>
              <w:bottom w:w="100" w:type="dxa"/>
              <w:right w:w="100" w:type="dxa"/>
            </w:tcMar>
          </w:tcPr>
          <w:p w14:paraId="45EF5D90"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0AE5362E"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165C4686"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6D0A44E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3E02B4B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08DC16D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7E64223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6280C2E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00C344E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5E3667D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6839B556"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47C12DFF" w14:textId="77777777" w:rsidTr="00BA2175">
        <w:tc>
          <w:tcPr>
            <w:tcW w:w="1305" w:type="dxa"/>
            <w:tcMar>
              <w:top w:w="100" w:type="dxa"/>
              <w:left w:w="100" w:type="dxa"/>
              <w:bottom w:w="100" w:type="dxa"/>
              <w:right w:w="100" w:type="dxa"/>
            </w:tcMar>
          </w:tcPr>
          <w:p w14:paraId="4187305E"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Medical History</w:t>
            </w:r>
          </w:p>
        </w:tc>
        <w:tc>
          <w:tcPr>
            <w:tcW w:w="960" w:type="dxa"/>
            <w:tcMar>
              <w:top w:w="100" w:type="dxa"/>
              <w:left w:w="100" w:type="dxa"/>
              <w:bottom w:w="100" w:type="dxa"/>
              <w:right w:w="100" w:type="dxa"/>
            </w:tcMar>
          </w:tcPr>
          <w:p w14:paraId="7A57696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900" w:type="dxa"/>
            <w:tcMar>
              <w:top w:w="100" w:type="dxa"/>
              <w:left w:w="100" w:type="dxa"/>
              <w:bottom w:w="100" w:type="dxa"/>
              <w:right w:w="100" w:type="dxa"/>
            </w:tcMar>
          </w:tcPr>
          <w:p w14:paraId="06746E4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3BB7D1BE"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15F63D1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229277B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8088C70"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2B008B6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4EF13C7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17A9B51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64940F1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1F149F6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75332FE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3EE885DB" w14:textId="77777777" w:rsidTr="00BA2175">
        <w:tc>
          <w:tcPr>
            <w:tcW w:w="1305" w:type="dxa"/>
            <w:tcMar>
              <w:top w:w="100" w:type="dxa"/>
              <w:left w:w="100" w:type="dxa"/>
              <w:bottom w:w="100" w:type="dxa"/>
              <w:right w:w="100" w:type="dxa"/>
            </w:tcMar>
          </w:tcPr>
          <w:p w14:paraId="590E6654"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BMI</w:t>
            </w:r>
            <w:r w:rsidRPr="000A1002">
              <w:rPr>
                <w:rFonts w:ascii="Times New Roman" w:eastAsia="Times New Roman" w:hAnsi="Times New Roman" w:cs="Times New Roman"/>
                <w:sz w:val="18"/>
                <w:szCs w:val="18"/>
                <w:vertAlign w:val="superscript"/>
              </w:rPr>
              <w:t>(c</w:t>
            </w:r>
            <w:r w:rsidRPr="000A1002">
              <w:rPr>
                <w:rFonts w:ascii="Times New Roman" w:eastAsia="Times New Roman" w:hAnsi="Times New Roman" w:cs="Times New Roman"/>
                <w:b/>
                <w:sz w:val="18"/>
                <w:szCs w:val="18"/>
                <w:vertAlign w:val="superscript"/>
              </w:rPr>
              <w:t xml:space="preserve">) </w:t>
            </w:r>
          </w:p>
        </w:tc>
        <w:tc>
          <w:tcPr>
            <w:tcW w:w="960" w:type="dxa"/>
            <w:tcMar>
              <w:top w:w="100" w:type="dxa"/>
              <w:left w:w="100" w:type="dxa"/>
              <w:bottom w:w="100" w:type="dxa"/>
              <w:right w:w="100" w:type="dxa"/>
            </w:tcMar>
          </w:tcPr>
          <w:p w14:paraId="1878846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900" w:type="dxa"/>
            <w:tcMar>
              <w:top w:w="100" w:type="dxa"/>
              <w:left w:w="100" w:type="dxa"/>
              <w:bottom w:w="100" w:type="dxa"/>
              <w:right w:w="100" w:type="dxa"/>
            </w:tcMar>
          </w:tcPr>
          <w:p w14:paraId="627D104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72E57277"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67652BC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2F4E38F5"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6EBCE8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7F5F858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0E92A6D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2B1790C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421AC44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17E83C9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43696F8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5DB9D287" w14:textId="77777777" w:rsidTr="00BA2175">
        <w:tc>
          <w:tcPr>
            <w:tcW w:w="1305" w:type="dxa"/>
            <w:tcMar>
              <w:top w:w="100" w:type="dxa"/>
              <w:left w:w="100" w:type="dxa"/>
              <w:bottom w:w="100" w:type="dxa"/>
              <w:right w:w="100" w:type="dxa"/>
            </w:tcMar>
          </w:tcPr>
          <w:p w14:paraId="7963E70A"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Food Frequency Questionnaire</w:t>
            </w:r>
            <w:r w:rsidRPr="000A1002">
              <w:rPr>
                <w:rFonts w:ascii="Times New Roman" w:eastAsia="Times New Roman" w:hAnsi="Times New Roman" w:cs="Times New Roman"/>
                <w:sz w:val="18"/>
                <w:szCs w:val="18"/>
                <w:vertAlign w:val="superscript"/>
              </w:rPr>
              <w:t>(d</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08A36B97"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900" w:type="dxa"/>
            <w:tcMar>
              <w:top w:w="100" w:type="dxa"/>
              <w:left w:w="100" w:type="dxa"/>
              <w:bottom w:w="100" w:type="dxa"/>
              <w:right w:w="100" w:type="dxa"/>
            </w:tcMar>
          </w:tcPr>
          <w:p w14:paraId="0063243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76706FAC"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52790DB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090F69C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2F59409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0E0FF07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1489F37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0B4E8A2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5F15E2A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5A562F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14D22A9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1CFD9B39" w14:textId="77777777" w:rsidTr="00BA2175">
        <w:tc>
          <w:tcPr>
            <w:tcW w:w="1305" w:type="dxa"/>
            <w:tcMar>
              <w:top w:w="100" w:type="dxa"/>
              <w:left w:w="100" w:type="dxa"/>
              <w:bottom w:w="100" w:type="dxa"/>
              <w:right w:w="100" w:type="dxa"/>
            </w:tcMar>
          </w:tcPr>
          <w:p w14:paraId="3CCE6ACC"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Eligibility Confirmation</w:t>
            </w:r>
          </w:p>
        </w:tc>
        <w:tc>
          <w:tcPr>
            <w:tcW w:w="960" w:type="dxa"/>
            <w:tcMar>
              <w:top w:w="100" w:type="dxa"/>
              <w:left w:w="100" w:type="dxa"/>
              <w:bottom w:w="100" w:type="dxa"/>
              <w:right w:w="100" w:type="dxa"/>
            </w:tcMar>
          </w:tcPr>
          <w:p w14:paraId="55E3E136"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900" w:type="dxa"/>
            <w:tcMar>
              <w:top w:w="100" w:type="dxa"/>
              <w:left w:w="100" w:type="dxa"/>
              <w:bottom w:w="100" w:type="dxa"/>
              <w:right w:w="100" w:type="dxa"/>
            </w:tcMar>
          </w:tcPr>
          <w:p w14:paraId="2243AAF0"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19017642"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682276E0"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0D37525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1E5F44E0"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47E21AB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4827DA6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3BF2D89E"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6E6D038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72C7175"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2F09909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7EC20133" w14:textId="77777777" w:rsidTr="00BA2175">
        <w:tc>
          <w:tcPr>
            <w:tcW w:w="1305" w:type="dxa"/>
            <w:tcMar>
              <w:top w:w="100" w:type="dxa"/>
              <w:left w:w="100" w:type="dxa"/>
              <w:bottom w:w="100" w:type="dxa"/>
              <w:right w:w="100" w:type="dxa"/>
            </w:tcMar>
          </w:tcPr>
          <w:p w14:paraId="4838986C"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Randomization</w:t>
            </w:r>
            <w:r w:rsidRPr="000A1002">
              <w:rPr>
                <w:rFonts w:ascii="Times New Roman" w:eastAsia="Times New Roman" w:hAnsi="Times New Roman" w:cs="Times New Roman"/>
                <w:sz w:val="18"/>
                <w:szCs w:val="18"/>
                <w:vertAlign w:val="superscript"/>
              </w:rPr>
              <w:t>(e</w:t>
            </w:r>
            <w:r w:rsidRPr="000A1002">
              <w:rPr>
                <w:rFonts w:ascii="Times New Roman" w:eastAsia="Times New Roman" w:hAnsi="Times New Roman" w:cs="Times New Roman"/>
                <w:b/>
                <w:sz w:val="18"/>
                <w:szCs w:val="18"/>
                <w:vertAlign w:val="superscript"/>
              </w:rPr>
              <w:t xml:space="preserve">) </w:t>
            </w:r>
          </w:p>
        </w:tc>
        <w:tc>
          <w:tcPr>
            <w:tcW w:w="960" w:type="dxa"/>
            <w:tcMar>
              <w:top w:w="100" w:type="dxa"/>
              <w:left w:w="100" w:type="dxa"/>
              <w:bottom w:w="100" w:type="dxa"/>
              <w:right w:w="100" w:type="dxa"/>
            </w:tcMar>
          </w:tcPr>
          <w:p w14:paraId="3E3C425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28CA256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735" w:type="dxa"/>
            <w:tcMar>
              <w:top w:w="100" w:type="dxa"/>
              <w:left w:w="100" w:type="dxa"/>
              <w:bottom w:w="100" w:type="dxa"/>
              <w:right w:w="100" w:type="dxa"/>
            </w:tcMar>
          </w:tcPr>
          <w:p w14:paraId="6E08B3EE"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5EEBAC6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1242618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17A578E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421AFF9E"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20CD2CD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7A3ED34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573D39F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2E4ADE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79EFC76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0D527309" w14:textId="77777777" w:rsidTr="00BA2175">
        <w:tc>
          <w:tcPr>
            <w:tcW w:w="1305" w:type="dxa"/>
            <w:tcMar>
              <w:top w:w="100" w:type="dxa"/>
              <w:left w:w="100" w:type="dxa"/>
              <w:bottom w:w="100" w:type="dxa"/>
              <w:right w:w="100" w:type="dxa"/>
            </w:tcMar>
          </w:tcPr>
          <w:p w14:paraId="73B4FDAE" w14:textId="77777777" w:rsidR="00907FAD" w:rsidRPr="000A1002" w:rsidRDefault="00907FAD" w:rsidP="00BA2175">
            <w:pPr>
              <w:widowControl w:val="0"/>
              <w:spacing w:before="0"/>
              <w:ind w:left="146"/>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Receipt of Product &amp; Supplies Shipment</w:t>
            </w:r>
          </w:p>
        </w:tc>
        <w:tc>
          <w:tcPr>
            <w:tcW w:w="960" w:type="dxa"/>
            <w:tcMar>
              <w:top w:w="100" w:type="dxa"/>
              <w:left w:w="100" w:type="dxa"/>
              <w:bottom w:w="100" w:type="dxa"/>
              <w:right w:w="100" w:type="dxa"/>
            </w:tcMar>
          </w:tcPr>
          <w:p w14:paraId="0174FBA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7FE7818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735" w:type="dxa"/>
            <w:tcMar>
              <w:top w:w="100" w:type="dxa"/>
              <w:left w:w="100" w:type="dxa"/>
              <w:bottom w:w="100" w:type="dxa"/>
              <w:right w:w="100" w:type="dxa"/>
            </w:tcMar>
          </w:tcPr>
          <w:p w14:paraId="6F61BB10"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13524D1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576399E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2314487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5C2D391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4DF3760D"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1004BCF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20D3482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484890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4B8A224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4E562AE1" w14:textId="77777777" w:rsidTr="00BA2175">
        <w:trPr>
          <w:trHeight w:val="397"/>
        </w:trPr>
        <w:tc>
          <w:tcPr>
            <w:tcW w:w="1305" w:type="dxa"/>
            <w:tcMar>
              <w:top w:w="100" w:type="dxa"/>
              <w:left w:w="100" w:type="dxa"/>
              <w:bottom w:w="100" w:type="dxa"/>
              <w:right w:w="100" w:type="dxa"/>
            </w:tcMar>
          </w:tcPr>
          <w:p w14:paraId="2F13E74E" w14:textId="77777777" w:rsidR="00907FAD" w:rsidRPr="000A1002" w:rsidRDefault="00907FAD" w:rsidP="00BA2175">
            <w:pPr>
              <w:widowControl w:val="0"/>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Blood Tests</w:t>
            </w:r>
            <w:r w:rsidRPr="000A1002">
              <w:rPr>
                <w:rFonts w:ascii="Times New Roman" w:eastAsia="Times New Roman" w:hAnsi="Times New Roman" w:cs="Times New Roman"/>
                <w:sz w:val="18"/>
                <w:szCs w:val="18"/>
                <w:vertAlign w:val="superscript"/>
              </w:rPr>
              <w:t>(f</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299D564E"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1404C64E"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16385B41"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c>
          <w:tcPr>
            <w:tcW w:w="570" w:type="dxa"/>
            <w:tcMar>
              <w:top w:w="100" w:type="dxa"/>
              <w:left w:w="100" w:type="dxa"/>
              <w:bottom w:w="100" w:type="dxa"/>
              <w:right w:w="100" w:type="dxa"/>
            </w:tcMar>
          </w:tcPr>
          <w:p w14:paraId="0B1199F1"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3D4B7769"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 xml:space="preserve">     </w:t>
            </w:r>
          </w:p>
        </w:tc>
        <w:tc>
          <w:tcPr>
            <w:tcW w:w="615" w:type="dxa"/>
            <w:tcMar>
              <w:top w:w="100" w:type="dxa"/>
              <w:left w:w="100" w:type="dxa"/>
              <w:bottom w:w="100" w:type="dxa"/>
              <w:right w:w="100" w:type="dxa"/>
            </w:tcMar>
          </w:tcPr>
          <w:p w14:paraId="1330CE37"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5263CA01"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594960C7"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6F129904"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37852FC8"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1410" w:type="dxa"/>
            <w:gridSpan w:val="2"/>
            <w:tcMar>
              <w:top w:w="100" w:type="dxa"/>
              <w:left w:w="100" w:type="dxa"/>
              <w:bottom w:w="100" w:type="dxa"/>
              <w:right w:w="100" w:type="dxa"/>
            </w:tcMar>
          </w:tcPr>
          <w:p w14:paraId="0B86D2EB"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r>
      <w:tr w:rsidR="00907FAD" w:rsidRPr="000A1002" w14:paraId="4C23ACE5" w14:textId="77777777" w:rsidTr="00BA2175">
        <w:trPr>
          <w:trHeight w:val="373"/>
        </w:trPr>
        <w:tc>
          <w:tcPr>
            <w:tcW w:w="1305" w:type="dxa"/>
            <w:tcMar>
              <w:top w:w="100" w:type="dxa"/>
              <w:left w:w="100" w:type="dxa"/>
              <w:bottom w:w="100" w:type="dxa"/>
              <w:right w:w="100" w:type="dxa"/>
            </w:tcMar>
          </w:tcPr>
          <w:p w14:paraId="5AB7EBB4"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CFQ</w:t>
            </w:r>
            <w:r w:rsidRPr="000A1002">
              <w:rPr>
                <w:rFonts w:ascii="Times New Roman" w:eastAsia="Times New Roman" w:hAnsi="Times New Roman" w:cs="Times New Roman"/>
                <w:sz w:val="18"/>
                <w:szCs w:val="18"/>
                <w:vertAlign w:val="superscript"/>
              </w:rPr>
              <w:t>(g</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5CDA3CCB"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3B5B20DF"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520" w:type="dxa"/>
            <w:gridSpan w:val="9"/>
            <w:shd w:val="clear" w:color="auto" w:fill="EFEFEF"/>
            <w:tcMar>
              <w:top w:w="100" w:type="dxa"/>
              <w:left w:w="100" w:type="dxa"/>
              <w:bottom w:w="100" w:type="dxa"/>
              <w:right w:w="100" w:type="dxa"/>
            </w:tcMar>
          </w:tcPr>
          <w:p w14:paraId="3208DEC8"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WEEKLY</w:t>
            </w:r>
          </w:p>
        </w:tc>
        <w:tc>
          <w:tcPr>
            <w:tcW w:w="795" w:type="dxa"/>
            <w:tcMar>
              <w:top w:w="100" w:type="dxa"/>
              <w:left w:w="100" w:type="dxa"/>
              <w:bottom w:w="100" w:type="dxa"/>
              <w:right w:w="100" w:type="dxa"/>
            </w:tcMar>
          </w:tcPr>
          <w:p w14:paraId="19577B58"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11F620D2" w14:textId="77777777" w:rsidTr="00BA2175">
        <w:trPr>
          <w:trHeight w:val="535"/>
        </w:trPr>
        <w:tc>
          <w:tcPr>
            <w:tcW w:w="1305" w:type="dxa"/>
            <w:tcMar>
              <w:top w:w="100" w:type="dxa"/>
              <w:left w:w="100" w:type="dxa"/>
              <w:bottom w:w="100" w:type="dxa"/>
              <w:right w:w="100" w:type="dxa"/>
            </w:tcMar>
          </w:tcPr>
          <w:p w14:paraId="0FACA370"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Weekly Questionnaire</w:t>
            </w:r>
            <w:r w:rsidRPr="000A1002">
              <w:rPr>
                <w:rFonts w:ascii="Times New Roman" w:eastAsia="Times New Roman" w:hAnsi="Times New Roman" w:cs="Times New Roman"/>
                <w:sz w:val="18"/>
                <w:szCs w:val="18"/>
                <w:vertAlign w:val="superscript"/>
              </w:rPr>
              <w:t>(h</w:t>
            </w:r>
            <w:r w:rsidRPr="000A1002">
              <w:rPr>
                <w:rFonts w:ascii="Times New Roman" w:eastAsia="Times New Roman" w:hAnsi="Times New Roman" w:cs="Times New Roman"/>
                <w:b/>
                <w:sz w:val="18"/>
                <w:szCs w:val="18"/>
                <w:vertAlign w:val="superscript"/>
              </w:rPr>
              <w:t xml:space="preserve">) </w:t>
            </w:r>
          </w:p>
        </w:tc>
        <w:tc>
          <w:tcPr>
            <w:tcW w:w="960" w:type="dxa"/>
            <w:tcMar>
              <w:top w:w="100" w:type="dxa"/>
              <w:left w:w="100" w:type="dxa"/>
              <w:bottom w:w="100" w:type="dxa"/>
              <w:right w:w="100" w:type="dxa"/>
            </w:tcMar>
          </w:tcPr>
          <w:p w14:paraId="6D06B5C9"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3578BF67"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520" w:type="dxa"/>
            <w:gridSpan w:val="9"/>
            <w:shd w:val="clear" w:color="auto" w:fill="EFEFEF"/>
            <w:tcMar>
              <w:top w:w="100" w:type="dxa"/>
              <w:left w:w="100" w:type="dxa"/>
              <w:bottom w:w="100" w:type="dxa"/>
              <w:right w:w="100" w:type="dxa"/>
            </w:tcMar>
          </w:tcPr>
          <w:p w14:paraId="7453B518"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p w14:paraId="4A576263"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WEEKLY</w:t>
            </w:r>
          </w:p>
        </w:tc>
        <w:tc>
          <w:tcPr>
            <w:tcW w:w="795" w:type="dxa"/>
            <w:tcMar>
              <w:top w:w="100" w:type="dxa"/>
              <w:left w:w="100" w:type="dxa"/>
              <w:bottom w:w="100" w:type="dxa"/>
              <w:right w:w="100" w:type="dxa"/>
            </w:tcMar>
          </w:tcPr>
          <w:p w14:paraId="156655CC"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7AE6E100" w14:textId="77777777" w:rsidTr="00BA2175">
        <w:trPr>
          <w:trHeight w:val="373"/>
        </w:trPr>
        <w:tc>
          <w:tcPr>
            <w:tcW w:w="1305" w:type="dxa"/>
            <w:tcMar>
              <w:top w:w="100" w:type="dxa"/>
              <w:left w:w="100" w:type="dxa"/>
              <w:bottom w:w="100" w:type="dxa"/>
              <w:right w:w="100" w:type="dxa"/>
            </w:tcMar>
          </w:tcPr>
          <w:p w14:paraId="2A55C420"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TFEQ-18</w:t>
            </w:r>
            <w:r w:rsidRPr="000A1002">
              <w:rPr>
                <w:rFonts w:ascii="Times New Roman" w:eastAsia="Times New Roman" w:hAnsi="Times New Roman" w:cs="Times New Roman"/>
                <w:sz w:val="18"/>
                <w:szCs w:val="18"/>
                <w:vertAlign w:val="superscript"/>
              </w:rPr>
              <w:t>(i</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3751BD11"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55CF0CEA"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5520" w:type="dxa"/>
            <w:gridSpan w:val="9"/>
            <w:shd w:val="clear" w:color="auto" w:fill="EFEFEF"/>
            <w:tcMar>
              <w:top w:w="100" w:type="dxa"/>
              <w:left w:w="100" w:type="dxa"/>
              <w:bottom w:w="100" w:type="dxa"/>
              <w:right w:w="100" w:type="dxa"/>
            </w:tcMar>
          </w:tcPr>
          <w:p w14:paraId="032F61C0"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WEEKLY</w:t>
            </w:r>
          </w:p>
        </w:tc>
        <w:tc>
          <w:tcPr>
            <w:tcW w:w="795" w:type="dxa"/>
            <w:tcMar>
              <w:top w:w="100" w:type="dxa"/>
              <w:left w:w="100" w:type="dxa"/>
              <w:bottom w:w="100" w:type="dxa"/>
              <w:right w:w="100" w:type="dxa"/>
            </w:tcMar>
          </w:tcPr>
          <w:p w14:paraId="4BC5B613"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45289755" w14:textId="77777777" w:rsidTr="00BA2175">
        <w:trPr>
          <w:trHeight w:val="535"/>
        </w:trPr>
        <w:tc>
          <w:tcPr>
            <w:tcW w:w="1305" w:type="dxa"/>
            <w:tcMar>
              <w:top w:w="100" w:type="dxa"/>
              <w:left w:w="100" w:type="dxa"/>
              <w:bottom w:w="100" w:type="dxa"/>
              <w:right w:w="100" w:type="dxa"/>
            </w:tcMar>
          </w:tcPr>
          <w:p w14:paraId="0652B5A3" w14:textId="77777777" w:rsidR="00907FAD" w:rsidRPr="000A1002" w:rsidRDefault="00907FAD" w:rsidP="00BA2175">
            <w:pPr>
              <w:widowControl w:val="0"/>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Hunger, Satiety and Cravings Scale</w:t>
            </w:r>
            <w:r w:rsidRPr="000A1002">
              <w:rPr>
                <w:rFonts w:ascii="Times New Roman" w:eastAsia="Times New Roman" w:hAnsi="Times New Roman" w:cs="Times New Roman"/>
                <w:sz w:val="18"/>
                <w:szCs w:val="18"/>
                <w:vertAlign w:val="superscript"/>
              </w:rPr>
              <w:t>(j</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2E0EF2C7"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0E84777D"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5520" w:type="dxa"/>
            <w:gridSpan w:val="9"/>
            <w:shd w:val="clear" w:color="auto" w:fill="EFEFEF"/>
            <w:tcMar>
              <w:top w:w="100" w:type="dxa"/>
              <w:left w:w="100" w:type="dxa"/>
              <w:bottom w:w="100" w:type="dxa"/>
              <w:right w:w="100" w:type="dxa"/>
            </w:tcMar>
          </w:tcPr>
          <w:p w14:paraId="0AE8BCEC"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DAILY</w:t>
            </w:r>
          </w:p>
        </w:tc>
        <w:tc>
          <w:tcPr>
            <w:tcW w:w="795" w:type="dxa"/>
            <w:tcMar>
              <w:top w:w="100" w:type="dxa"/>
              <w:left w:w="100" w:type="dxa"/>
              <w:bottom w:w="100" w:type="dxa"/>
              <w:right w:w="100" w:type="dxa"/>
            </w:tcMar>
          </w:tcPr>
          <w:p w14:paraId="1DA45A4A"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r>
      <w:tr w:rsidR="00907FAD" w:rsidRPr="000A1002" w14:paraId="380DC181" w14:textId="77777777" w:rsidTr="00BA2175">
        <w:trPr>
          <w:trHeight w:val="385"/>
        </w:trPr>
        <w:tc>
          <w:tcPr>
            <w:tcW w:w="1305" w:type="dxa"/>
            <w:tcMar>
              <w:top w:w="100" w:type="dxa"/>
              <w:left w:w="100" w:type="dxa"/>
              <w:bottom w:w="100" w:type="dxa"/>
              <w:right w:w="100" w:type="dxa"/>
            </w:tcMar>
          </w:tcPr>
          <w:p w14:paraId="41427889" w14:textId="77777777" w:rsidR="00907FAD" w:rsidRPr="000A1002" w:rsidRDefault="00907FAD" w:rsidP="00BA2175">
            <w:pPr>
              <w:widowControl w:val="0"/>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lastRenderedPageBreak/>
              <w:t xml:space="preserve">Study Product/ </w:t>
            </w:r>
          </w:p>
          <w:p w14:paraId="2E1705C0"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Placebo Use</w:t>
            </w:r>
            <w:r w:rsidRPr="000A1002">
              <w:rPr>
                <w:rFonts w:ascii="Times New Roman" w:eastAsia="Times New Roman" w:hAnsi="Times New Roman" w:cs="Times New Roman"/>
                <w:sz w:val="18"/>
                <w:szCs w:val="18"/>
                <w:vertAlign w:val="superscript"/>
              </w:rPr>
              <w:t xml:space="preserve"> (k</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44445265"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0C19B6A6"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5180BC7F"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4785" w:type="dxa"/>
            <w:gridSpan w:val="8"/>
            <w:shd w:val="clear" w:color="auto" w:fill="EFEFEF"/>
            <w:tcMar>
              <w:top w:w="100" w:type="dxa"/>
              <w:left w:w="100" w:type="dxa"/>
              <w:bottom w:w="100" w:type="dxa"/>
              <w:right w:w="100" w:type="dxa"/>
            </w:tcMar>
          </w:tcPr>
          <w:p w14:paraId="52CC24D5"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DAILY</w:t>
            </w:r>
          </w:p>
        </w:tc>
        <w:tc>
          <w:tcPr>
            <w:tcW w:w="795" w:type="dxa"/>
            <w:tcMar>
              <w:top w:w="100" w:type="dxa"/>
              <w:left w:w="100" w:type="dxa"/>
              <w:bottom w:w="100" w:type="dxa"/>
              <w:right w:w="100" w:type="dxa"/>
            </w:tcMar>
          </w:tcPr>
          <w:p w14:paraId="7CADF144"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4F34B439" w14:textId="77777777" w:rsidTr="00BA2175">
        <w:trPr>
          <w:trHeight w:val="340"/>
        </w:trPr>
        <w:tc>
          <w:tcPr>
            <w:tcW w:w="1305" w:type="dxa"/>
            <w:tcMar>
              <w:top w:w="100" w:type="dxa"/>
              <w:left w:w="100" w:type="dxa"/>
              <w:bottom w:w="100" w:type="dxa"/>
              <w:right w:w="100" w:type="dxa"/>
            </w:tcMar>
          </w:tcPr>
          <w:p w14:paraId="02C538D3"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Adverse Event Survey</w:t>
            </w:r>
            <w:r w:rsidRPr="000A1002">
              <w:rPr>
                <w:rFonts w:ascii="Times New Roman" w:eastAsia="Times New Roman" w:hAnsi="Times New Roman" w:cs="Times New Roman"/>
                <w:sz w:val="18"/>
                <w:szCs w:val="18"/>
                <w:vertAlign w:val="superscript"/>
              </w:rPr>
              <w:t>(l</w:t>
            </w:r>
            <w:r w:rsidRPr="000A1002">
              <w:rPr>
                <w:rFonts w:ascii="Times New Roman" w:eastAsia="Times New Roman" w:hAnsi="Times New Roman" w:cs="Times New Roman"/>
                <w:b/>
                <w:sz w:val="18"/>
                <w:szCs w:val="18"/>
                <w:vertAlign w:val="superscript"/>
              </w:rPr>
              <w:t>)</w:t>
            </w:r>
          </w:p>
        </w:tc>
        <w:tc>
          <w:tcPr>
            <w:tcW w:w="960" w:type="dxa"/>
            <w:tcMar>
              <w:top w:w="100" w:type="dxa"/>
              <w:left w:w="100" w:type="dxa"/>
              <w:bottom w:w="100" w:type="dxa"/>
              <w:right w:w="100" w:type="dxa"/>
            </w:tcMar>
          </w:tcPr>
          <w:p w14:paraId="6321AAA7"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1D9CA4C2"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1D697A06"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p>
        </w:tc>
        <w:tc>
          <w:tcPr>
            <w:tcW w:w="4785" w:type="dxa"/>
            <w:gridSpan w:val="8"/>
            <w:shd w:val="clear" w:color="auto" w:fill="EFEFEF"/>
            <w:tcMar>
              <w:top w:w="100" w:type="dxa"/>
              <w:left w:w="100" w:type="dxa"/>
              <w:bottom w:w="100" w:type="dxa"/>
              <w:right w:w="100" w:type="dxa"/>
            </w:tcMar>
          </w:tcPr>
          <w:p w14:paraId="727AFFF5" w14:textId="77777777" w:rsidR="00907FAD" w:rsidRPr="000A1002" w:rsidRDefault="00907FAD" w:rsidP="00BA2175">
            <w:pPr>
              <w:widowControl w:val="0"/>
              <w:spacing w:before="0"/>
              <w:jc w:val="center"/>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WEEKLY</w:t>
            </w:r>
          </w:p>
        </w:tc>
        <w:tc>
          <w:tcPr>
            <w:tcW w:w="795" w:type="dxa"/>
            <w:tcMar>
              <w:top w:w="100" w:type="dxa"/>
              <w:left w:w="100" w:type="dxa"/>
              <w:bottom w:w="100" w:type="dxa"/>
              <w:right w:w="100" w:type="dxa"/>
            </w:tcMar>
          </w:tcPr>
          <w:p w14:paraId="73BA5AA7" w14:textId="77777777" w:rsidR="00907FAD" w:rsidRPr="000A1002" w:rsidRDefault="00907FAD" w:rsidP="00BA2175">
            <w:pPr>
              <w:widowControl w:val="0"/>
              <w:pBdr>
                <w:top w:val="nil"/>
                <w:left w:val="nil"/>
                <w:bottom w:val="nil"/>
                <w:right w:val="nil"/>
                <w:between w:val="nil"/>
              </w:pBdr>
              <w:spacing w:before="0"/>
              <w:jc w:val="center"/>
              <w:rPr>
                <w:rFonts w:ascii="Times New Roman" w:eastAsia="Times New Roman" w:hAnsi="Times New Roman" w:cs="Times New Roman"/>
                <w:sz w:val="18"/>
                <w:szCs w:val="18"/>
              </w:rPr>
            </w:pPr>
          </w:p>
        </w:tc>
      </w:tr>
      <w:tr w:rsidR="00907FAD" w:rsidRPr="000A1002" w14:paraId="5B15AA57" w14:textId="77777777" w:rsidTr="00BA2175">
        <w:tc>
          <w:tcPr>
            <w:tcW w:w="1305" w:type="dxa"/>
            <w:tcMar>
              <w:top w:w="100" w:type="dxa"/>
              <w:left w:w="100" w:type="dxa"/>
              <w:bottom w:w="100" w:type="dxa"/>
              <w:right w:w="100" w:type="dxa"/>
            </w:tcMar>
          </w:tcPr>
          <w:p w14:paraId="33F2DCC7" w14:textId="77777777" w:rsidR="00907FAD" w:rsidRPr="000A1002" w:rsidRDefault="00907FAD" w:rsidP="00BA2175">
            <w:pPr>
              <w:widowControl w:val="0"/>
              <w:pBdr>
                <w:top w:val="nil"/>
                <w:left w:val="nil"/>
                <w:bottom w:val="nil"/>
                <w:right w:val="nil"/>
                <w:between w:val="nil"/>
              </w:pBdr>
              <w:spacing w:before="0"/>
              <w:jc w:val="left"/>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Experience Survey</w:t>
            </w:r>
          </w:p>
        </w:tc>
        <w:tc>
          <w:tcPr>
            <w:tcW w:w="960" w:type="dxa"/>
            <w:tcMar>
              <w:top w:w="100" w:type="dxa"/>
              <w:left w:w="100" w:type="dxa"/>
              <w:bottom w:w="100" w:type="dxa"/>
              <w:right w:w="100" w:type="dxa"/>
            </w:tcMar>
          </w:tcPr>
          <w:p w14:paraId="070C919E"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900" w:type="dxa"/>
            <w:tcMar>
              <w:top w:w="100" w:type="dxa"/>
              <w:left w:w="100" w:type="dxa"/>
              <w:bottom w:w="100" w:type="dxa"/>
              <w:right w:w="100" w:type="dxa"/>
            </w:tcMar>
          </w:tcPr>
          <w:p w14:paraId="083B0D47"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735" w:type="dxa"/>
            <w:tcMar>
              <w:top w:w="100" w:type="dxa"/>
              <w:left w:w="100" w:type="dxa"/>
              <w:bottom w:w="100" w:type="dxa"/>
              <w:right w:w="100" w:type="dxa"/>
            </w:tcMar>
          </w:tcPr>
          <w:p w14:paraId="5C791D14"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570" w:type="dxa"/>
            <w:tcMar>
              <w:top w:w="100" w:type="dxa"/>
              <w:left w:w="100" w:type="dxa"/>
              <w:bottom w:w="100" w:type="dxa"/>
              <w:right w:w="100" w:type="dxa"/>
            </w:tcMar>
          </w:tcPr>
          <w:p w14:paraId="2D5D82A0"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7768FF5A"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121907A0"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65463633"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519A41C1"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25D9734A"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585" w:type="dxa"/>
            <w:tcMar>
              <w:top w:w="100" w:type="dxa"/>
              <w:left w:w="100" w:type="dxa"/>
              <w:bottom w:w="100" w:type="dxa"/>
              <w:right w:w="100" w:type="dxa"/>
            </w:tcMar>
          </w:tcPr>
          <w:p w14:paraId="2228A01F"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615" w:type="dxa"/>
            <w:tcMar>
              <w:top w:w="100" w:type="dxa"/>
              <w:left w:w="100" w:type="dxa"/>
              <w:bottom w:w="100" w:type="dxa"/>
              <w:right w:w="100" w:type="dxa"/>
            </w:tcMar>
          </w:tcPr>
          <w:p w14:paraId="0B938E9F"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p>
        </w:tc>
        <w:tc>
          <w:tcPr>
            <w:tcW w:w="795" w:type="dxa"/>
            <w:tcMar>
              <w:top w:w="100" w:type="dxa"/>
              <w:left w:w="100" w:type="dxa"/>
              <w:bottom w:w="100" w:type="dxa"/>
              <w:right w:w="100" w:type="dxa"/>
            </w:tcMar>
          </w:tcPr>
          <w:p w14:paraId="36D31692" w14:textId="77777777" w:rsidR="00907FAD" w:rsidRPr="000A1002" w:rsidRDefault="00907FAD" w:rsidP="00BA2175">
            <w:pPr>
              <w:widowControl w:val="0"/>
              <w:pBdr>
                <w:top w:val="nil"/>
                <w:left w:val="nil"/>
                <w:bottom w:val="nil"/>
                <w:right w:val="nil"/>
                <w:between w:val="nil"/>
              </w:pBdr>
              <w:spacing w:before="0"/>
              <w:rPr>
                <w:rFonts w:ascii="Times New Roman" w:eastAsia="Times New Roman" w:hAnsi="Times New Roman" w:cs="Times New Roman"/>
                <w:sz w:val="18"/>
                <w:szCs w:val="18"/>
              </w:rPr>
            </w:pPr>
            <w:r w:rsidRPr="000A1002">
              <w:rPr>
                <w:rFonts w:ascii="Times New Roman" w:eastAsia="Times New Roman" w:hAnsi="Times New Roman" w:cs="Times New Roman"/>
                <w:sz w:val="18"/>
                <w:szCs w:val="18"/>
              </w:rPr>
              <w:t>X</w:t>
            </w:r>
          </w:p>
        </w:tc>
      </w:tr>
    </w:tbl>
    <w:p w14:paraId="6934BA7F" w14:textId="77777777" w:rsidR="00907FAD" w:rsidRPr="000A1002" w:rsidRDefault="00907FAD" w:rsidP="00907FAD">
      <w:pPr>
        <w:pBdr>
          <w:top w:val="nil"/>
          <w:left w:val="nil"/>
          <w:bottom w:val="nil"/>
          <w:right w:val="nil"/>
          <w:between w:val="nil"/>
        </w:pBdr>
        <w:spacing w:after="60"/>
        <w:rPr>
          <w:rFonts w:ascii="Times New Roman" w:eastAsia="Times New Roman" w:hAnsi="Times New Roman" w:cs="Times New Roman"/>
          <w:sz w:val="24"/>
          <w:szCs w:val="24"/>
        </w:rPr>
      </w:pPr>
    </w:p>
    <w:tbl>
      <w:tblPr>
        <w:tblStyle w:val="7"/>
        <w:tblW w:w="9480" w:type="dxa"/>
        <w:tblInd w:w="36" w:type="dxa"/>
        <w:tblBorders>
          <w:top w:val="single" w:sz="12" w:space="0" w:color="808080"/>
          <w:left w:val="single" w:sz="12" w:space="0" w:color="808080"/>
          <w:bottom w:val="single" w:sz="12" w:space="0" w:color="808080"/>
          <w:right w:val="single" w:sz="12" w:space="0" w:color="808080"/>
          <w:insideH w:val="nil"/>
          <w:insideV w:val="nil"/>
        </w:tblBorders>
        <w:tblLayout w:type="fixed"/>
        <w:tblLook w:val="0400" w:firstRow="0" w:lastRow="0" w:firstColumn="0" w:lastColumn="0" w:noHBand="0" w:noVBand="1"/>
      </w:tblPr>
      <w:tblGrid>
        <w:gridCol w:w="9480"/>
      </w:tblGrid>
      <w:tr w:rsidR="00907FAD" w:rsidRPr="000A1002" w14:paraId="5F4894B0" w14:textId="77777777" w:rsidTr="00BA2175">
        <w:tc>
          <w:tcPr>
            <w:tcW w:w="9480" w:type="dxa"/>
          </w:tcPr>
          <w:p w14:paraId="26E393BF" w14:textId="77777777" w:rsidR="00907FAD" w:rsidRPr="000A1002" w:rsidRDefault="00907FAD" w:rsidP="00907FAD">
            <w:pPr>
              <w:numPr>
                <w:ilvl w:val="1"/>
                <w:numId w:val="1"/>
              </w:numPr>
              <w:pBdr>
                <w:top w:val="nil"/>
                <w:left w:val="nil"/>
                <w:bottom w:val="nil"/>
                <w:right w:val="nil"/>
                <w:between w:val="nil"/>
              </w:pBdr>
              <w:spacing w:before="0" w:after="60"/>
              <w:ind w:left="262" w:hanging="262"/>
              <w:rPr>
                <w:rFonts w:ascii="Times New Roman" w:eastAsia="Times New Roman" w:hAnsi="Times New Roman" w:cs="Times New Roman"/>
                <w:color w:val="000000"/>
                <w:sz w:val="20"/>
                <w:szCs w:val="20"/>
              </w:rPr>
            </w:pPr>
            <w:r w:rsidRPr="000A1002">
              <w:rPr>
                <w:rFonts w:ascii="Times New Roman" w:eastAsia="Times New Roman" w:hAnsi="Times New Roman" w:cs="Times New Roman"/>
                <w:color w:val="000000"/>
                <w:sz w:val="20"/>
                <w:szCs w:val="20"/>
              </w:rPr>
              <w:t xml:space="preserve">Screening occurred within </w:t>
            </w:r>
            <w:r w:rsidRPr="000A1002">
              <w:rPr>
                <w:rFonts w:ascii="Times New Roman" w:eastAsia="Times New Roman" w:hAnsi="Times New Roman" w:cs="Times New Roman"/>
                <w:sz w:val="20"/>
                <w:szCs w:val="20"/>
              </w:rPr>
              <w:t>2 weeks prior to Randomization</w:t>
            </w:r>
          </w:p>
          <w:p w14:paraId="03A7D8A9" w14:textId="77777777" w:rsidR="00907FAD" w:rsidRPr="000A1002" w:rsidRDefault="00907FAD" w:rsidP="00907FAD">
            <w:pPr>
              <w:numPr>
                <w:ilvl w:val="1"/>
                <w:numId w:val="1"/>
              </w:numPr>
              <w:pBdr>
                <w:top w:val="nil"/>
                <w:left w:val="nil"/>
                <w:bottom w:val="nil"/>
                <w:right w:val="nil"/>
                <w:between w:val="nil"/>
              </w:pBdr>
              <w:spacing w:before="0" w:after="60"/>
              <w:ind w:left="262" w:hanging="262"/>
              <w:rPr>
                <w:rFonts w:ascii="Times New Roman" w:eastAsia="Times New Roman" w:hAnsi="Times New Roman" w:cs="Times New Roman"/>
                <w:color w:val="000000"/>
                <w:sz w:val="20"/>
                <w:szCs w:val="20"/>
              </w:rPr>
            </w:pPr>
            <w:r w:rsidRPr="000A1002">
              <w:rPr>
                <w:rFonts w:ascii="Times New Roman" w:eastAsia="Times New Roman" w:hAnsi="Times New Roman" w:cs="Times New Roman"/>
                <w:sz w:val="20"/>
                <w:szCs w:val="20"/>
              </w:rPr>
              <w:t xml:space="preserve">Randomization and Study Product/Supplies Shipment occurred within 2 weeks prior to Baseline </w:t>
            </w:r>
          </w:p>
          <w:p w14:paraId="592F8FCE" w14:textId="77777777" w:rsidR="00907FAD" w:rsidRPr="000A1002" w:rsidRDefault="00907FAD" w:rsidP="00907FAD">
            <w:pPr>
              <w:numPr>
                <w:ilvl w:val="1"/>
                <w:numId w:val="1"/>
              </w:numPr>
              <w:pBdr>
                <w:top w:val="nil"/>
                <w:left w:val="nil"/>
                <w:bottom w:val="nil"/>
                <w:right w:val="nil"/>
                <w:between w:val="nil"/>
              </w:pBdr>
              <w:spacing w:before="0" w:after="60"/>
              <w:ind w:left="262" w:hanging="262"/>
              <w:rPr>
                <w:rFonts w:ascii="Times New Roman" w:eastAsia="Times New Roman" w:hAnsi="Times New Roman" w:cs="Times New Roman"/>
                <w:color w:val="000000"/>
                <w:sz w:val="20"/>
                <w:szCs w:val="20"/>
              </w:rPr>
            </w:pPr>
            <w:r w:rsidRPr="000A1002">
              <w:rPr>
                <w:rFonts w:ascii="Times New Roman" w:eastAsia="Times New Roman" w:hAnsi="Times New Roman" w:cs="Times New Roman"/>
                <w:sz w:val="20"/>
                <w:szCs w:val="20"/>
              </w:rPr>
              <w:t xml:space="preserve">Body Mass Index was calculated from self-reported weight and height measured within the last 6 months </w:t>
            </w:r>
          </w:p>
          <w:p w14:paraId="10ACA576" w14:textId="77777777" w:rsidR="00907FAD" w:rsidRPr="000A1002" w:rsidRDefault="00907FAD" w:rsidP="00907FAD">
            <w:pPr>
              <w:numPr>
                <w:ilvl w:val="1"/>
                <w:numId w:val="1"/>
              </w:numPr>
              <w:pBdr>
                <w:top w:val="nil"/>
                <w:left w:val="nil"/>
                <w:bottom w:val="nil"/>
                <w:right w:val="nil"/>
                <w:between w:val="nil"/>
              </w:pBdr>
              <w:spacing w:before="0" w:after="60"/>
              <w:ind w:left="262" w:hanging="262"/>
              <w:rPr>
                <w:rFonts w:ascii="Times New Roman" w:eastAsia="Times New Roman" w:hAnsi="Times New Roman" w:cs="Times New Roman"/>
                <w:color w:val="000000"/>
                <w:sz w:val="20"/>
                <w:szCs w:val="20"/>
              </w:rPr>
            </w:pPr>
            <w:r w:rsidRPr="000A1002">
              <w:rPr>
                <w:rFonts w:ascii="Times New Roman" w:eastAsia="Times New Roman" w:hAnsi="Times New Roman" w:cs="Times New Roman"/>
                <w:sz w:val="20"/>
                <w:szCs w:val="20"/>
              </w:rPr>
              <w:t>Screening Food Frequency Questionnaire and Dietary Style</w:t>
            </w:r>
          </w:p>
          <w:p w14:paraId="4A544841" w14:textId="77777777" w:rsidR="00907FAD" w:rsidRPr="000A1002" w:rsidRDefault="00907FAD" w:rsidP="00907FAD">
            <w:pPr>
              <w:numPr>
                <w:ilvl w:val="1"/>
                <w:numId w:val="1"/>
              </w:numPr>
              <w:pBdr>
                <w:top w:val="nil"/>
                <w:left w:val="nil"/>
                <w:bottom w:val="nil"/>
                <w:right w:val="nil"/>
                <w:between w:val="nil"/>
              </w:pBdr>
              <w:spacing w:before="0" w:after="60"/>
              <w:ind w:left="262" w:hanging="262"/>
              <w:rPr>
                <w:rFonts w:ascii="Times New Roman" w:eastAsia="Times New Roman" w:hAnsi="Times New Roman" w:cs="Times New Roman"/>
                <w:color w:val="000000"/>
                <w:sz w:val="20"/>
                <w:szCs w:val="20"/>
              </w:rPr>
            </w:pPr>
            <w:r w:rsidRPr="000A1002">
              <w:rPr>
                <w:rFonts w:ascii="Times New Roman" w:eastAsia="Times New Roman" w:hAnsi="Times New Roman" w:cs="Times New Roman"/>
                <w:sz w:val="20"/>
                <w:szCs w:val="20"/>
              </w:rPr>
              <w:t>Study participants were randomized to one of 2 groups: (1) Mimio or (2) matching placebo</w:t>
            </w:r>
          </w:p>
          <w:p w14:paraId="1E64BBC8"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Blood sample collection at the participant’s local Quest laboratory for NMR lipoprofile, oxidized LDL, hsCRP, HbA1c, insulin and plasma glucose. Overnight fasting was required prior to collection. The tests were done within the 14-day baseline period and within 7 days after the last Mimio/placebo use day.</w:t>
            </w:r>
          </w:p>
          <w:p w14:paraId="1984BD27"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Cognitive Failures Questionnaire</w:t>
            </w:r>
            <w:r w:rsidRPr="000A1002">
              <w:rPr>
                <w:rFonts w:ascii="Times New Roman" w:eastAsia="Times New Roman" w:hAnsi="Times New Roman" w:cs="Times New Roman"/>
                <w:sz w:val="20"/>
                <w:szCs w:val="20"/>
              </w:rPr>
              <w:fldChar w:fldCharType="begin"/>
            </w:r>
            <w:r w:rsidRPr="000A1002">
              <w:rPr>
                <w:rFonts w:ascii="Times New Roman" w:eastAsia="Times New Roman" w:hAnsi="Times New Roman" w:cs="Times New Roman"/>
                <w:sz w:val="20"/>
                <w:szCs w:val="20"/>
              </w:rPr>
              <w:instrText xml:space="preserve"> ADDIN ZOTERO_ITEM CSL_CITATION {"citationID":"Bzj1V2Ut","properties":{"formattedCitation":"\\super 23\\nosupersub{}","plainCitation":"23","noteIndex":0},"citationItems":[{"id":22181,"uris":["http://zotero.org/groups/5253283/items/S964KQY2"],"itemData":{"id":22181,"type":"article-journal","abstract":"This paper describes a questionnaire measure of self‐reported failures in perception, memory, and motor function. Responses to all questions tend to be positively correlated, and the whole questionnaire correlates with other recent measures of self‐reported deficit in memory, absent‐mindedness, or slips of action. The questionnaire is however only weakly correlated with indices of social desirability set or of neuroticism. It is significantly correlated with ratings of the respondent by his or her spouse, and accordingly does have some external significance rather than purely private opinion of the self. The score is reasonably stable over long periods, to about the same extent as traditional measures of trait rather than state. Furthermore, it has not thus far been found to change in persons exposed to life‐stresses. However, it does frequently correlate with the number of current psychiatric symptoms reported by the same person on the MHQ; and in one study it has been found that CFQ predicts subsequent MHQ in persons who work at a stressful job in the interval. It does not do so in those who work in a less stressful environment. The most plausible view is that cognitive failure makes a person vulnerable to showing bad effects of stress, rather than itself resulting from stress.","container-title":"British Journal of Clinical Psychology","DOI":"10.1111/j.2044-8260.1982.tb01421.x","ISSN":"0144-6657, 2044-8260","issue":"1","journalAbbreviation":"British J Clinic Psychol","language":"en","license":"http://onlinelibrary.wiley.com/termsAndConditions#vor","page":"1-16","source":"DOI.org (Crossref)","title":"The Cognitive Failures Questionnaire (CFQ) and its correlates","volume":"21","author":[{"family":"Broadbent","given":"D. E."},{"family":"Cooper","given":"P. F."},{"family":"FitzGerald","given":"P."},{"family":"Parkes","given":"K. R."}],"issued":{"date-parts":[["1982",2]]}}}],"schema":"https://github.com/citation-style-language/schema/raw/master/csl-citation.json"} </w:instrText>
            </w:r>
            <w:r w:rsidRPr="000A1002">
              <w:rPr>
                <w:rFonts w:ascii="Times New Roman" w:eastAsia="Times New Roman" w:hAnsi="Times New Roman" w:cs="Times New Roman"/>
                <w:sz w:val="20"/>
                <w:szCs w:val="20"/>
              </w:rPr>
              <w:fldChar w:fldCharType="separate"/>
            </w:r>
            <w:r w:rsidRPr="000A1002">
              <w:rPr>
                <w:rFonts w:ascii="Times New Roman" w:hAnsi="Times New Roman" w:cs="Times New Roman"/>
                <w:sz w:val="20"/>
                <w:vertAlign w:val="superscript"/>
              </w:rPr>
              <w:t>23</w:t>
            </w:r>
            <w:r w:rsidRPr="000A1002">
              <w:rPr>
                <w:rFonts w:ascii="Times New Roman" w:eastAsia="Times New Roman" w:hAnsi="Times New Roman" w:cs="Times New Roman"/>
                <w:sz w:val="20"/>
                <w:szCs w:val="20"/>
              </w:rPr>
              <w:fldChar w:fldCharType="end"/>
            </w:r>
          </w:p>
          <w:p w14:paraId="14593E50"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Weekly custom questionnaire with Likert-scale and frequency questions on sleep, stress, mood, energy, pain and gastrointestinal symptoms (i.e., flatulence, bloating, abdominal discomfort, stool consistency/regularity, constipation)</w:t>
            </w:r>
          </w:p>
          <w:p w14:paraId="3EB83EEE"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Three-factor Eating Questionnaire - 18 item</w:t>
            </w:r>
            <w:r w:rsidRPr="000A1002">
              <w:rPr>
                <w:rFonts w:ascii="Times New Roman" w:eastAsia="Times New Roman" w:hAnsi="Times New Roman" w:cs="Times New Roman"/>
                <w:sz w:val="20"/>
                <w:szCs w:val="20"/>
              </w:rPr>
              <w:fldChar w:fldCharType="begin"/>
            </w:r>
            <w:r w:rsidRPr="000A1002">
              <w:rPr>
                <w:rFonts w:ascii="Times New Roman" w:eastAsia="Times New Roman" w:hAnsi="Times New Roman" w:cs="Times New Roman"/>
                <w:sz w:val="20"/>
                <w:szCs w:val="20"/>
              </w:rPr>
              <w:instrText xml:space="preserve"> ADDIN ZOTERO_ITEM CSL_CITATION {"citationID":"gDrGxQ0c","properties":{"formattedCitation":"\\super 24\\nosupersub{}","plainCitation":"24","noteIndex":0},"citationItems":[{"id":21813,"uris":["http://zotero.org/groups/5253283/items/USNZSZMB"],"itemData":{"id":21813,"type":"article-journal","abstract":"OBJECTIVE: To evaluate the construct validity of the Three-Factor Eating Questionnaire (TFEQ) in obese men and women.\nSUBJECTS: A total of 4377 middle-aged, obese subjects in the Swedish Obese Subjects (SOS) study.\nMETHODS: The total sample was randomly split into two data subsets and psychometric testing was performed separately in each sample. Multitrait/multi-item analysis was conducted to test scaling assumptions and factor analysis was used to test the factor structure. Measures of mental well-being (MACL, HAD) were used for testing criterion-based validity.\nRESULTS: The Cognitive Restraint factor was consistently reproduced and scaling analysis demonstrated strong item-scale discriminant validity, while the item-scale convergent validity was unsatisfactory. The internal structure of the Disinhibition scale was weak. Most Disinhibition and Hunger items grouped in one global factor labeled Uncontrolled Eating. A third cluster containing items on Emotional Eating was also identified. The obtained three-factor structure was cross-validated and replicated across subgroups by gender, age and BMI.\nCONCLUSION: The original TFEQ factor structure was not replicated. A short, revised 18-item instrument was constructed, representing the derived factors of Cognitive Restraint, Uncontrolled Eating and Emotional Eating. The most efficient items were used to boost both the convergent and discriminant validity of the scales.","container-title":"International Journal of Obesity and Related Metabolic Disorders: Journal of the International Association for the Study of Obesity","DOI":"10.1038/sj.ijo.0801442","issue":"12","journalAbbreviation":"Int J Obes Relat Metab Disord","language":"eng","note":"PMID: 11126230","page":"1715-1725","source":"PubMed","title":"Psychometric properties and factor structure of the Three-Factor Eating Questionnaire (TFEQ) in obese men and women. Results from the Swedish Obese Subjects (SOS) study","volume":"24","author":[{"family":"Karlsson","given":"J."},{"family":"Persson","given":"L. O."},{"family":"Sjöström","given":"L."},{"family":"Sullivan","given":"M."}],"issued":{"date-parts":[["2000",12]]}}}],"schema":"https://github.com/citation-style-language/schema/raw/master/csl-citation.json"} </w:instrText>
            </w:r>
            <w:r w:rsidRPr="000A1002">
              <w:rPr>
                <w:rFonts w:ascii="Times New Roman" w:eastAsia="Times New Roman" w:hAnsi="Times New Roman" w:cs="Times New Roman"/>
                <w:sz w:val="20"/>
                <w:szCs w:val="20"/>
              </w:rPr>
              <w:fldChar w:fldCharType="separate"/>
            </w:r>
            <w:r w:rsidRPr="000A1002">
              <w:rPr>
                <w:rFonts w:ascii="Times New Roman" w:hAnsi="Times New Roman" w:cs="Times New Roman"/>
                <w:sz w:val="20"/>
                <w:vertAlign w:val="superscript"/>
              </w:rPr>
              <w:t>24</w:t>
            </w:r>
            <w:r w:rsidRPr="000A1002">
              <w:rPr>
                <w:rFonts w:ascii="Times New Roman" w:eastAsia="Times New Roman" w:hAnsi="Times New Roman" w:cs="Times New Roman"/>
                <w:sz w:val="20"/>
                <w:szCs w:val="20"/>
              </w:rPr>
              <w:fldChar w:fldCharType="end"/>
            </w:r>
          </w:p>
          <w:p w14:paraId="3D530F52"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7-item custom Hunger, Satiety and Cravings Scale</w:t>
            </w:r>
          </w:p>
          <w:p w14:paraId="367F94FB"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 xml:space="preserve">Use of Mimio/placebo, 2 capsules daily with a glass of water, 30-60 mins before the first major meal </w:t>
            </w:r>
          </w:p>
          <w:p w14:paraId="57833301" w14:textId="77777777" w:rsidR="00907FAD" w:rsidRPr="000A1002" w:rsidRDefault="00907FAD" w:rsidP="00907FAD">
            <w:pPr>
              <w:numPr>
                <w:ilvl w:val="1"/>
                <w:numId w:val="1"/>
              </w:numPr>
              <w:pBdr>
                <w:top w:val="nil"/>
                <w:left w:val="nil"/>
                <w:bottom w:val="nil"/>
                <w:right w:val="nil"/>
                <w:between w:val="nil"/>
              </w:pBdr>
              <w:spacing w:after="60"/>
              <w:ind w:left="262" w:hanging="262"/>
              <w:rPr>
                <w:rFonts w:ascii="Times New Roman" w:eastAsia="Times New Roman" w:hAnsi="Times New Roman" w:cs="Times New Roman"/>
                <w:sz w:val="20"/>
                <w:szCs w:val="20"/>
              </w:rPr>
            </w:pPr>
            <w:r w:rsidRPr="000A1002">
              <w:rPr>
                <w:rFonts w:ascii="Times New Roman" w:eastAsia="Times New Roman" w:hAnsi="Times New Roman" w:cs="Times New Roman"/>
                <w:sz w:val="20"/>
                <w:szCs w:val="20"/>
              </w:rPr>
              <w:t>Participants answered an adverse event question weekly during the Mimio/placebo use period</w:t>
            </w:r>
          </w:p>
        </w:tc>
      </w:tr>
    </w:tbl>
    <w:p w14:paraId="0A43328E" w14:textId="77777777" w:rsidR="00907FAD" w:rsidRPr="000A1002" w:rsidRDefault="00907FAD" w:rsidP="00645C58">
      <w:pPr>
        <w:rPr>
          <w:rFonts w:ascii="Times New Roman" w:hAnsi="Times New Roman" w:cs="Times New Roman"/>
          <w:b/>
          <w:bCs/>
          <w:sz w:val="24"/>
          <w:szCs w:val="24"/>
        </w:rPr>
      </w:pPr>
    </w:p>
    <w:p w14:paraId="44A762DD" w14:textId="77777777" w:rsidR="000142F9" w:rsidRPr="000A1002" w:rsidRDefault="000142F9" w:rsidP="00645C58">
      <w:pPr>
        <w:rPr>
          <w:rFonts w:ascii="Times New Roman" w:hAnsi="Times New Roman" w:cs="Times New Roman"/>
          <w:b/>
          <w:bCs/>
          <w:sz w:val="24"/>
          <w:szCs w:val="24"/>
        </w:rPr>
      </w:pPr>
    </w:p>
    <w:p w14:paraId="18B5D9CF" w14:textId="704CE194" w:rsidR="00A363C6" w:rsidRPr="000A1002" w:rsidRDefault="00A363C6"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Figure</w:t>
      </w:r>
      <w:r w:rsidR="00AB4C81" w:rsidRPr="000A1002">
        <w:rPr>
          <w:rFonts w:ascii="Times New Roman" w:hAnsi="Times New Roman" w:cs="Times New Roman"/>
          <w:b/>
          <w:bCs/>
          <w:sz w:val="24"/>
          <w:szCs w:val="24"/>
        </w:rPr>
        <w:t xml:space="preserve"> 1</w:t>
      </w:r>
      <w:r w:rsidRPr="000A1002">
        <w:rPr>
          <w:rFonts w:ascii="Times New Roman" w:hAnsi="Times New Roman" w:cs="Times New Roman"/>
          <w:b/>
          <w:bCs/>
          <w:sz w:val="24"/>
          <w:szCs w:val="24"/>
        </w:rPr>
        <w:t>. Raw Lab Values Before and After.</w:t>
      </w:r>
    </w:p>
    <w:p w14:paraId="12300662" w14:textId="7B0B72E0" w:rsidR="00A363C6" w:rsidRPr="000A1002" w:rsidRDefault="00A363C6" w:rsidP="00645C58">
      <w:pPr>
        <w:rPr>
          <w:rFonts w:ascii="Times New Roman" w:hAnsi="Times New Roman" w:cs="Times New Roman"/>
          <w:b/>
          <w:bCs/>
          <w:sz w:val="24"/>
          <w:szCs w:val="24"/>
        </w:rPr>
      </w:pPr>
      <w:r w:rsidRPr="000A1002">
        <w:rPr>
          <w:noProof/>
        </w:rPr>
        <w:lastRenderedPageBreak/>
        <w:drawing>
          <wp:inline distT="0" distB="0" distL="0" distR="0" wp14:anchorId="105E7D16" wp14:editId="222B27FC">
            <wp:extent cx="5943600" cy="6542405"/>
            <wp:effectExtent l="0" t="0" r="0" b="0"/>
            <wp:docPr id="1959176373"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76373" name="Picture 1" descr="A screenshot of a graph&#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6542405"/>
                    </a:xfrm>
                    <a:prstGeom prst="rect">
                      <a:avLst/>
                    </a:prstGeom>
                    <a:noFill/>
                    <a:ln>
                      <a:noFill/>
                    </a:ln>
                  </pic:spPr>
                </pic:pic>
              </a:graphicData>
            </a:graphic>
          </wp:inline>
        </w:drawing>
      </w:r>
    </w:p>
    <w:p w14:paraId="2DD9E2A3" w14:textId="3DCEED32" w:rsidR="00A363C6" w:rsidRPr="000A1002" w:rsidRDefault="00A363C6" w:rsidP="00645C58">
      <w:pPr>
        <w:rPr>
          <w:rFonts w:ascii="Times New Roman" w:hAnsi="Times New Roman" w:cs="Times New Roman"/>
          <w:b/>
          <w:bCs/>
          <w:sz w:val="24"/>
          <w:szCs w:val="24"/>
        </w:rPr>
      </w:pPr>
      <w:r w:rsidRPr="000A1002">
        <w:rPr>
          <w:noProof/>
        </w:rPr>
        <w:lastRenderedPageBreak/>
        <w:drawing>
          <wp:inline distT="0" distB="0" distL="0" distR="0" wp14:anchorId="069702AF" wp14:editId="02A06FE4">
            <wp:extent cx="5943600" cy="4862845"/>
            <wp:effectExtent l="0" t="0" r="0" b="0"/>
            <wp:docPr id="1799552141"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52141" name="Picture 2" descr="A screenshot of a graph&#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571"/>
                    <a:stretch/>
                  </pic:blipFill>
                  <pic:spPr bwMode="auto">
                    <a:xfrm>
                      <a:off x="0" y="0"/>
                      <a:ext cx="5943600" cy="4862845"/>
                    </a:xfrm>
                    <a:prstGeom prst="rect">
                      <a:avLst/>
                    </a:prstGeom>
                    <a:noFill/>
                    <a:ln>
                      <a:noFill/>
                    </a:ln>
                    <a:extLst>
                      <a:ext uri="{53640926-AAD7-44D8-BBD7-CCE9431645EC}">
                        <a14:shadowObscured xmlns:a14="http://schemas.microsoft.com/office/drawing/2010/main"/>
                      </a:ext>
                    </a:extLst>
                  </pic:spPr>
                </pic:pic>
              </a:graphicData>
            </a:graphic>
          </wp:inline>
        </w:drawing>
      </w:r>
    </w:p>
    <w:p w14:paraId="6F22A82C" w14:textId="43BA4CC0" w:rsidR="00645C58" w:rsidRPr="000A1002" w:rsidRDefault="00205B1F" w:rsidP="00645C58">
      <w:pPr>
        <w:rPr>
          <w:rFonts w:ascii="Times New Roman" w:hAnsi="Times New Roman" w:cs="Times New Roman"/>
          <w:sz w:val="24"/>
          <w:szCs w:val="24"/>
        </w:rPr>
      </w:pPr>
      <w:r w:rsidRPr="000A1002">
        <w:rPr>
          <w:rFonts w:ascii="Times New Roman" w:hAnsi="Times New Roman" w:cs="Times New Roman"/>
          <w:sz w:val="24"/>
          <w:szCs w:val="24"/>
        </w:rPr>
        <w:t>Supplemental Figure 1. Raw Laboratory Blood Values Before and After. Box and whisker plots with mean (SEM) depicted at the top of each whisker for Mimio (red) and placebo (yellow) participants</w:t>
      </w:r>
      <w:r w:rsidR="004E476A" w:rsidRPr="000A1002">
        <w:rPr>
          <w:rFonts w:ascii="Times New Roman" w:hAnsi="Times New Roman" w:cs="Times New Roman"/>
          <w:sz w:val="24"/>
          <w:szCs w:val="24"/>
        </w:rPr>
        <w:t xml:space="preserve"> at baseline and end of study (8 weeks)</w:t>
      </w:r>
      <w:r w:rsidRPr="000A1002">
        <w:rPr>
          <w:rFonts w:ascii="Times New Roman" w:hAnsi="Times New Roman" w:cs="Times New Roman"/>
          <w:sz w:val="24"/>
          <w:szCs w:val="24"/>
        </w:rPr>
        <w:t xml:space="preserve">. Individual dots represent individual participants’ data. Units can be found in main Table 3. </w:t>
      </w:r>
    </w:p>
    <w:p w14:paraId="27CEC7A3" w14:textId="30E4FE47" w:rsidR="004D4A44" w:rsidRPr="000A1002" w:rsidRDefault="004D4A44" w:rsidP="004D4A44">
      <w:pPr>
        <w:rPr>
          <w:rFonts w:ascii="Times New Roman" w:eastAsia="Times New Roman" w:hAnsi="Times New Roman" w:cs="Times New Roman"/>
          <w:b/>
          <w:bCs/>
          <w:sz w:val="24"/>
          <w:szCs w:val="24"/>
        </w:rPr>
      </w:pPr>
      <w:r w:rsidRPr="000A1002">
        <w:rPr>
          <w:rFonts w:ascii="Times New Roman" w:eastAsia="Times New Roman" w:hAnsi="Times New Roman" w:cs="Times New Roman"/>
          <w:b/>
          <w:bCs/>
          <w:sz w:val="24"/>
          <w:szCs w:val="24"/>
        </w:rPr>
        <w:t>Supplemental Table 2. Trends Over Time in Hunger &amp; Satiety.</w:t>
      </w:r>
    </w:p>
    <w:tbl>
      <w:tblPr>
        <w:tblW w:w="0" w:type="auto"/>
        <w:tblCellMar>
          <w:top w:w="15" w:type="dxa"/>
          <w:left w:w="15" w:type="dxa"/>
          <w:bottom w:w="15" w:type="dxa"/>
          <w:right w:w="15" w:type="dxa"/>
        </w:tblCellMar>
        <w:tblLook w:val="04A0" w:firstRow="1" w:lastRow="0" w:firstColumn="1" w:lastColumn="0" w:noHBand="0" w:noVBand="1"/>
      </w:tblPr>
      <w:tblGrid>
        <w:gridCol w:w="2665"/>
        <w:gridCol w:w="3344"/>
        <w:gridCol w:w="3331"/>
      </w:tblGrid>
      <w:tr w:rsidR="004D4A44" w:rsidRPr="000A1002" w14:paraId="36946BE3" w14:textId="77777777" w:rsidTr="00BA2175">
        <w:trPr>
          <w:trHeight w:val="132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42CD7FB2"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Daily Metric</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60A8B471"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Mimio</w:t>
            </w:r>
          </w:p>
          <w:p w14:paraId="431F38A7"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Mean Trend (Mann-Kendall p-value)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1FCD4433"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Placebo</w:t>
            </w:r>
          </w:p>
          <w:p w14:paraId="20BE10BA"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Mean Trend (Mann-Kendall p-value)</w:t>
            </w:r>
          </w:p>
        </w:tc>
      </w:tr>
      <w:tr w:rsidR="004D4A44" w:rsidRPr="000A1002" w14:paraId="78F924E7" w14:textId="77777777" w:rsidTr="00BA2175">
        <w:trPr>
          <w:trHeight w:val="447"/>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6FBC5C5"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Unhealthy Cravings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EFC65"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Decreasing (p=3.8*10</w:t>
            </w:r>
            <w:r w:rsidRPr="000A1002">
              <w:rPr>
                <w:rFonts w:ascii="Times New Roman" w:eastAsia="Times New Roman" w:hAnsi="Times New Roman" w:cs="Times New Roman"/>
                <w:sz w:val="24"/>
                <w:szCs w:val="24"/>
                <w:vertAlign w:val="superscript"/>
              </w:rPr>
              <w:t>-9</w:t>
            </w:r>
            <w:r w:rsidRPr="000A1002">
              <w:rPr>
                <w:rFonts w:ascii="Times New Roman" w:eastAsia="Times New Roman" w:hAnsi="Times New Roman" w:cs="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582D7"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Decreasing (p=1.4*10</w:t>
            </w:r>
            <w:r w:rsidRPr="000A1002">
              <w:rPr>
                <w:rFonts w:ascii="Times New Roman" w:eastAsia="Times New Roman" w:hAnsi="Times New Roman" w:cs="Times New Roman"/>
                <w:b/>
                <w:bCs/>
                <w:sz w:val="24"/>
                <w:szCs w:val="24"/>
                <w:vertAlign w:val="superscript"/>
              </w:rPr>
              <w:t>-2</w:t>
            </w:r>
            <w:r w:rsidRPr="000A1002">
              <w:rPr>
                <w:rFonts w:ascii="Times New Roman" w:eastAsia="Times New Roman" w:hAnsi="Times New Roman" w:cs="Times New Roman"/>
                <w:sz w:val="24"/>
                <w:szCs w:val="24"/>
              </w:rPr>
              <w:t>)</w:t>
            </w:r>
          </w:p>
        </w:tc>
      </w:tr>
      <w:tr w:rsidR="004D4A44" w:rsidRPr="000A1002" w14:paraId="4999C7E9" w14:textId="77777777" w:rsidTr="00BA2175">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909B7F8"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lastRenderedPageBreak/>
              <w:t>Eating Only When Hungry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356EC"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Increasing (p=7.1*10</w:t>
            </w:r>
            <w:r w:rsidRPr="000A1002">
              <w:rPr>
                <w:rFonts w:ascii="Times New Roman" w:eastAsia="Times New Roman" w:hAnsi="Times New Roman" w:cs="Times New Roman"/>
                <w:b/>
                <w:bCs/>
                <w:sz w:val="24"/>
                <w:szCs w:val="24"/>
                <w:vertAlign w:val="superscript"/>
              </w:rPr>
              <w:t>-3</w:t>
            </w:r>
            <w:r w:rsidRPr="000A1002">
              <w:rPr>
                <w:rFonts w:ascii="Times New Roman" w:eastAsia="Times New Roman" w:hAnsi="Times New Roman" w:cs="Times New Roman"/>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A6D8F"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tc>
      </w:tr>
      <w:tr w:rsidR="004D4A44" w:rsidRPr="000A1002" w14:paraId="760ECB1A" w14:textId="77777777" w:rsidTr="00BA2175">
        <w:trPr>
          <w:trHeight w:val="30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2B9721FE"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Distraction From Cravings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FFD9C6"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Decreasing (p=7.7*10</w:t>
            </w:r>
            <w:r w:rsidRPr="000A1002">
              <w:rPr>
                <w:rFonts w:ascii="Times New Roman" w:eastAsia="Times New Roman" w:hAnsi="Times New Roman" w:cs="Times New Roman"/>
                <w:b/>
                <w:bCs/>
                <w:sz w:val="24"/>
                <w:szCs w:val="24"/>
                <w:vertAlign w:val="superscript"/>
              </w:rPr>
              <w:t>-9</w:t>
            </w:r>
            <w:r w:rsidRPr="000A1002">
              <w:rPr>
                <w:rFonts w:ascii="Times New Roman" w:eastAsia="Times New Roman" w:hAnsi="Times New Roman" w:cs="Times New Roman"/>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26C39"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tc>
      </w:tr>
      <w:tr w:rsidR="004D4A44" w:rsidRPr="000A1002" w14:paraId="3EC7010B" w14:textId="77777777" w:rsidTr="00BA2175">
        <w:trPr>
          <w:trHeight w:val="315"/>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092A326"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Postprandial Satiety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9C8A4"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Increasing (p=1.2*10</w:t>
            </w:r>
            <w:r w:rsidRPr="000A1002">
              <w:rPr>
                <w:rFonts w:ascii="Times New Roman" w:eastAsia="Times New Roman" w:hAnsi="Times New Roman" w:cs="Times New Roman"/>
                <w:b/>
                <w:bCs/>
                <w:sz w:val="24"/>
                <w:szCs w:val="24"/>
                <w:vertAlign w:val="superscript"/>
              </w:rPr>
              <w:t>-5</w:t>
            </w:r>
            <w:r w:rsidRPr="000A1002">
              <w:rPr>
                <w:rFonts w:ascii="Times New Roman" w:eastAsia="Times New Roman" w:hAnsi="Times New Roman" w:cs="Times New Roman"/>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2FB45"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p w14:paraId="02CE48AF" w14:textId="77777777" w:rsidR="004D4A44" w:rsidRPr="000A1002" w:rsidRDefault="004D4A44" w:rsidP="00BA2175">
            <w:pPr>
              <w:rPr>
                <w:rFonts w:ascii="Times New Roman" w:eastAsia="Times New Roman" w:hAnsi="Times New Roman" w:cs="Times New Roman"/>
                <w:sz w:val="24"/>
                <w:szCs w:val="24"/>
              </w:rPr>
            </w:pPr>
          </w:p>
        </w:tc>
      </w:tr>
      <w:tr w:rsidR="004D4A44" w:rsidRPr="000A1002" w14:paraId="2F27F618" w14:textId="77777777" w:rsidTr="00BA2175">
        <w:trPr>
          <w:trHeight w:val="315"/>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37FE7ED"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Mealtime Appetite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15348"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Decreasing (p=1.7*10</w:t>
            </w:r>
            <w:r w:rsidRPr="000A1002">
              <w:rPr>
                <w:rFonts w:ascii="Times New Roman" w:eastAsia="Times New Roman" w:hAnsi="Times New Roman" w:cs="Times New Roman"/>
                <w:b/>
                <w:bCs/>
                <w:sz w:val="24"/>
                <w:szCs w:val="24"/>
                <w:vertAlign w:val="superscript"/>
              </w:rPr>
              <w:t>-12</w:t>
            </w:r>
            <w:r w:rsidRPr="000A1002">
              <w:rPr>
                <w:rFonts w:ascii="Times New Roman" w:eastAsia="Times New Roman" w:hAnsi="Times New Roman" w:cs="Times New Roman"/>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49F17"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tc>
      </w:tr>
      <w:tr w:rsidR="004D4A44" w:rsidRPr="000A1002" w14:paraId="40EBFFFB" w14:textId="77777777" w:rsidTr="00BA2175">
        <w:trPr>
          <w:trHeight w:val="165"/>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2B18CE29"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Maximum Daily Hunger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A9D3C2"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Decreasing (5.6*10</w:t>
            </w:r>
            <w:r w:rsidRPr="000A1002">
              <w:rPr>
                <w:rFonts w:ascii="Times New Roman" w:eastAsia="Times New Roman" w:hAnsi="Times New Roman" w:cs="Times New Roman"/>
                <w:b/>
                <w:bCs/>
                <w:sz w:val="24"/>
                <w:szCs w:val="24"/>
                <w:vertAlign w:val="superscript"/>
              </w:rPr>
              <w:t>-14</w:t>
            </w:r>
            <w:r w:rsidRPr="000A1002">
              <w:rPr>
                <w:rFonts w:ascii="Times New Roman" w:eastAsia="Times New Roman" w:hAnsi="Times New Roman" w:cs="Times New Roman"/>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DA3A7"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tc>
      </w:tr>
      <w:tr w:rsidR="004D4A44" w:rsidRPr="000A1002" w14:paraId="0824DF8E" w14:textId="77777777" w:rsidTr="00BA2175">
        <w:trPr>
          <w:trHeight w:val="105"/>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8C81082"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Overall Daily Hunger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2E1A46"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Decreasing (2.5*10</w:t>
            </w:r>
            <w:r w:rsidRPr="000A1002">
              <w:rPr>
                <w:rFonts w:ascii="Times New Roman" w:eastAsia="Times New Roman" w:hAnsi="Times New Roman" w:cs="Times New Roman"/>
                <w:b/>
                <w:bCs/>
                <w:sz w:val="24"/>
                <w:szCs w:val="24"/>
                <w:vertAlign w:val="superscript"/>
              </w:rPr>
              <w:t>-13</w:t>
            </w:r>
            <w:r w:rsidRPr="000A1002">
              <w:rPr>
                <w:rFonts w:ascii="Times New Roman" w:eastAsia="Times New Roman" w:hAnsi="Times New Roman" w:cs="Times New Roman"/>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2E178"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p w14:paraId="5E80A41D" w14:textId="77777777" w:rsidR="004D4A44" w:rsidRPr="000A1002" w:rsidRDefault="004D4A44" w:rsidP="00BA2175">
            <w:pPr>
              <w:rPr>
                <w:rFonts w:ascii="Times New Roman" w:eastAsia="Times New Roman" w:hAnsi="Times New Roman" w:cs="Times New Roman"/>
                <w:sz w:val="24"/>
                <w:szCs w:val="24"/>
              </w:rPr>
            </w:pPr>
          </w:p>
        </w:tc>
      </w:tr>
      <w:tr w:rsidR="004D4A44" w:rsidRPr="000A1002" w14:paraId="248DEC72" w14:textId="77777777" w:rsidTr="00BA2175">
        <w:trPr>
          <w:trHeight w:val="255"/>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9A0F719"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Composite Score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42982"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b/>
                <w:bCs/>
                <w:sz w:val="24"/>
                <w:szCs w:val="24"/>
              </w:rPr>
              <w:t>Decreasing (2.2*10</w:t>
            </w:r>
            <w:r w:rsidRPr="000A1002">
              <w:rPr>
                <w:rFonts w:ascii="Times New Roman" w:eastAsia="Times New Roman" w:hAnsi="Times New Roman" w:cs="Times New Roman"/>
                <w:b/>
                <w:bCs/>
                <w:sz w:val="24"/>
                <w:szCs w:val="24"/>
                <w:vertAlign w:val="superscript"/>
              </w:rPr>
              <w:t>-16</w:t>
            </w:r>
            <w:r w:rsidRPr="000A1002">
              <w:rPr>
                <w:rFonts w:ascii="Times New Roman" w:eastAsia="Times New Roman" w:hAnsi="Times New Roman" w:cs="Times New Roman"/>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95F9C" w14:textId="77777777" w:rsidR="004D4A44" w:rsidRPr="000A1002" w:rsidRDefault="004D4A44" w:rsidP="00BA2175">
            <w:pPr>
              <w:rPr>
                <w:rFonts w:ascii="Times New Roman" w:eastAsia="Times New Roman" w:hAnsi="Times New Roman" w:cs="Times New Roman"/>
                <w:sz w:val="24"/>
                <w:szCs w:val="24"/>
              </w:rPr>
            </w:pPr>
            <w:r w:rsidRPr="000A1002">
              <w:rPr>
                <w:rFonts w:ascii="Times New Roman" w:eastAsia="Times New Roman" w:hAnsi="Times New Roman" w:cs="Times New Roman"/>
                <w:sz w:val="24"/>
                <w:szCs w:val="24"/>
              </w:rPr>
              <w:t xml:space="preserve"> No Trend (p&gt;0.05)</w:t>
            </w:r>
          </w:p>
          <w:p w14:paraId="41458F0E" w14:textId="77777777" w:rsidR="004D4A44" w:rsidRPr="000A1002" w:rsidRDefault="004D4A44" w:rsidP="00BA2175">
            <w:pPr>
              <w:rPr>
                <w:rFonts w:ascii="Times New Roman" w:eastAsia="Times New Roman" w:hAnsi="Times New Roman" w:cs="Times New Roman"/>
                <w:sz w:val="24"/>
                <w:szCs w:val="24"/>
              </w:rPr>
            </w:pPr>
          </w:p>
        </w:tc>
      </w:tr>
    </w:tbl>
    <w:p w14:paraId="73B49B84" w14:textId="0C1C8BC6" w:rsidR="004D4A44" w:rsidRPr="000A1002" w:rsidRDefault="004D4A44" w:rsidP="004D4A44">
      <w:pPr>
        <w:rPr>
          <w:rFonts w:ascii="Times New Roman" w:eastAsia="Times New Roman" w:hAnsi="Times New Roman" w:cs="Times New Roman"/>
          <w:b/>
          <w:sz w:val="24"/>
          <w:szCs w:val="24"/>
        </w:rPr>
      </w:pPr>
      <w:r w:rsidRPr="000A1002">
        <w:rPr>
          <w:rFonts w:ascii="Times New Roman" w:eastAsia="Times New Roman" w:hAnsi="Times New Roman" w:cs="Times New Roman"/>
          <w:b/>
          <w:sz w:val="24"/>
          <w:szCs w:val="24"/>
        </w:rPr>
        <w:t>Supplemental Table 2</w:t>
      </w:r>
      <w:r w:rsidRPr="000A1002">
        <w:rPr>
          <w:rFonts w:ascii="Times New Roman" w:eastAsia="Times New Roman" w:hAnsi="Times New Roman" w:cs="Times New Roman"/>
          <w:sz w:val="24"/>
          <w:szCs w:val="24"/>
        </w:rPr>
        <w:t xml:space="preserve">. *note that bolded rows indicate statistical difference between Mimio and Placebo. Baseline values did not differ statistically by group.  </w:t>
      </w:r>
    </w:p>
    <w:p w14:paraId="70CAB69F" w14:textId="77777777" w:rsidR="004D4A44" w:rsidRPr="000A1002" w:rsidRDefault="004D4A44" w:rsidP="00645C58">
      <w:pPr>
        <w:rPr>
          <w:rFonts w:ascii="Times New Roman" w:hAnsi="Times New Roman" w:cs="Times New Roman"/>
          <w:sz w:val="24"/>
          <w:szCs w:val="24"/>
        </w:rPr>
      </w:pPr>
    </w:p>
    <w:p w14:paraId="58DF39E1" w14:textId="3525A3D6" w:rsidR="009F6F16" w:rsidRPr="000A1002" w:rsidRDefault="00645C58"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Table</w:t>
      </w:r>
      <w:r w:rsidR="00AB4C81" w:rsidRPr="000A1002">
        <w:rPr>
          <w:rFonts w:ascii="Times New Roman" w:hAnsi="Times New Roman" w:cs="Times New Roman"/>
          <w:b/>
          <w:bCs/>
          <w:sz w:val="24"/>
          <w:szCs w:val="24"/>
        </w:rPr>
        <w:t xml:space="preserve"> </w:t>
      </w:r>
      <w:r w:rsidR="004D4A44" w:rsidRPr="000A1002">
        <w:rPr>
          <w:rFonts w:ascii="Times New Roman" w:hAnsi="Times New Roman" w:cs="Times New Roman"/>
          <w:b/>
          <w:bCs/>
          <w:sz w:val="24"/>
          <w:szCs w:val="24"/>
        </w:rPr>
        <w:t>3</w:t>
      </w:r>
      <w:r w:rsidR="009F6F16" w:rsidRPr="000A1002">
        <w:rPr>
          <w:rFonts w:ascii="Times New Roman" w:hAnsi="Times New Roman" w:cs="Times New Roman"/>
          <w:b/>
          <w:bCs/>
          <w:sz w:val="24"/>
          <w:szCs w:val="24"/>
        </w:rPr>
        <w:t>. % Improvers in Daily Hunger and Satiety</w:t>
      </w:r>
    </w:p>
    <w:tbl>
      <w:tblPr>
        <w:tblW w:w="0" w:type="auto"/>
        <w:tblCellMar>
          <w:top w:w="15" w:type="dxa"/>
          <w:left w:w="15" w:type="dxa"/>
          <w:bottom w:w="15" w:type="dxa"/>
          <w:right w:w="15" w:type="dxa"/>
        </w:tblCellMar>
        <w:tblLook w:val="04A0" w:firstRow="1" w:lastRow="0" w:firstColumn="1" w:lastColumn="0" w:noHBand="0" w:noVBand="1"/>
      </w:tblPr>
      <w:tblGrid>
        <w:gridCol w:w="3057"/>
        <w:gridCol w:w="1589"/>
        <w:gridCol w:w="1589"/>
        <w:gridCol w:w="1041"/>
      </w:tblGrid>
      <w:tr w:rsidR="009F6F16" w:rsidRPr="000A1002" w14:paraId="6F807BC0" w14:textId="77777777" w:rsidTr="009F6F16">
        <w:trPr>
          <w:trHeight w:val="8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6BC4EC0"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Daily Metric</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125BF58"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Mimio</w:t>
            </w:r>
          </w:p>
          <w:p w14:paraId="202A5129"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 Improved</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12786299"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Placebo</w:t>
            </w:r>
          </w:p>
          <w:p w14:paraId="2F6B3840"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 Improved</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F59B4F9"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p-value</w:t>
            </w:r>
          </w:p>
        </w:tc>
      </w:tr>
      <w:tr w:rsidR="009F6F16" w:rsidRPr="000A1002" w14:paraId="01596657" w14:textId="77777777" w:rsidTr="009F6F16">
        <w:trPr>
          <w:trHeight w:val="30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2F185B41"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Unhealthy Cravings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192AC"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65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4A3F5"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2AED1"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0.74</w:t>
            </w:r>
          </w:p>
        </w:tc>
      </w:tr>
      <w:tr w:rsidR="009F6F16" w:rsidRPr="000A1002" w14:paraId="209861C4" w14:textId="77777777" w:rsidTr="009F6F16">
        <w:trPr>
          <w:trHeight w:val="4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5DB7C5FC"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Eating Only When Hungry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33F18"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86C43"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42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E1996"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0.12</w:t>
            </w:r>
          </w:p>
        </w:tc>
      </w:tr>
      <w:tr w:rsidR="009F6F16" w:rsidRPr="000A1002" w14:paraId="143D7F26" w14:textId="77777777" w:rsidTr="009F6F16">
        <w:trPr>
          <w:trHeight w:val="4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10EB609E"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Distraction From Cravings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E63AA8"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50DC9"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63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E87D3"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0.75</w:t>
            </w:r>
          </w:p>
        </w:tc>
      </w:tr>
      <w:tr w:rsidR="009F6F16" w:rsidRPr="000A1002" w14:paraId="3D581014" w14:textId="77777777" w:rsidTr="009F6F16">
        <w:trPr>
          <w:trHeight w:val="4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164391F3"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Postprandial Satiety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2D325"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B114D"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C38F29"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0.75</w:t>
            </w:r>
          </w:p>
        </w:tc>
      </w:tr>
      <w:tr w:rsidR="009F6F16" w:rsidRPr="000A1002" w14:paraId="2D697CF1" w14:textId="77777777" w:rsidTr="009F6F16">
        <w:trPr>
          <w:trHeight w:val="408"/>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66DB697"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Mealtime Appetite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2AB33"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91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EB68C"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47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5DC55E"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0.0025</w:t>
            </w:r>
          </w:p>
        </w:tc>
      </w:tr>
      <w:tr w:rsidR="009F6F16" w:rsidRPr="000A1002" w14:paraId="06260E49" w14:textId="77777777" w:rsidTr="009F6F16">
        <w:trPr>
          <w:trHeight w:val="4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42EB0291"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lastRenderedPageBreak/>
              <w:t>Maximum Daily Hunger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E466C"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87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07D98"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58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EFA53"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0.04</w:t>
            </w:r>
          </w:p>
        </w:tc>
      </w:tr>
      <w:tr w:rsidR="009F6F16" w:rsidRPr="000A1002" w14:paraId="2B49670F" w14:textId="77777777" w:rsidTr="009F6F16">
        <w:trPr>
          <w:trHeight w:val="4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CFEA89C"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Overall Daily Hunger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75B50"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86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6E29A"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37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02649"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0.0011</w:t>
            </w:r>
          </w:p>
        </w:tc>
      </w:tr>
      <w:tr w:rsidR="009F6F16" w:rsidRPr="000A1002" w14:paraId="501199BD" w14:textId="77777777" w:rsidTr="009F6F16">
        <w:trPr>
          <w:trHeight w:val="470"/>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A036831"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Composite Score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C0ED0E"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52EFFB"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D2502" w14:textId="77777777" w:rsidR="009F6F16" w:rsidRPr="000A1002" w:rsidRDefault="009F6F16" w:rsidP="00645C58">
            <w:pPr>
              <w:rPr>
                <w:rFonts w:ascii="Times New Roman" w:hAnsi="Times New Roman" w:cs="Times New Roman"/>
                <w:b/>
                <w:bCs/>
                <w:sz w:val="24"/>
                <w:szCs w:val="24"/>
              </w:rPr>
            </w:pPr>
            <w:r w:rsidRPr="000A1002">
              <w:rPr>
                <w:rFonts w:ascii="Times New Roman" w:hAnsi="Times New Roman" w:cs="Times New Roman"/>
                <w:b/>
                <w:bCs/>
                <w:sz w:val="24"/>
                <w:szCs w:val="24"/>
              </w:rPr>
              <w:t>0.2</w:t>
            </w:r>
          </w:p>
        </w:tc>
      </w:tr>
    </w:tbl>
    <w:p w14:paraId="28BA05C2" w14:textId="19BC2283" w:rsidR="00333BA0" w:rsidRPr="000A1002" w:rsidRDefault="009F6F16" w:rsidP="00645C58">
      <w:pPr>
        <w:rPr>
          <w:rFonts w:ascii="Times New Roman" w:hAnsi="Times New Roman" w:cs="Times New Roman"/>
          <w:b/>
          <w:bCs/>
          <w:i/>
          <w:iCs/>
          <w:sz w:val="24"/>
          <w:szCs w:val="24"/>
        </w:rPr>
      </w:pPr>
      <w:r w:rsidRPr="000A1002">
        <w:rPr>
          <w:rFonts w:ascii="Times New Roman" w:hAnsi="Times New Roman" w:cs="Times New Roman"/>
          <w:b/>
          <w:bCs/>
          <w:sz w:val="24"/>
          <w:szCs w:val="24"/>
        </w:rPr>
        <w:t>*</w:t>
      </w:r>
      <w:r w:rsidRPr="000A1002">
        <w:rPr>
          <w:rFonts w:ascii="Times New Roman" w:hAnsi="Times New Roman" w:cs="Times New Roman"/>
          <w:b/>
          <w:bCs/>
          <w:i/>
          <w:iCs/>
          <w:sz w:val="24"/>
          <w:szCs w:val="24"/>
        </w:rPr>
        <w:t>Metrics with statistically significant differences are shown in bold. </w:t>
      </w:r>
    </w:p>
    <w:p w14:paraId="62292149" w14:textId="77777777" w:rsidR="00931B81" w:rsidRPr="000A1002" w:rsidRDefault="00931B81" w:rsidP="00645C58">
      <w:pPr>
        <w:rPr>
          <w:rFonts w:ascii="Times New Roman" w:hAnsi="Times New Roman" w:cs="Times New Roman"/>
          <w:b/>
          <w:bCs/>
          <w:sz w:val="24"/>
          <w:szCs w:val="24"/>
        </w:rPr>
      </w:pPr>
    </w:p>
    <w:p w14:paraId="0E426DF8" w14:textId="760039AC" w:rsidR="00931B81" w:rsidRPr="000A1002" w:rsidRDefault="00931B81"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Figure</w:t>
      </w:r>
      <w:r w:rsidR="00AB4C81" w:rsidRPr="000A1002">
        <w:rPr>
          <w:rFonts w:ascii="Times New Roman" w:hAnsi="Times New Roman" w:cs="Times New Roman"/>
          <w:b/>
          <w:bCs/>
          <w:sz w:val="24"/>
          <w:szCs w:val="24"/>
        </w:rPr>
        <w:t xml:space="preserve"> 2</w:t>
      </w:r>
      <w:r w:rsidRPr="000A1002">
        <w:rPr>
          <w:rFonts w:ascii="Times New Roman" w:hAnsi="Times New Roman" w:cs="Times New Roman"/>
          <w:b/>
          <w:bCs/>
          <w:sz w:val="24"/>
          <w:szCs w:val="24"/>
        </w:rPr>
        <w:t>. Weekly Digestive Metrics</w:t>
      </w:r>
      <w:r w:rsidR="00205B1F" w:rsidRPr="000A1002">
        <w:rPr>
          <w:rFonts w:ascii="Times New Roman" w:hAnsi="Times New Roman" w:cs="Times New Roman"/>
          <w:b/>
          <w:bCs/>
          <w:sz w:val="24"/>
          <w:szCs w:val="24"/>
        </w:rPr>
        <w:t xml:space="preserve"> at Week 8</w:t>
      </w:r>
      <w:r w:rsidRPr="000A1002">
        <w:rPr>
          <w:rFonts w:ascii="Times New Roman" w:hAnsi="Times New Roman" w:cs="Times New Roman"/>
          <w:b/>
          <w:bCs/>
          <w:sz w:val="24"/>
          <w:szCs w:val="24"/>
        </w:rPr>
        <w:t xml:space="preserve">. </w:t>
      </w:r>
    </w:p>
    <w:p w14:paraId="4F7044C2" w14:textId="6611303D" w:rsidR="00931B81" w:rsidRPr="000A1002" w:rsidRDefault="00205B1F" w:rsidP="00645C58">
      <w:pPr>
        <w:rPr>
          <w:rFonts w:ascii="Times New Roman" w:hAnsi="Times New Roman" w:cs="Times New Roman"/>
          <w:b/>
          <w:bCs/>
          <w:sz w:val="24"/>
          <w:szCs w:val="24"/>
        </w:rPr>
      </w:pPr>
      <w:r w:rsidRPr="000A1002">
        <w:rPr>
          <w:rFonts w:ascii="Times New Roman" w:hAnsi="Times New Roman" w:cs="Times New Roman"/>
          <w:b/>
          <w:bCs/>
          <w:noProof/>
          <w:sz w:val="24"/>
          <w:szCs w:val="24"/>
        </w:rPr>
        <w:drawing>
          <wp:inline distT="0" distB="0" distL="0" distR="0" wp14:anchorId="3C748D18" wp14:editId="593B0616">
            <wp:extent cx="5943600" cy="3216275"/>
            <wp:effectExtent l="0" t="0" r="0" b="3175"/>
            <wp:docPr id="171432946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29463" name="Picture 1" descr="A graph of different colored bars&#10;&#10;AI-generated content may be incorrect."/>
                    <pic:cNvPicPr/>
                  </pic:nvPicPr>
                  <pic:blipFill>
                    <a:blip r:embed="rId7"/>
                    <a:stretch>
                      <a:fillRect/>
                    </a:stretch>
                  </pic:blipFill>
                  <pic:spPr>
                    <a:xfrm>
                      <a:off x="0" y="0"/>
                      <a:ext cx="5943600" cy="3216275"/>
                    </a:xfrm>
                    <a:prstGeom prst="rect">
                      <a:avLst/>
                    </a:prstGeom>
                  </pic:spPr>
                </pic:pic>
              </a:graphicData>
            </a:graphic>
          </wp:inline>
        </w:drawing>
      </w:r>
    </w:p>
    <w:p w14:paraId="770B45E2" w14:textId="7689B4F7" w:rsidR="00205B1F" w:rsidRPr="000A1002" w:rsidRDefault="00205B1F" w:rsidP="00205B1F">
      <w:pPr>
        <w:rPr>
          <w:rFonts w:ascii="Times New Roman" w:hAnsi="Times New Roman" w:cs="Times New Roman"/>
          <w:sz w:val="24"/>
          <w:szCs w:val="24"/>
        </w:rPr>
      </w:pPr>
      <w:r w:rsidRPr="000A1002">
        <w:rPr>
          <w:rFonts w:ascii="Times New Roman" w:hAnsi="Times New Roman" w:cs="Times New Roman"/>
          <w:sz w:val="24"/>
          <w:szCs w:val="24"/>
        </w:rPr>
        <w:t>Supplemental Figure 2. Weekly Digestive Metrics at Week 8.</w:t>
      </w:r>
      <w:r w:rsidRPr="000A1002">
        <w:rPr>
          <w:rFonts w:ascii="Times New Roman" w:hAnsi="Times New Roman" w:cs="Times New Roman"/>
          <w:b/>
          <w:bCs/>
          <w:sz w:val="24"/>
          <w:szCs w:val="24"/>
        </w:rPr>
        <w:t xml:space="preserve"> </w:t>
      </w:r>
      <w:r w:rsidRPr="000A1002">
        <w:rPr>
          <w:rFonts w:ascii="Times New Roman" w:hAnsi="Times New Roman" w:cs="Times New Roman"/>
          <w:sz w:val="24"/>
          <w:szCs w:val="24"/>
        </w:rPr>
        <w:t>Distribution of categorical responses for Mimio (red) and placebo (yellow) participants’ bloating, bowel movement type, frequency of gas, frequency of nausea and frequency of abdominal pain. Percentages represent the percent of that cohort that gave a given response. P-values represent Mann-Whitney U tests for difference in distributions between Mimio and placebo.</w:t>
      </w:r>
    </w:p>
    <w:p w14:paraId="14A75BA1" w14:textId="6592F568" w:rsidR="00931B81" w:rsidRPr="000A1002" w:rsidRDefault="00931B81" w:rsidP="00645C58">
      <w:pPr>
        <w:rPr>
          <w:rFonts w:ascii="Times New Roman" w:hAnsi="Times New Roman" w:cs="Times New Roman"/>
          <w:b/>
          <w:bCs/>
          <w:sz w:val="24"/>
          <w:szCs w:val="24"/>
        </w:rPr>
      </w:pPr>
    </w:p>
    <w:p w14:paraId="3BB141D5" w14:textId="08477AC4" w:rsidR="00931B81" w:rsidRPr="000A1002" w:rsidRDefault="00931B81"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Figure</w:t>
      </w:r>
      <w:r w:rsidR="00AB4C81" w:rsidRPr="000A1002">
        <w:rPr>
          <w:rFonts w:ascii="Times New Roman" w:hAnsi="Times New Roman" w:cs="Times New Roman"/>
          <w:b/>
          <w:bCs/>
          <w:sz w:val="24"/>
          <w:szCs w:val="24"/>
        </w:rPr>
        <w:t xml:space="preserve"> 3. </w:t>
      </w:r>
      <w:r w:rsidRPr="000A1002">
        <w:rPr>
          <w:rFonts w:ascii="Times New Roman" w:hAnsi="Times New Roman" w:cs="Times New Roman"/>
          <w:b/>
          <w:bCs/>
          <w:sz w:val="24"/>
          <w:szCs w:val="24"/>
        </w:rPr>
        <w:t>Other Weekly Metrics</w:t>
      </w:r>
      <w:r w:rsidR="00205B1F" w:rsidRPr="000A1002">
        <w:rPr>
          <w:rFonts w:ascii="Times New Roman" w:hAnsi="Times New Roman" w:cs="Times New Roman"/>
          <w:b/>
          <w:bCs/>
          <w:sz w:val="24"/>
          <w:szCs w:val="24"/>
        </w:rPr>
        <w:t xml:space="preserve"> at Week 8</w:t>
      </w:r>
    </w:p>
    <w:p w14:paraId="147CDC8F" w14:textId="7C9D40E8" w:rsidR="00931B81" w:rsidRPr="000A1002" w:rsidRDefault="00931B81" w:rsidP="00645C58">
      <w:pPr>
        <w:rPr>
          <w:rFonts w:ascii="Times New Roman" w:hAnsi="Times New Roman" w:cs="Times New Roman"/>
          <w:b/>
          <w:bCs/>
          <w:sz w:val="24"/>
          <w:szCs w:val="24"/>
        </w:rPr>
      </w:pPr>
      <w:r w:rsidRPr="000A1002">
        <w:rPr>
          <w:noProof/>
        </w:rPr>
        <w:lastRenderedPageBreak/>
        <w:drawing>
          <wp:inline distT="0" distB="0" distL="0" distR="0" wp14:anchorId="7984791B" wp14:editId="28461F39">
            <wp:extent cx="5943600" cy="2763476"/>
            <wp:effectExtent l="0" t="0" r="0" b="0"/>
            <wp:docPr id="102037388" name="Picture 7"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7388" name="Picture 7" descr="A graph of different colored bars&#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026"/>
                    <a:stretch/>
                  </pic:blipFill>
                  <pic:spPr bwMode="auto">
                    <a:xfrm>
                      <a:off x="0" y="0"/>
                      <a:ext cx="5943600" cy="2763476"/>
                    </a:xfrm>
                    <a:prstGeom prst="rect">
                      <a:avLst/>
                    </a:prstGeom>
                    <a:noFill/>
                    <a:ln>
                      <a:noFill/>
                    </a:ln>
                    <a:extLst>
                      <a:ext uri="{53640926-AAD7-44D8-BBD7-CCE9431645EC}">
                        <a14:shadowObscured xmlns:a14="http://schemas.microsoft.com/office/drawing/2010/main"/>
                      </a:ext>
                    </a:extLst>
                  </pic:spPr>
                </pic:pic>
              </a:graphicData>
            </a:graphic>
          </wp:inline>
        </w:drawing>
      </w:r>
    </w:p>
    <w:p w14:paraId="2CA03A55" w14:textId="7D218537" w:rsidR="00205B1F" w:rsidRPr="000A1002" w:rsidRDefault="00205B1F" w:rsidP="00645C58">
      <w:pPr>
        <w:rPr>
          <w:rFonts w:ascii="Times New Roman" w:hAnsi="Times New Roman" w:cs="Times New Roman"/>
          <w:sz w:val="24"/>
          <w:szCs w:val="24"/>
        </w:rPr>
      </w:pPr>
      <w:r w:rsidRPr="000A1002">
        <w:rPr>
          <w:rFonts w:ascii="Times New Roman" w:hAnsi="Times New Roman" w:cs="Times New Roman"/>
          <w:sz w:val="24"/>
          <w:szCs w:val="24"/>
        </w:rPr>
        <w:t>Supplemental Figure 3. Other Weekly Metrics at Week 8.</w:t>
      </w:r>
      <w:r w:rsidRPr="000A1002">
        <w:rPr>
          <w:rFonts w:ascii="Times New Roman" w:hAnsi="Times New Roman" w:cs="Times New Roman"/>
          <w:b/>
          <w:bCs/>
          <w:sz w:val="24"/>
          <w:szCs w:val="24"/>
        </w:rPr>
        <w:t xml:space="preserve"> </w:t>
      </w:r>
      <w:r w:rsidRPr="000A1002">
        <w:rPr>
          <w:rFonts w:ascii="Times New Roman" w:hAnsi="Times New Roman" w:cs="Times New Roman"/>
          <w:sz w:val="24"/>
          <w:szCs w:val="24"/>
        </w:rPr>
        <w:t>Distribution of categorical responses for Mimio (red) and placebo (yellow) participants’ sleep duration, sleep quality, anxiety, contentedness, low mood, food noise, subjective stress and subjective energy. Percentages represent the percent of that cohort that gave a given response. P-values represent Mann-Whitney U tests for difference in distributions between Mimio and placebo.</w:t>
      </w:r>
    </w:p>
    <w:p w14:paraId="1C38F75F" w14:textId="689F15CA" w:rsidR="00AB4C81" w:rsidRPr="000A1002" w:rsidRDefault="00AB4C81" w:rsidP="00AB4C81">
      <w:pPr>
        <w:rPr>
          <w:rFonts w:ascii="Times New Roman" w:hAnsi="Times New Roman" w:cs="Times New Roman"/>
          <w:sz w:val="24"/>
          <w:szCs w:val="24"/>
        </w:rPr>
      </w:pPr>
      <w:r w:rsidRPr="000A1002">
        <w:rPr>
          <w:rFonts w:ascii="Times New Roman" w:hAnsi="Times New Roman" w:cs="Times New Roman"/>
          <w:b/>
          <w:bCs/>
          <w:sz w:val="24"/>
          <w:szCs w:val="24"/>
        </w:rPr>
        <w:t xml:space="preserve">Adverse Events. </w:t>
      </w:r>
      <w:r w:rsidRPr="000A1002">
        <w:rPr>
          <w:rFonts w:ascii="Times New Roman" w:hAnsi="Times New Roman" w:cs="Times New Roman"/>
          <w:sz w:val="24"/>
          <w:szCs w:val="24"/>
        </w:rPr>
        <w:t xml:space="preserve">6 AEs occurred during the study, 11 in the Mimio group and 10 in the Placebo group. Only 1 AE, a case of mild diarrhea, occurred during product use in the Mimio group and was considered possibly attributable to the intervention. By comparison, 5 digestive AEs occurred in the Placebo group. Please see Supplemental Table </w:t>
      </w:r>
      <w:r w:rsidR="006D3508">
        <w:rPr>
          <w:rFonts w:ascii="Times New Roman" w:hAnsi="Times New Roman" w:cs="Times New Roman"/>
          <w:sz w:val="24"/>
          <w:szCs w:val="24"/>
        </w:rPr>
        <w:t>4</w:t>
      </w:r>
      <w:r w:rsidRPr="000A1002">
        <w:rPr>
          <w:rFonts w:ascii="Times New Roman" w:hAnsi="Times New Roman" w:cs="Times New Roman"/>
          <w:sz w:val="24"/>
          <w:szCs w:val="24"/>
        </w:rPr>
        <w:t xml:space="preserve"> for all categorized AEs. There were 2 SAEs unrelated to product use (counted under “Other”). One was a case of cellulitis that required hospitalization and IV medication in the Mimio group. The other was a heart attack in the placebo group. 2 additional AEs were categorized as “Other”, and none were attributed to the study intervention. These were a recurrence of leg pain in the Mimio group and a case of lightheadedness in the placebo group.</w:t>
      </w:r>
    </w:p>
    <w:p w14:paraId="5076BEB1" w14:textId="77777777" w:rsidR="00AB4C81" w:rsidRPr="000A1002" w:rsidRDefault="00AB4C81" w:rsidP="00AB4C81">
      <w:pPr>
        <w:rPr>
          <w:rFonts w:ascii="Times New Roman" w:hAnsi="Times New Roman" w:cs="Times New Roman"/>
          <w:b/>
          <w:bCs/>
          <w:sz w:val="24"/>
          <w:szCs w:val="24"/>
        </w:rPr>
      </w:pPr>
    </w:p>
    <w:p w14:paraId="767E7B91" w14:textId="67F6DF45" w:rsidR="00AB4C81" w:rsidRPr="000A1002" w:rsidRDefault="00AB4C81" w:rsidP="00AB4C81">
      <w:pPr>
        <w:rPr>
          <w:rFonts w:ascii="Times New Roman" w:hAnsi="Times New Roman" w:cs="Times New Roman"/>
          <w:b/>
          <w:bCs/>
          <w:sz w:val="24"/>
          <w:szCs w:val="24"/>
        </w:rPr>
      </w:pPr>
      <w:r w:rsidRPr="000A1002">
        <w:rPr>
          <w:rFonts w:ascii="Times New Roman" w:hAnsi="Times New Roman" w:cs="Times New Roman"/>
          <w:b/>
          <w:bCs/>
          <w:sz w:val="24"/>
          <w:szCs w:val="24"/>
        </w:rPr>
        <w:t xml:space="preserve">Supplemental Table </w:t>
      </w:r>
      <w:r w:rsidR="00142711" w:rsidRPr="000A1002">
        <w:rPr>
          <w:rFonts w:ascii="Times New Roman" w:hAnsi="Times New Roman" w:cs="Times New Roman"/>
          <w:b/>
          <w:bCs/>
          <w:sz w:val="24"/>
          <w:szCs w:val="24"/>
        </w:rPr>
        <w:t>4</w:t>
      </w:r>
      <w:r w:rsidRPr="000A1002">
        <w:rPr>
          <w:rFonts w:ascii="Times New Roman" w:hAnsi="Times New Roman" w:cs="Times New Roman"/>
          <w:b/>
          <w:bCs/>
          <w:sz w:val="24"/>
          <w:szCs w:val="24"/>
        </w:rPr>
        <w:t>. Adverse Events. </w:t>
      </w:r>
    </w:p>
    <w:tbl>
      <w:tblPr>
        <w:tblW w:w="0" w:type="auto"/>
        <w:tblCellMar>
          <w:top w:w="15" w:type="dxa"/>
          <w:left w:w="15" w:type="dxa"/>
          <w:bottom w:w="15" w:type="dxa"/>
          <w:right w:w="15" w:type="dxa"/>
        </w:tblCellMar>
        <w:tblLook w:val="04A0" w:firstRow="1" w:lastRow="0" w:firstColumn="1" w:lastColumn="0" w:noHBand="0" w:noVBand="1"/>
      </w:tblPr>
      <w:tblGrid>
        <w:gridCol w:w="1701"/>
        <w:gridCol w:w="960"/>
        <w:gridCol w:w="1080"/>
      </w:tblGrid>
      <w:tr w:rsidR="00AB4C81" w:rsidRPr="000A1002" w14:paraId="56D1A97E" w14:textId="77777777">
        <w:trPr>
          <w:trHeight w:val="569"/>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6D575FC3"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AE Type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4C019FDE"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Mimio</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55EF45E"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Placebo</w:t>
            </w:r>
          </w:p>
        </w:tc>
      </w:tr>
      <w:tr w:rsidR="00AB4C81" w:rsidRPr="000A1002" w14:paraId="7F02FE8D" w14:textId="77777777">
        <w:trPr>
          <w:trHeight w:val="376"/>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44601D9E"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Digestive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65CFDE2"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28848585"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5</w:t>
            </w:r>
          </w:p>
        </w:tc>
      </w:tr>
      <w:tr w:rsidR="00AB4C81" w:rsidRPr="000A1002" w14:paraId="4736B267" w14:textId="77777777">
        <w:trPr>
          <w:trHeight w:val="569"/>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0EC731D"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Diarrhea</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A08FE2B"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460BA145"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3</w:t>
            </w:r>
          </w:p>
        </w:tc>
      </w:tr>
      <w:tr w:rsidR="00AB4C81" w:rsidRPr="000A1002" w14:paraId="42A31B3E" w14:textId="77777777">
        <w:trPr>
          <w:trHeight w:val="569"/>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1866E732"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lastRenderedPageBreak/>
              <w:t>Stomach Pain</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EC03178"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0</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6E36AD4B"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2</w:t>
            </w:r>
          </w:p>
        </w:tc>
      </w:tr>
      <w:tr w:rsidR="00AB4C81" w:rsidRPr="000A1002" w14:paraId="20E40F68" w14:textId="77777777">
        <w:trPr>
          <w:trHeight w:val="569"/>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6590340"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Gas</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1FDE6D0B"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0</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3309FAB7"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1</w:t>
            </w:r>
          </w:p>
        </w:tc>
      </w:tr>
      <w:tr w:rsidR="00AB4C81" w:rsidRPr="000A1002" w14:paraId="0ED10ABC" w14:textId="77777777">
        <w:trPr>
          <w:trHeight w:val="544"/>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682FC2D9"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Headache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B52F645"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8BE7D14"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0</w:t>
            </w:r>
          </w:p>
        </w:tc>
      </w:tr>
      <w:tr w:rsidR="00AB4C81" w:rsidRPr="000A1002" w14:paraId="21566E21" w14:textId="77777777">
        <w:trPr>
          <w:trHeight w:val="544"/>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495970E"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Cold or Flu</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9D0B5DF"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56DE1848"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3</w:t>
            </w:r>
          </w:p>
        </w:tc>
      </w:tr>
      <w:tr w:rsidR="00AB4C81" w:rsidRPr="000A1002" w14:paraId="42449A2E" w14:textId="77777777">
        <w:trPr>
          <w:trHeight w:val="544"/>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BCBB804"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Allergy</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215F24A2"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0</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5A0D10A6"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1</w:t>
            </w:r>
          </w:p>
        </w:tc>
      </w:tr>
      <w:tr w:rsidR="00AB4C81" w:rsidRPr="000A1002" w14:paraId="27720306" w14:textId="77777777">
        <w:trPr>
          <w:trHeight w:val="544"/>
        </w:trPr>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5CDBA370"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Other</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7119D986"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hideMark/>
          </w:tcPr>
          <w:p w14:paraId="07BAE1B8" w14:textId="77777777" w:rsidR="00AB4C81" w:rsidRPr="000A1002" w:rsidRDefault="00AB4C81">
            <w:pPr>
              <w:rPr>
                <w:rFonts w:ascii="Times New Roman" w:hAnsi="Times New Roman" w:cs="Times New Roman"/>
                <w:b/>
                <w:bCs/>
                <w:sz w:val="24"/>
                <w:szCs w:val="24"/>
              </w:rPr>
            </w:pPr>
            <w:r w:rsidRPr="000A1002">
              <w:rPr>
                <w:rFonts w:ascii="Times New Roman" w:hAnsi="Times New Roman" w:cs="Times New Roman"/>
                <w:b/>
                <w:bCs/>
                <w:sz w:val="24"/>
                <w:szCs w:val="24"/>
              </w:rPr>
              <w:t>2</w:t>
            </w:r>
          </w:p>
        </w:tc>
      </w:tr>
    </w:tbl>
    <w:p w14:paraId="2A7DFE0B" w14:textId="77777777" w:rsidR="00A52DF9" w:rsidRPr="000A1002" w:rsidRDefault="00A52DF9" w:rsidP="00645C58">
      <w:pPr>
        <w:rPr>
          <w:rFonts w:ascii="Times New Roman" w:hAnsi="Times New Roman" w:cs="Times New Roman"/>
          <w:b/>
          <w:bCs/>
          <w:sz w:val="24"/>
          <w:szCs w:val="24"/>
        </w:rPr>
      </w:pPr>
    </w:p>
    <w:p w14:paraId="78590473" w14:textId="78AC9543" w:rsidR="00A52DF9" w:rsidRPr="000A1002" w:rsidRDefault="00A52DF9"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Figure</w:t>
      </w:r>
      <w:r w:rsidR="0013351C" w:rsidRPr="000A1002">
        <w:rPr>
          <w:rFonts w:ascii="Times New Roman" w:hAnsi="Times New Roman" w:cs="Times New Roman"/>
          <w:b/>
          <w:bCs/>
          <w:sz w:val="24"/>
          <w:szCs w:val="24"/>
        </w:rPr>
        <w:t xml:space="preserve"> 4</w:t>
      </w:r>
      <w:r w:rsidRPr="000A1002">
        <w:rPr>
          <w:rFonts w:ascii="Times New Roman" w:hAnsi="Times New Roman" w:cs="Times New Roman"/>
          <w:b/>
          <w:bCs/>
          <w:sz w:val="24"/>
          <w:szCs w:val="24"/>
        </w:rPr>
        <w:t xml:space="preserve">. </w:t>
      </w:r>
      <w:r w:rsidR="00205B1F" w:rsidRPr="000A1002">
        <w:rPr>
          <w:rFonts w:ascii="Times New Roman" w:hAnsi="Times New Roman" w:cs="Times New Roman"/>
          <w:b/>
          <w:bCs/>
          <w:sz w:val="24"/>
          <w:szCs w:val="24"/>
        </w:rPr>
        <w:t>Three Factor Eating Questionnaire (TFEQ-18) Score Change at Week 8.</w:t>
      </w:r>
    </w:p>
    <w:p w14:paraId="735121F2" w14:textId="126D7AF2" w:rsidR="00A52DF9" w:rsidRPr="000A1002" w:rsidRDefault="00A52DF9" w:rsidP="00645C58">
      <w:pPr>
        <w:rPr>
          <w:rFonts w:ascii="Times New Roman" w:hAnsi="Times New Roman" w:cs="Times New Roman"/>
          <w:b/>
          <w:bCs/>
          <w:sz w:val="24"/>
          <w:szCs w:val="24"/>
        </w:rPr>
      </w:pPr>
      <w:r w:rsidRPr="000A1002">
        <w:rPr>
          <w:noProof/>
        </w:rPr>
        <w:drawing>
          <wp:inline distT="0" distB="0" distL="0" distR="0" wp14:anchorId="0F188FD2" wp14:editId="3A13D4C1">
            <wp:extent cx="5943600" cy="2231515"/>
            <wp:effectExtent l="0" t="0" r="0" b="0"/>
            <wp:docPr id="931671768" name="Picture 5"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71768" name="Picture 5" descr="A diagram of different colored squares&#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150"/>
                    <a:stretch/>
                  </pic:blipFill>
                  <pic:spPr bwMode="auto">
                    <a:xfrm>
                      <a:off x="0" y="0"/>
                      <a:ext cx="5943600" cy="2231515"/>
                    </a:xfrm>
                    <a:prstGeom prst="rect">
                      <a:avLst/>
                    </a:prstGeom>
                    <a:noFill/>
                    <a:ln>
                      <a:noFill/>
                    </a:ln>
                    <a:extLst>
                      <a:ext uri="{53640926-AAD7-44D8-BBD7-CCE9431645EC}">
                        <a14:shadowObscured xmlns:a14="http://schemas.microsoft.com/office/drawing/2010/main"/>
                      </a:ext>
                    </a:extLst>
                  </pic:spPr>
                </pic:pic>
              </a:graphicData>
            </a:graphic>
          </wp:inline>
        </w:drawing>
      </w:r>
    </w:p>
    <w:p w14:paraId="27C86442" w14:textId="5B640DB2" w:rsidR="0013351C" w:rsidRPr="000A1002" w:rsidRDefault="00205B1F" w:rsidP="00205B1F">
      <w:pPr>
        <w:jc w:val="both"/>
        <w:rPr>
          <w:rFonts w:ascii="Times New Roman" w:hAnsi="Times New Roman" w:cs="Times New Roman"/>
          <w:b/>
          <w:bCs/>
          <w:sz w:val="24"/>
          <w:szCs w:val="24"/>
        </w:rPr>
      </w:pPr>
      <w:r w:rsidRPr="000A1002">
        <w:rPr>
          <w:rFonts w:ascii="Times New Roman" w:hAnsi="Times New Roman" w:cs="Times New Roman"/>
          <w:sz w:val="24"/>
          <w:szCs w:val="24"/>
        </w:rPr>
        <w:t>Supplemental Figure 4.</w:t>
      </w:r>
      <w:r w:rsidRPr="000A1002">
        <w:rPr>
          <w:rFonts w:ascii="Times New Roman" w:hAnsi="Times New Roman" w:cs="Times New Roman"/>
          <w:b/>
          <w:bCs/>
          <w:sz w:val="24"/>
          <w:szCs w:val="24"/>
        </w:rPr>
        <w:t xml:space="preserve"> </w:t>
      </w:r>
      <w:r w:rsidRPr="000A1002">
        <w:rPr>
          <w:rFonts w:ascii="Times New Roman" w:hAnsi="Times New Roman" w:cs="Times New Roman"/>
          <w:sz w:val="24"/>
          <w:szCs w:val="24"/>
        </w:rPr>
        <w:t>Three Factor Eating Questionnaire (TFEQ-18) Score Change at Week 8. Box and whisker plots of change from baseline TFEQ-18 score to week 8 score in Mimio (red) and placebo (yellow) participants. Individual dots represent individual participants’ data.</w:t>
      </w:r>
    </w:p>
    <w:p w14:paraId="1726CFF8" w14:textId="2AA25662" w:rsidR="0013351C" w:rsidRPr="000A1002" w:rsidRDefault="0013351C" w:rsidP="00645C58">
      <w:pPr>
        <w:rPr>
          <w:rFonts w:ascii="Times New Roman" w:hAnsi="Times New Roman" w:cs="Times New Roman"/>
          <w:b/>
          <w:bCs/>
          <w:sz w:val="24"/>
          <w:szCs w:val="24"/>
        </w:rPr>
      </w:pPr>
      <w:r w:rsidRPr="000A1002">
        <w:rPr>
          <w:rFonts w:ascii="Times New Roman" w:hAnsi="Times New Roman" w:cs="Times New Roman"/>
          <w:b/>
          <w:bCs/>
          <w:sz w:val="24"/>
          <w:szCs w:val="24"/>
        </w:rPr>
        <w:t>Supplemental Figure 5. Three Factor Eating Questionnaire (TFEQ-18) Scores Over Time</w:t>
      </w:r>
    </w:p>
    <w:p w14:paraId="310E131C" w14:textId="2516AD41" w:rsidR="00A52DF9" w:rsidRPr="000A1002" w:rsidRDefault="00A52DF9" w:rsidP="00645C58">
      <w:pPr>
        <w:rPr>
          <w:rFonts w:ascii="Times New Roman" w:hAnsi="Times New Roman" w:cs="Times New Roman"/>
          <w:b/>
          <w:bCs/>
          <w:sz w:val="24"/>
          <w:szCs w:val="24"/>
        </w:rPr>
      </w:pPr>
      <w:r w:rsidRPr="000A1002">
        <w:rPr>
          <w:noProof/>
        </w:rPr>
        <w:lastRenderedPageBreak/>
        <w:drawing>
          <wp:inline distT="0" distB="0" distL="0" distR="0" wp14:anchorId="3DE6DEDC" wp14:editId="50AFC422">
            <wp:extent cx="5943600" cy="7153275"/>
            <wp:effectExtent l="0" t="0" r="0" b="9525"/>
            <wp:docPr id="464416027" name="Picture 4" descr="A group of graphs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16027" name="Picture 4" descr="A group of graphs showing different colored lin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153275"/>
                    </a:xfrm>
                    <a:prstGeom prst="rect">
                      <a:avLst/>
                    </a:prstGeom>
                    <a:noFill/>
                    <a:ln>
                      <a:noFill/>
                    </a:ln>
                  </pic:spPr>
                </pic:pic>
              </a:graphicData>
            </a:graphic>
          </wp:inline>
        </w:drawing>
      </w:r>
    </w:p>
    <w:p w14:paraId="704085AF" w14:textId="4CC95727" w:rsidR="00A52DF9" w:rsidRPr="000A1002" w:rsidRDefault="0013351C" w:rsidP="00645C58">
      <w:pPr>
        <w:rPr>
          <w:rFonts w:ascii="Times New Roman" w:hAnsi="Times New Roman" w:cs="Times New Roman"/>
          <w:sz w:val="24"/>
          <w:szCs w:val="24"/>
        </w:rPr>
      </w:pPr>
      <w:r w:rsidRPr="000A1002">
        <w:rPr>
          <w:rFonts w:ascii="Times New Roman" w:hAnsi="Times New Roman" w:cs="Times New Roman"/>
          <w:sz w:val="24"/>
          <w:szCs w:val="24"/>
        </w:rPr>
        <w:t>Supplemental Figure 5. TFEQ-18 Scores Over Time. Mean with shaded SEM scores are shown from Week 0 (baseline) through 8 weeks of product or placebo use. Cognitive restraint (top), uncontrolled eating (middle) and emotional eating (bottom) components of the TFEQ-18 are shown separately. Mimio is shown in red and placebo in yellow. Trend lines are graphed for each subcomponent.</w:t>
      </w:r>
    </w:p>
    <w:p w14:paraId="4B5D9E98" w14:textId="3B5EAA64" w:rsidR="00A52DF9" w:rsidRPr="000A1002" w:rsidRDefault="00A52DF9" w:rsidP="00645C58">
      <w:pPr>
        <w:rPr>
          <w:rFonts w:ascii="Times New Roman" w:hAnsi="Times New Roman" w:cs="Times New Roman"/>
          <w:b/>
          <w:bCs/>
          <w:sz w:val="24"/>
          <w:szCs w:val="24"/>
        </w:rPr>
      </w:pPr>
      <w:r w:rsidRPr="000A1002">
        <w:rPr>
          <w:rFonts w:ascii="Times New Roman" w:hAnsi="Times New Roman" w:cs="Times New Roman"/>
          <w:b/>
          <w:bCs/>
          <w:sz w:val="24"/>
          <w:szCs w:val="24"/>
        </w:rPr>
        <w:lastRenderedPageBreak/>
        <w:t>Supplemental Figure</w:t>
      </w:r>
      <w:r w:rsidR="00873FBE" w:rsidRPr="000A1002">
        <w:rPr>
          <w:rFonts w:ascii="Times New Roman" w:hAnsi="Times New Roman" w:cs="Times New Roman"/>
          <w:b/>
          <w:bCs/>
          <w:sz w:val="24"/>
          <w:szCs w:val="24"/>
        </w:rPr>
        <w:t xml:space="preserve"> 6</w:t>
      </w:r>
      <w:r w:rsidRPr="000A1002">
        <w:rPr>
          <w:rFonts w:ascii="Times New Roman" w:hAnsi="Times New Roman" w:cs="Times New Roman"/>
          <w:b/>
          <w:bCs/>
          <w:sz w:val="24"/>
          <w:szCs w:val="24"/>
        </w:rPr>
        <w:t>. Cognitive Failures Questionnaire</w:t>
      </w:r>
    </w:p>
    <w:p w14:paraId="690AE4AD" w14:textId="5F1878BE" w:rsidR="00A52DF9" w:rsidRPr="000A1002" w:rsidRDefault="00A52DF9" w:rsidP="00645C58">
      <w:pPr>
        <w:rPr>
          <w:rFonts w:ascii="Times New Roman" w:hAnsi="Times New Roman" w:cs="Times New Roman"/>
          <w:b/>
          <w:bCs/>
          <w:sz w:val="24"/>
          <w:szCs w:val="24"/>
        </w:rPr>
      </w:pPr>
      <w:r w:rsidRPr="000A1002">
        <w:rPr>
          <w:noProof/>
        </w:rPr>
        <w:drawing>
          <wp:inline distT="0" distB="0" distL="0" distR="0" wp14:anchorId="7F2211EC" wp14:editId="17D642A5">
            <wp:extent cx="5943600" cy="3529965"/>
            <wp:effectExtent l="0" t="0" r="0" b="0"/>
            <wp:docPr id="1091562948" name="Picture 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62948" name="Picture 3" descr="A graph of a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529965"/>
                    </a:xfrm>
                    <a:prstGeom prst="rect">
                      <a:avLst/>
                    </a:prstGeom>
                    <a:noFill/>
                    <a:ln>
                      <a:noFill/>
                    </a:ln>
                  </pic:spPr>
                </pic:pic>
              </a:graphicData>
            </a:graphic>
          </wp:inline>
        </w:drawing>
      </w:r>
    </w:p>
    <w:p w14:paraId="28945E56" w14:textId="1B17BCEA" w:rsidR="00645C58" w:rsidRPr="0013351C" w:rsidRDefault="0013351C" w:rsidP="00645C58">
      <w:pPr>
        <w:rPr>
          <w:rFonts w:ascii="Times New Roman" w:hAnsi="Times New Roman" w:cs="Times New Roman"/>
          <w:sz w:val="24"/>
          <w:szCs w:val="24"/>
        </w:rPr>
      </w:pPr>
      <w:r w:rsidRPr="000A1002">
        <w:rPr>
          <w:rFonts w:ascii="Times New Roman" w:hAnsi="Times New Roman" w:cs="Times New Roman"/>
          <w:sz w:val="24"/>
          <w:szCs w:val="24"/>
        </w:rPr>
        <w:t>Supplemental Figure 6. Cognitive Failures Questionnaire. Mean with shaded SEM weekly CFQ score in Mimio (red) and placebo (yellow)</w:t>
      </w:r>
      <w:r w:rsidR="00205B1F" w:rsidRPr="000A1002">
        <w:rPr>
          <w:rFonts w:ascii="Times New Roman" w:hAnsi="Times New Roman" w:cs="Times New Roman"/>
          <w:sz w:val="24"/>
          <w:szCs w:val="24"/>
        </w:rPr>
        <w:t xml:space="preserve"> from baseline (0) to week 8 of Mimio/placebo use.</w:t>
      </w:r>
    </w:p>
    <w:sectPr w:rsidR="00645C58" w:rsidRPr="001335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46D78"/>
    <w:multiLevelType w:val="multilevel"/>
    <w:tmpl w:val="B09245D4"/>
    <w:lvl w:ilvl="0">
      <w:start w:val="1"/>
      <w:numFmt w:val="decimal"/>
      <w:lvlText w:val="___ %1."/>
      <w:lvlJc w:val="left"/>
      <w:pPr>
        <w:ind w:left="1800" w:hanging="360"/>
      </w:pPr>
    </w:lvl>
    <w:lvl w:ilvl="1">
      <w:start w:val="1"/>
      <w:numFmt w:val="lowerLetter"/>
      <w:lvlText w:val="%2."/>
      <w:lvlJc w:val="left"/>
      <w:pPr>
        <w:ind w:left="801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74583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F16"/>
    <w:rsid w:val="000142F9"/>
    <w:rsid w:val="000A1002"/>
    <w:rsid w:val="0013351C"/>
    <w:rsid w:val="00142711"/>
    <w:rsid w:val="00153E10"/>
    <w:rsid w:val="00205B1F"/>
    <w:rsid w:val="00331206"/>
    <w:rsid w:val="00333BA0"/>
    <w:rsid w:val="00342F78"/>
    <w:rsid w:val="0034506C"/>
    <w:rsid w:val="00402DA8"/>
    <w:rsid w:val="00420785"/>
    <w:rsid w:val="004D4A44"/>
    <w:rsid w:val="004E476A"/>
    <w:rsid w:val="00536E25"/>
    <w:rsid w:val="00550E37"/>
    <w:rsid w:val="005D539F"/>
    <w:rsid w:val="006100A9"/>
    <w:rsid w:val="00645C58"/>
    <w:rsid w:val="00650CCA"/>
    <w:rsid w:val="006D3508"/>
    <w:rsid w:val="007D36A2"/>
    <w:rsid w:val="007E24F8"/>
    <w:rsid w:val="007E2A49"/>
    <w:rsid w:val="00873FBE"/>
    <w:rsid w:val="008925C9"/>
    <w:rsid w:val="00907FAD"/>
    <w:rsid w:val="00931B81"/>
    <w:rsid w:val="00970715"/>
    <w:rsid w:val="009F6F16"/>
    <w:rsid w:val="00A01E68"/>
    <w:rsid w:val="00A363C6"/>
    <w:rsid w:val="00A52DF9"/>
    <w:rsid w:val="00AB4C81"/>
    <w:rsid w:val="00AF53C0"/>
    <w:rsid w:val="00C42528"/>
    <w:rsid w:val="00D96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3E9B5"/>
  <w15:chartTrackingRefBased/>
  <w15:docId w15:val="{DD23625B-05DF-4F07-A4FE-C1D99513D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F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6F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6F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6F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6F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6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F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6F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6F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6F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6F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6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F16"/>
    <w:rPr>
      <w:rFonts w:eastAsiaTheme="majorEastAsia" w:cstheme="majorBidi"/>
      <w:color w:val="272727" w:themeColor="text1" w:themeTint="D8"/>
    </w:rPr>
  </w:style>
  <w:style w:type="paragraph" w:styleId="Title">
    <w:name w:val="Title"/>
    <w:basedOn w:val="Normal"/>
    <w:next w:val="Normal"/>
    <w:link w:val="TitleChar"/>
    <w:uiPriority w:val="10"/>
    <w:qFormat/>
    <w:rsid w:val="009F6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F16"/>
    <w:pPr>
      <w:spacing w:before="160"/>
      <w:jc w:val="center"/>
    </w:pPr>
    <w:rPr>
      <w:i/>
      <w:iCs/>
      <w:color w:val="404040" w:themeColor="text1" w:themeTint="BF"/>
    </w:rPr>
  </w:style>
  <w:style w:type="character" w:customStyle="1" w:styleId="QuoteChar">
    <w:name w:val="Quote Char"/>
    <w:basedOn w:val="DefaultParagraphFont"/>
    <w:link w:val="Quote"/>
    <w:uiPriority w:val="29"/>
    <w:rsid w:val="009F6F16"/>
    <w:rPr>
      <w:i/>
      <w:iCs/>
      <w:color w:val="404040" w:themeColor="text1" w:themeTint="BF"/>
    </w:rPr>
  </w:style>
  <w:style w:type="paragraph" w:styleId="ListParagraph">
    <w:name w:val="List Paragraph"/>
    <w:basedOn w:val="Normal"/>
    <w:uiPriority w:val="34"/>
    <w:qFormat/>
    <w:rsid w:val="009F6F16"/>
    <w:pPr>
      <w:ind w:left="720"/>
      <w:contextualSpacing/>
    </w:pPr>
  </w:style>
  <w:style w:type="character" w:styleId="IntenseEmphasis">
    <w:name w:val="Intense Emphasis"/>
    <w:basedOn w:val="DefaultParagraphFont"/>
    <w:uiPriority w:val="21"/>
    <w:qFormat/>
    <w:rsid w:val="009F6F16"/>
    <w:rPr>
      <w:i/>
      <w:iCs/>
      <w:color w:val="2F5496" w:themeColor="accent1" w:themeShade="BF"/>
    </w:rPr>
  </w:style>
  <w:style w:type="paragraph" w:styleId="IntenseQuote">
    <w:name w:val="Intense Quote"/>
    <w:basedOn w:val="Normal"/>
    <w:next w:val="Normal"/>
    <w:link w:val="IntenseQuoteChar"/>
    <w:uiPriority w:val="30"/>
    <w:qFormat/>
    <w:rsid w:val="009F6F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6F16"/>
    <w:rPr>
      <w:i/>
      <w:iCs/>
      <w:color w:val="2F5496" w:themeColor="accent1" w:themeShade="BF"/>
    </w:rPr>
  </w:style>
  <w:style w:type="character" w:styleId="IntenseReference">
    <w:name w:val="Intense Reference"/>
    <w:basedOn w:val="DefaultParagraphFont"/>
    <w:uiPriority w:val="32"/>
    <w:qFormat/>
    <w:rsid w:val="009F6F16"/>
    <w:rPr>
      <w:b/>
      <w:bCs/>
      <w:smallCaps/>
      <w:color w:val="2F5496" w:themeColor="accent1" w:themeShade="BF"/>
      <w:spacing w:val="5"/>
    </w:rPr>
  </w:style>
  <w:style w:type="character" w:styleId="CommentReference">
    <w:name w:val="annotation reference"/>
    <w:basedOn w:val="DefaultParagraphFont"/>
    <w:uiPriority w:val="99"/>
    <w:semiHidden/>
    <w:unhideWhenUsed/>
    <w:rsid w:val="00A363C6"/>
    <w:rPr>
      <w:sz w:val="16"/>
      <w:szCs w:val="16"/>
    </w:rPr>
  </w:style>
  <w:style w:type="paragraph" w:styleId="CommentText">
    <w:name w:val="annotation text"/>
    <w:basedOn w:val="Normal"/>
    <w:link w:val="CommentTextChar"/>
    <w:uiPriority w:val="99"/>
    <w:unhideWhenUsed/>
    <w:rsid w:val="00A363C6"/>
    <w:pPr>
      <w:spacing w:line="240" w:lineRule="auto"/>
    </w:pPr>
    <w:rPr>
      <w:sz w:val="20"/>
      <w:szCs w:val="20"/>
    </w:rPr>
  </w:style>
  <w:style w:type="character" w:customStyle="1" w:styleId="CommentTextChar">
    <w:name w:val="Comment Text Char"/>
    <w:basedOn w:val="DefaultParagraphFont"/>
    <w:link w:val="CommentText"/>
    <w:uiPriority w:val="99"/>
    <w:rsid w:val="00A363C6"/>
    <w:rPr>
      <w:sz w:val="20"/>
      <w:szCs w:val="20"/>
    </w:rPr>
  </w:style>
  <w:style w:type="paragraph" w:styleId="CommentSubject">
    <w:name w:val="annotation subject"/>
    <w:basedOn w:val="CommentText"/>
    <w:next w:val="CommentText"/>
    <w:link w:val="CommentSubjectChar"/>
    <w:uiPriority w:val="99"/>
    <w:semiHidden/>
    <w:unhideWhenUsed/>
    <w:rsid w:val="00A363C6"/>
    <w:rPr>
      <w:b/>
      <w:bCs/>
    </w:rPr>
  </w:style>
  <w:style w:type="character" w:customStyle="1" w:styleId="CommentSubjectChar">
    <w:name w:val="Comment Subject Char"/>
    <w:basedOn w:val="CommentTextChar"/>
    <w:link w:val="CommentSubject"/>
    <w:uiPriority w:val="99"/>
    <w:semiHidden/>
    <w:rsid w:val="00A363C6"/>
    <w:rPr>
      <w:b/>
      <w:bCs/>
      <w:sz w:val="20"/>
      <w:szCs w:val="20"/>
    </w:rPr>
  </w:style>
  <w:style w:type="paragraph" w:styleId="Revision">
    <w:name w:val="Revision"/>
    <w:hidden/>
    <w:uiPriority w:val="99"/>
    <w:semiHidden/>
    <w:rsid w:val="00907FAD"/>
    <w:pPr>
      <w:spacing w:after="0" w:line="240" w:lineRule="auto"/>
    </w:pPr>
  </w:style>
  <w:style w:type="table" w:customStyle="1" w:styleId="8">
    <w:name w:val="8"/>
    <w:basedOn w:val="TableNormal"/>
    <w:rsid w:val="00907FAD"/>
    <w:pPr>
      <w:spacing w:before="60" w:after="0" w:line="240" w:lineRule="auto"/>
      <w:jc w:val="both"/>
    </w:pPr>
    <w:rPr>
      <w:rFonts w:ascii="Calibri" w:eastAsia="Calibri" w:hAnsi="Calibri" w:cs="Calibri"/>
      <w:kern w:val="0"/>
      <w14:ligatures w14:val="none"/>
    </w:rPr>
    <w:tblPr>
      <w:tblStyleRowBandSize w:val="1"/>
      <w:tblStyleColBandSize w:val="1"/>
      <w:tblCellMar>
        <w:left w:w="115" w:type="dxa"/>
        <w:right w:w="115" w:type="dxa"/>
      </w:tblCellMar>
    </w:tblPr>
  </w:style>
  <w:style w:type="table" w:customStyle="1" w:styleId="7">
    <w:name w:val="7"/>
    <w:basedOn w:val="TableNormal"/>
    <w:rsid w:val="00907FAD"/>
    <w:pPr>
      <w:spacing w:before="60" w:after="0" w:line="240" w:lineRule="auto"/>
      <w:jc w:val="both"/>
    </w:pPr>
    <w:rPr>
      <w:rFonts w:ascii="Calibri" w:eastAsia="Calibri" w:hAnsi="Calibri" w:cs="Calibri"/>
      <w:kern w:val="0"/>
      <w14:ligatures w14:val="none"/>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49974">
      <w:bodyDiv w:val="1"/>
      <w:marLeft w:val="0"/>
      <w:marRight w:val="0"/>
      <w:marTop w:val="0"/>
      <w:marBottom w:val="0"/>
      <w:divBdr>
        <w:top w:val="none" w:sz="0" w:space="0" w:color="auto"/>
        <w:left w:val="none" w:sz="0" w:space="0" w:color="auto"/>
        <w:bottom w:val="none" w:sz="0" w:space="0" w:color="auto"/>
        <w:right w:val="none" w:sz="0" w:space="0" w:color="auto"/>
      </w:divBdr>
    </w:div>
    <w:div w:id="803811607">
      <w:bodyDiv w:val="1"/>
      <w:marLeft w:val="0"/>
      <w:marRight w:val="0"/>
      <w:marTop w:val="0"/>
      <w:marBottom w:val="0"/>
      <w:divBdr>
        <w:top w:val="none" w:sz="0" w:space="0" w:color="auto"/>
        <w:left w:val="none" w:sz="0" w:space="0" w:color="auto"/>
        <w:bottom w:val="none" w:sz="0" w:space="0" w:color="auto"/>
        <w:right w:val="none" w:sz="0" w:space="0" w:color="auto"/>
      </w:divBdr>
    </w:div>
    <w:div w:id="983122858">
      <w:bodyDiv w:val="1"/>
      <w:marLeft w:val="0"/>
      <w:marRight w:val="0"/>
      <w:marTop w:val="0"/>
      <w:marBottom w:val="0"/>
      <w:divBdr>
        <w:top w:val="none" w:sz="0" w:space="0" w:color="auto"/>
        <w:left w:val="none" w:sz="0" w:space="0" w:color="auto"/>
        <w:bottom w:val="none" w:sz="0" w:space="0" w:color="auto"/>
        <w:right w:val="none" w:sz="0" w:space="0" w:color="auto"/>
      </w:divBdr>
    </w:div>
    <w:div w:id="188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1758</Words>
  <Characters>10026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Azure Grant</dc:creator>
  <cp:keywords/>
  <dc:description/>
  <cp:lastModifiedBy>Azure Grant</cp:lastModifiedBy>
  <cp:revision>2</cp:revision>
  <dcterms:created xsi:type="dcterms:W3CDTF">2026-02-17T21:26:00Z</dcterms:created>
  <dcterms:modified xsi:type="dcterms:W3CDTF">2026-02-17T21:26:00Z</dcterms:modified>
</cp:coreProperties>
</file>