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BC3D00" w14:textId="6FF079AE" w:rsidR="00392B32" w:rsidRPr="005226E9" w:rsidRDefault="00392B32" w:rsidP="00230A10">
      <w:pPr>
        <w:spacing w:line="480" w:lineRule="auto"/>
        <w:jc w:val="center"/>
        <w:rPr>
          <w:rFonts w:ascii="Times New Roman" w:hAnsi="Times New Roman" w:cs="Times New Roman"/>
          <w:b/>
          <w:bCs/>
          <w:sz w:val="24"/>
          <w:szCs w:val="24"/>
          <w:lang w:val="en-US"/>
        </w:rPr>
      </w:pPr>
      <w:r w:rsidRPr="005226E9">
        <w:rPr>
          <w:rFonts w:ascii="Times New Roman" w:hAnsi="Times New Roman" w:cs="Times New Roman"/>
          <w:b/>
          <w:bCs/>
          <w:sz w:val="24"/>
          <w:szCs w:val="24"/>
          <w:lang w:val="en-US"/>
        </w:rPr>
        <w:t>Preliminary Study of Polyethylene Microplastics Disrupting Energy Metabolism, Redox Balance, and Prefrontal Cortex Structure in Wistar Rats</w:t>
      </w:r>
    </w:p>
    <w:p w14:paraId="61BA319A" w14:textId="0F8EE2F0" w:rsidR="00A31009" w:rsidRPr="005226E9" w:rsidRDefault="00392B32" w:rsidP="000A301A">
      <w:pPr>
        <w:spacing w:after="0" w:line="480" w:lineRule="auto"/>
        <w:rPr>
          <w:rFonts w:ascii="Times New Roman" w:hAnsi="Times New Roman" w:cs="Times New Roman"/>
          <w:b/>
          <w:bCs/>
          <w:sz w:val="24"/>
          <w:szCs w:val="24"/>
          <w:lang w:val="en-US"/>
        </w:rPr>
      </w:pPr>
      <w:r w:rsidRPr="005226E9">
        <w:rPr>
          <w:rFonts w:ascii="Times New Roman" w:hAnsi="Times New Roman" w:cs="Times New Roman"/>
          <w:b/>
          <w:bCs/>
          <w:sz w:val="24"/>
          <w:szCs w:val="24"/>
          <w:lang w:val="en-US"/>
        </w:rPr>
        <w:t xml:space="preserve">Supplementary </w:t>
      </w:r>
      <w:r w:rsidR="009D1FE3">
        <w:rPr>
          <w:rFonts w:ascii="Times New Roman" w:hAnsi="Times New Roman" w:cs="Times New Roman"/>
          <w:b/>
          <w:bCs/>
          <w:sz w:val="24"/>
          <w:szCs w:val="24"/>
          <w:lang w:val="en-US"/>
        </w:rPr>
        <w:t>Methods</w:t>
      </w:r>
    </w:p>
    <w:p w14:paraId="526AF69D" w14:textId="051F89D4" w:rsidR="005226E9" w:rsidRPr="00F81BAE" w:rsidRDefault="00521411" w:rsidP="00230A10">
      <w:pPr>
        <w:spacing w:after="0" w:line="480" w:lineRule="auto"/>
        <w:jc w:val="both"/>
        <w:rPr>
          <w:rFonts w:ascii="Times New Roman" w:hAnsi="Times New Roman" w:cs="Times New Roman"/>
          <w:b/>
          <w:bCs/>
          <w:sz w:val="24"/>
          <w:szCs w:val="24"/>
          <w:lang w:bidi="en-US"/>
        </w:rPr>
      </w:pPr>
      <w:proofErr w:type="spellStart"/>
      <w:r w:rsidRPr="00F81BAE">
        <w:rPr>
          <w:rFonts w:ascii="Times New Roman" w:hAnsi="Times New Roman" w:cs="Times New Roman"/>
          <w:b/>
          <w:bCs/>
          <w:sz w:val="24"/>
          <w:szCs w:val="24"/>
          <w:lang w:bidi="en-US"/>
        </w:rPr>
        <w:t>Transcardial</w:t>
      </w:r>
      <w:proofErr w:type="spellEnd"/>
      <w:r w:rsidRPr="00F81BAE">
        <w:rPr>
          <w:rFonts w:ascii="Times New Roman" w:hAnsi="Times New Roman" w:cs="Times New Roman"/>
          <w:b/>
          <w:bCs/>
          <w:sz w:val="24"/>
          <w:szCs w:val="24"/>
          <w:lang w:bidi="en-US"/>
        </w:rPr>
        <w:t xml:space="preserve"> perfusion of the </w:t>
      </w:r>
      <w:r w:rsidR="009D1FE3" w:rsidRPr="00F81BAE">
        <w:rPr>
          <w:rFonts w:ascii="Times New Roman" w:hAnsi="Times New Roman" w:cs="Times New Roman"/>
          <w:b/>
          <w:bCs/>
          <w:sz w:val="24"/>
          <w:szCs w:val="24"/>
          <w:lang w:bidi="en-US"/>
        </w:rPr>
        <w:t>rat</w:t>
      </w:r>
      <w:r w:rsidR="002367C1" w:rsidRPr="00F81BAE">
        <w:rPr>
          <w:rFonts w:ascii="Times New Roman" w:hAnsi="Times New Roman" w:cs="Times New Roman"/>
          <w:b/>
          <w:bCs/>
          <w:sz w:val="24"/>
          <w:szCs w:val="24"/>
          <w:lang w:bidi="en-US"/>
        </w:rPr>
        <w:t xml:space="preserve"> </w:t>
      </w:r>
    </w:p>
    <w:p w14:paraId="6D1C118E" w14:textId="112F0229" w:rsidR="009B6201" w:rsidRPr="00F81BAE" w:rsidRDefault="005226E9" w:rsidP="00230A10">
      <w:pPr>
        <w:spacing w:after="200" w:line="480" w:lineRule="auto"/>
        <w:jc w:val="both"/>
        <w:rPr>
          <w:rFonts w:ascii="Times New Roman" w:eastAsia="Calibri" w:hAnsi="Times New Roman" w:cs="Times New Roman"/>
          <w:bCs/>
          <w:sz w:val="24"/>
          <w:szCs w:val="24"/>
        </w:rPr>
      </w:pPr>
      <w:bookmarkStart w:id="0" w:name="_Hlk217142073"/>
      <w:r w:rsidRPr="00F81BAE">
        <w:rPr>
          <w:rFonts w:ascii="Times New Roman" w:eastAsia="Calibri" w:hAnsi="Times New Roman" w:cs="Times New Roman"/>
          <w:bCs/>
          <w:sz w:val="24"/>
          <w:szCs w:val="24"/>
        </w:rPr>
        <w:t>Following an overnight fast after 28 days of exposure to PE-MPs, the animals were sacrificed under ketamine-xylazine anaesthesia (Dosage: 75 mg Ketamine/kg, 10 mg Xylazine/kg; Concentration: 300mg/ml ketamine, 30mg/ml Xylazine, intraperitoneal injection)</w:t>
      </w:r>
      <w:r w:rsidR="00AF206A" w:rsidRPr="00F81BAE">
        <w:rPr>
          <w:rFonts w:ascii="Times New Roman" w:eastAsia="Calibri" w:hAnsi="Times New Roman" w:cs="Times New Roman"/>
          <w:bCs/>
          <w:sz w:val="24"/>
          <w:szCs w:val="24"/>
        </w:rPr>
        <w:t xml:space="preserve"> and confirmed unresponsive to toe-pinch</w:t>
      </w:r>
      <w:r w:rsidRPr="00F81BAE">
        <w:rPr>
          <w:rFonts w:ascii="Times New Roman" w:eastAsia="Calibri" w:hAnsi="Times New Roman" w:cs="Times New Roman"/>
          <w:bCs/>
          <w:sz w:val="24"/>
          <w:szCs w:val="24"/>
        </w:rPr>
        <w:t xml:space="preserve">. </w:t>
      </w:r>
      <w:bookmarkEnd w:id="0"/>
      <w:r w:rsidR="002367C1" w:rsidRPr="00F81BAE">
        <w:rPr>
          <w:rFonts w:ascii="Times New Roman" w:eastAsia="Calibri" w:hAnsi="Times New Roman" w:cs="Times New Roman"/>
          <w:bCs/>
          <w:sz w:val="24"/>
          <w:szCs w:val="24"/>
        </w:rPr>
        <w:t>The animal</w:t>
      </w:r>
      <w:r w:rsidR="00A75DBE" w:rsidRPr="00F81BAE">
        <w:rPr>
          <w:rFonts w:ascii="Times New Roman" w:eastAsia="Calibri" w:hAnsi="Times New Roman" w:cs="Times New Roman"/>
          <w:bCs/>
          <w:sz w:val="24"/>
          <w:szCs w:val="24"/>
        </w:rPr>
        <w:t xml:space="preserve"> was </w:t>
      </w:r>
      <w:r w:rsidR="002367C1" w:rsidRPr="00F81BAE">
        <w:rPr>
          <w:rFonts w:ascii="Times New Roman" w:eastAsia="Calibri" w:hAnsi="Times New Roman" w:cs="Times New Roman"/>
          <w:bCs/>
          <w:sz w:val="24"/>
          <w:szCs w:val="24"/>
        </w:rPr>
        <w:t xml:space="preserve">supine on a </w:t>
      </w:r>
      <w:r w:rsidR="00A75DBE" w:rsidRPr="00F81BAE">
        <w:rPr>
          <w:rFonts w:ascii="Times New Roman" w:eastAsia="Calibri" w:hAnsi="Times New Roman" w:cs="Times New Roman"/>
          <w:bCs/>
          <w:sz w:val="24"/>
          <w:szCs w:val="24"/>
        </w:rPr>
        <w:t>non-slip</w:t>
      </w:r>
      <w:r w:rsidR="002367C1" w:rsidRPr="00F81BAE">
        <w:rPr>
          <w:rFonts w:ascii="Times New Roman" w:eastAsia="Calibri" w:hAnsi="Times New Roman" w:cs="Times New Roman"/>
          <w:bCs/>
          <w:sz w:val="24"/>
          <w:szCs w:val="24"/>
        </w:rPr>
        <w:t xml:space="preserve"> stage</w:t>
      </w:r>
      <w:r w:rsidR="00A75DBE" w:rsidRPr="00F81BAE">
        <w:rPr>
          <w:rFonts w:ascii="Times New Roman" w:eastAsia="Calibri" w:hAnsi="Times New Roman" w:cs="Times New Roman"/>
          <w:bCs/>
          <w:sz w:val="24"/>
          <w:szCs w:val="24"/>
        </w:rPr>
        <w:t>,</w:t>
      </w:r>
      <w:r w:rsidR="002367C1" w:rsidRPr="00F81BAE">
        <w:rPr>
          <w:rFonts w:ascii="Times New Roman" w:eastAsia="Calibri" w:hAnsi="Times New Roman" w:cs="Times New Roman"/>
          <w:bCs/>
          <w:sz w:val="24"/>
          <w:szCs w:val="24"/>
        </w:rPr>
        <w:t xml:space="preserve"> and </w:t>
      </w:r>
      <w:r w:rsidR="00A75DBE" w:rsidRPr="00F81BAE">
        <w:rPr>
          <w:rFonts w:ascii="Times New Roman" w:eastAsia="Calibri" w:hAnsi="Times New Roman" w:cs="Times New Roman"/>
          <w:bCs/>
          <w:sz w:val="24"/>
          <w:szCs w:val="24"/>
        </w:rPr>
        <w:t xml:space="preserve">its </w:t>
      </w:r>
      <w:r w:rsidR="002367C1" w:rsidRPr="00F81BAE">
        <w:rPr>
          <w:rFonts w:ascii="Times New Roman" w:eastAsia="Calibri" w:hAnsi="Times New Roman" w:cs="Times New Roman"/>
          <w:bCs/>
          <w:sz w:val="24"/>
          <w:szCs w:val="24"/>
        </w:rPr>
        <w:t xml:space="preserve">limbs </w:t>
      </w:r>
      <w:r w:rsidR="00A75DBE" w:rsidRPr="00F81BAE">
        <w:rPr>
          <w:rFonts w:ascii="Times New Roman" w:eastAsia="Calibri" w:hAnsi="Times New Roman" w:cs="Times New Roman"/>
          <w:bCs/>
          <w:sz w:val="24"/>
          <w:szCs w:val="24"/>
        </w:rPr>
        <w:t xml:space="preserve">were </w:t>
      </w:r>
      <w:r w:rsidR="002367C1" w:rsidRPr="00F81BAE">
        <w:rPr>
          <w:rFonts w:ascii="Times New Roman" w:eastAsia="Calibri" w:hAnsi="Times New Roman" w:cs="Times New Roman"/>
          <w:bCs/>
          <w:sz w:val="24"/>
          <w:szCs w:val="24"/>
        </w:rPr>
        <w:t>pinned. Under a fume hood, the chest cavity was opened by cutting the skin and diaphragm and folding back the sternum to expose the heart.</w:t>
      </w:r>
      <w:r w:rsidR="00A75DBE" w:rsidRPr="00F81BAE">
        <w:rPr>
          <w:rFonts w:ascii="Times New Roman" w:eastAsia="Calibri" w:hAnsi="Times New Roman" w:cs="Times New Roman"/>
          <w:bCs/>
          <w:sz w:val="24"/>
          <w:szCs w:val="24"/>
        </w:rPr>
        <w:t xml:space="preserve"> </w:t>
      </w:r>
      <w:r w:rsidR="002367C1" w:rsidRPr="00F81BAE">
        <w:rPr>
          <w:rFonts w:ascii="Times New Roman" w:eastAsia="Calibri" w:hAnsi="Times New Roman" w:cs="Times New Roman"/>
          <w:bCs/>
          <w:sz w:val="24"/>
          <w:szCs w:val="24"/>
        </w:rPr>
        <w:t xml:space="preserve"> A small incision was made in the </w:t>
      </w:r>
      <w:r w:rsidR="00C60581" w:rsidRPr="00F81BAE">
        <w:rPr>
          <w:rFonts w:ascii="Times New Roman" w:eastAsia="Calibri" w:hAnsi="Times New Roman" w:cs="Times New Roman"/>
          <w:bCs/>
          <w:sz w:val="24"/>
          <w:szCs w:val="24"/>
        </w:rPr>
        <w:t>heart</w:t>
      </w:r>
      <w:r w:rsidR="002367C1" w:rsidRPr="00F81BAE">
        <w:rPr>
          <w:rFonts w:ascii="Times New Roman" w:eastAsia="Calibri" w:hAnsi="Times New Roman" w:cs="Times New Roman"/>
          <w:bCs/>
          <w:sz w:val="24"/>
          <w:szCs w:val="24"/>
        </w:rPr>
        <w:t xml:space="preserve"> apex</w:t>
      </w:r>
      <w:r w:rsidR="00C60581" w:rsidRPr="00F81BAE">
        <w:rPr>
          <w:rFonts w:ascii="Times New Roman" w:eastAsia="Calibri" w:hAnsi="Times New Roman" w:cs="Times New Roman"/>
          <w:bCs/>
          <w:sz w:val="24"/>
          <w:szCs w:val="24"/>
        </w:rPr>
        <w:t>,</w:t>
      </w:r>
      <w:r w:rsidR="002367C1" w:rsidRPr="00F81BAE">
        <w:rPr>
          <w:rFonts w:ascii="Times New Roman" w:eastAsia="Calibri" w:hAnsi="Times New Roman" w:cs="Times New Roman"/>
          <w:bCs/>
          <w:sz w:val="24"/>
          <w:szCs w:val="24"/>
        </w:rPr>
        <w:t xml:space="preserve"> and a blunt 27G cannula </w:t>
      </w:r>
      <w:r w:rsidR="00C60581" w:rsidRPr="00F81BAE">
        <w:rPr>
          <w:rFonts w:ascii="Times New Roman" w:eastAsia="Calibri" w:hAnsi="Times New Roman" w:cs="Times New Roman"/>
          <w:bCs/>
          <w:sz w:val="24"/>
          <w:szCs w:val="24"/>
        </w:rPr>
        <w:t xml:space="preserve">was </w:t>
      </w:r>
      <w:r w:rsidR="002367C1" w:rsidRPr="00F81BAE">
        <w:rPr>
          <w:rFonts w:ascii="Times New Roman" w:eastAsia="Calibri" w:hAnsi="Times New Roman" w:cs="Times New Roman"/>
          <w:bCs/>
          <w:sz w:val="24"/>
          <w:szCs w:val="24"/>
        </w:rPr>
        <w:t>inserted into the ascending aorta. The cannula was secured to prevent dislodging. Immediately, the right atrium was nicked to allow outflow. The descending aorta was briefly clamped to direct flow to the brain. Perfusion was begun with ice-cold phosphate-buffered saline (PBS, pH 7.4) containing 10 U/mL heparin (to prevent clotting).</w:t>
      </w:r>
      <w:r w:rsidR="00C60581" w:rsidRPr="00F81BAE">
        <w:rPr>
          <w:rFonts w:ascii="Times New Roman" w:eastAsia="Calibri" w:hAnsi="Times New Roman" w:cs="Times New Roman"/>
          <w:bCs/>
          <w:sz w:val="24"/>
          <w:szCs w:val="24"/>
        </w:rPr>
        <w:t xml:space="preserve"> </w:t>
      </w:r>
      <w:r w:rsidR="002367C1" w:rsidRPr="00F81BAE">
        <w:rPr>
          <w:rFonts w:ascii="Times New Roman" w:eastAsia="Calibri" w:hAnsi="Times New Roman" w:cs="Times New Roman"/>
          <w:bCs/>
          <w:sz w:val="24"/>
          <w:szCs w:val="24"/>
        </w:rPr>
        <w:t>1</w:t>
      </w:r>
      <w:r w:rsidR="00C60581" w:rsidRPr="00F81BAE">
        <w:rPr>
          <w:rFonts w:ascii="Times New Roman" w:eastAsia="Calibri" w:hAnsi="Times New Roman" w:cs="Times New Roman"/>
          <w:bCs/>
          <w:sz w:val="24"/>
          <w:szCs w:val="24"/>
        </w:rPr>
        <w:t>0</w:t>
      </w:r>
      <w:r w:rsidR="002367C1" w:rsidRPr="00F81BAE">
        <w:rPr>
          <w:rFonts w:ascii="Times New Roman" w:eastAsia="Calibri" w:hAnsi="Times New Roman" w:cs="Times New Roman"/>
          <w:bCs/>
          <w:sz w:val="24"/>
          <w:szCs w:val="24"/>
        </w:rPr>
        <w:t>0 mL of PBS (at ~60 mL/min) was passed until the effluent ran clear. Without pausing, the perfusate was switched to ice-cold 4% paraformaldehyde (PFA) in PBS.</w:t>
      </w:r>
    </w:p>
    <w:p w14:paraId="12EDD126" w14:textId="4DD7E187" w:rsidR="00204047" w:rsidRPr="00204047" w:rsidRDefault="00204047" w:rsidP="00204047">
      <w:pPr>
        <w:spacing w:after="0" w:line="480" w:lineRule="auto"/>
        <w:jc w:val="both"/>
        <w:rPr>
          <w:rFonts w:ascii="Times New Roman" w:eastAsia="Calibri" w:hAnsi="Times New Roman" w:cs="Times New Roman"/>
          <w:b/>
          <w:sz w:val="24"/>
          <w:szCs w:val="24"/>
        </w:rPr>
      </w:pPr>
      <w:r w:rsidRPr="00204047">
        <w:rPr>
          <w:rFonts w:ascii="Times New Roman" w:eastAsia="Calibri" w:hAnsi="Times New Roman" w:cs="Times New Roman"/>
          <w:b/>
          <w:sz w:val="24"/>
          <w:szCs w:val="24"/>
        </w:rPr>
        <w:t>Tissue Preparation</w:t>
      </w:r>
      <w:r w:rsidR="00FA6141">
        <w:rPr>
          <w:rFonts w:ascii="Times New Roman" w:eastAsia="Calibri" w:hAnsi="Times New Roman" w:cs="Times New Roman"/>
          <w:b/>
          <w:sz w:val="24"/>
          <w:szCs w:val="24"/>
        </w:rPr>
        <w:t xml:space="preserve">, </w:t>
      </w:r>
      <w:r w:rsidRPr="00204047">
        <w:rPr>
          <w:rFonts w:ascii="Times New Roman" w:eastAsia="Calibri" w:hAnsi="Times New Roman" w:cs="Times New Roman"/>
          <w:b/>
          <w:sz w:val="24"/>
          <w:szCs w:val="24"/>
        </w:rPr>
        <w:t>Dissection</w:t>
      </w:r>
      <w:r w:rsidR="00FA6141">
        <w:rPr>
          <w:rFonts w:ascii="Times New Roman" w:eastAsia="Calibri" w:hAnsi="Times New Roman" w:cs="Times New Roman"/>
          <w:b/>
          <w:sz w:val="24"/>
          <w:szCs w:val="24"/>
        </w:rPr>
        <w:t xml:space="preserve">, and </w:t>
      </w:r>
      <w:r w:rsidR="00FA6141" w:rsidRPr="00204047">
        <w:rPr>
          <w:rFonts w:ascii="Times New Roman" w:eastAsia="Calibri" w:hAnsi="Times New Roman" w:cs="Times New Roman"/>
          <w:b/>
          <w:sz w:val="24"/>
          <w:szCs w:val="24"/>
        </w:rPr>
        <w:t>Isolation of the Prefrontal Cortex (PFC)</w:t>
      </w:r>
    </w:p>
    <w:p w14:paraId="1FBC3A7F" w14:textId="6A04F9DB" w:rsidR="00204047" w:rsidRPr="00204047" w:rsidRDefault="00204047" w:rsidP="00204047">
      <w:pPr>
        <w:spacing w:after="200" w:line="480" w:lineRule="auto"/>
        <w:jc w:val="both"/>
        <w:rPr>
          <w:rFonts w:ascii="Times New Roman" w:eastAsia="Calibri" w:hAnsi="Times New Roman" w:cs="Times New Roman"/>
          <w:b/>
          <w:sz w:val="24"/>
          <w:szCs w:val="24"/>
        </w:rPr>
      </w:pPr>
      <w:r w:rsidRPr="00204047">
        <w:rPr>
          <w:rFonts w:ascii="Times New Roman" w:eastAsia="Calibri" w:hAnsi="Times New Roman" w:cs="Times New Roman"/>
          <w:bCs/>
          <w:sz w:val="24"/>
          <w:szCs w:val="24"/>
        </w:rPr>
        <w:t>Immediately following perfusion, the scalp was incised along the midline from the neck to the nose and reflected laterally. Using fine scissors, the skull was opened by removing the occipital bones at the foramen magnum and then cutting along the sagittal midline up to the frontal bones. The skull flaps were retracted with forceps to fully expose the brain. Under a dissection microscope, the brain was carefully lifted from the cranial cavity using a flat spatula.</w:t>
      </w:r>
      <w:r w:rsidR="00FA6141">
        <w:rPr>
          <w:rFonts w:ascii="Times New Roman" w:eastAsia="Calibri" w:hAnsi="Times New Roman" w:cs="Times New Roman"/>
          <w:bCs/>
          <w:sz w:val="24"/>
          <w:szCs w:val="24"/>
        </w:rPr>
        <w:t xml:space="preserve"> </w:t>
      </w:r>
      <w:r w:rsidRPr="00890EDA">
        <w:rPr>
          <w:rFonts w:ascii="Times New Roman" w:eastAsia="Calibri" w:hAnsi="Times New Roman" w:cs="Times New Roman"/>
          <w:bCs/>
          <w:sz w:val="24"/>
          <w:szCs w:val="24"/>
        </w:rPr>
        <w:t xml:space="preserve">For PFC isolation, the brain was positioned rostral side up. A V-shaped incision was made at the anterior tip of the hemispheres, just above the olfactory bulbs, and the frontal pole was peeled away. This procedure yielded a block of frontal cortex devoid of olfactory tissue and white matter. </w:t>
      </w:r>
      <w:r w:rsidRPr="00890EDA">
        <w:rPr>
          <w:rFonts w:ascii="Times New Roman" w:eastAsia="Calibri" w:hAnsi="Times New Roman" w:cs="Times New Roman"/>
          <w:bCs/>
          <w:sz w:val="24"/>
          <w:szCs w:val="24"/>
        </w:rPr>
        <w:lastRenderedPageBreak/>
        <w:t>All cuts were performed with a prechilled razor blade on a cooled surface to preserve tissue integrity.</w:t>
      </w:r>
    </w:p>
    <w:p w14:paraId="131CDB07" w14:textId="77777777" w:rsidR="00204047" w:rsidRPr="00204047" w:rsidRDefault="00204047" w:rsidP="00890EDA">
      <w:pPr>
        <w:spacing w:after="0" w:line="480" w:lineRule="auto"/>
        <w:jc w:val="both"/>
        <w:rPr>
          <w:rFonts w:ascii="Times New Roman" w:eastAsia="Calibri" w:hAnsi="Times New Roman" w:cs="Times New Roman"/>
          <w:b/>
          <w:sz w:val="24"/>
          <w:szCs w:val="24"/>
        </w:rPr>
      </w:pPr>
      <w:r w:rsidRPr="00204047">
        <w:rPr>
          <w:rFonts w:ascii="Times New Roman" w:eastAsia="Calibri" w:hAnsi="Times New Roman" w:cs="Times New Roman"/>
          <w:b/>
          <w:sz w:val="24"/>
          <w:szCs w:val="24"/>
        </w:rPr>
        <w:t>Temperature Control</w:t>
      </w:r>
    </w:p>
    <w:p w14:paraId="080B104E" w14:textId="550B5A8F" w:rsidR="006C47C6" w:rsidRPr="00204047" w:rsidRDefault="00204047" w:rsidP="00204047">
      <w:pPr>
        <w:spacing w:after="200" w:line="480" w:lineRule="auto"/>
        <w:jc w:val="both"/>
        <w:rPr>
          <w:rFonts w:ascii="Times New Roman" w:eastAsia="Calibri" w:hAnsi="Times New Roman" w:cs="Times New Roman"/>
          <w:bCs/>
          <w:sz w:val="24"/>
          <w:szCs w:val="24"/>
        </w:rPr>
      </w:pPr>
      <w:r w:rsidRPr="00204047">
        <w:rPr>
          <w:rFonts w:ascii="Times New Roman" w:eastAsia="Calibri" w:hAnsi="Times New Roman" w:cs="Times New Roman"/>
          <w:bCs/>
          <w:sz w:val="24"/>
          <w:szCs w:val="24"/>
        </w:rPr>
        <w:t>To minimize degradation, all steps were conducted at low temperature. Anaesthetic solutions and perfusates were maintained on ice (4 °C), and perfusion was carried out rapidly to ensure optimal preservation of the tissue.</w:t>
      </w:r>
    </w:p>
    <w:p w14:paraId="2D22AE48" w14:textId="4370B3E4" w:rsidR="00985971" w:rsidRPr="00985971" w:rsidRDefault="00985971" w:rsidP="00985971">
      <w:pPr>
        <w:spacing w:after="0" w:line="480" w:lineRule="auto"/>
        <w:jc w:val="both"/>
        <w:rPr>
          <w:rFonts w:ascii="Times New Roman" w:eastAsia="Calibri" w:hAnsi="Times New Roman" w:cs="Times New Roman"/>
          <w:b/>
          <w:sz w:val="24"/>
          <w:szCs w:val="24"/>
        </w:rPr>
      </w:pPr>
      <w:r w:rsidRPr="00985971">
        <w:rPr>
          <w:rFonts w:ascii="Times New Roman" w:eastAsia="Calibri" w:hAnsi="Times New Roman" w:cs="Times New Roman"/>
          <w:b/>
          <w:sz w:val="24"/>
          <w:szCs w:val="24"/>
        </w:rPr>
        <w:t>Mitochondrial Extraction</w:t>
      </w:r>
    </w:p>
    <w:p w14:paraId="2684C2FF" w14:textId="64674AE6" w:rsidR="00985971" w:rsidRPr="00985971" w:rsidRDefault="00985971" w:rsidP="00985971">
      <w:pPr>
        <w:spacing w:after="0" w:line="480" w:lineRule="auto"/>
        <w:jc w:val="both"/>
        <w:rPr>
          <w:rFonts w:ascii="Times New Roman" w:eastAsia="Calibri" w:hAnsi="Times New Roman" w:cs="Times New Roman"/>
          <w:bCs/>
          <w:sz w:val="24"/>
          <w:szCs w:val="24"/>
        </w:rPr>
      </w:pPr>
      <w:r w:rsidRPr="00985971">
        <w:rPr>
          <w:rFonts w:ascii="Times New Roman" w:eastAsia="Calibri" w:hAnsi="Times New Roman" w:cs="Times New Roman"/>
          <w:bCs/>
          <w:sz w:val="24"/>
          <w:szCs w:val="24"/>
        </w:rPr>
        <w:t xml:space="preserve">The excised prefrontal cortex (PFC) was washed with 1.15% KCl, homogenized in a buffer containing 5% (w/v) sucrose, 2 M EDTA, and 0.5 M Tris-HCl (pH 7.4), and centrifuged at 3000 rpm for 5 min. The supernatant was transferred to 5 mL tubes and centrifuged at 13,000 rpm for 2 min. The resulting pellet (mitochondrial fraction) was washed with homogenization buffer, transferred to a pre-weighed 2 mL tube, and centrifuged again at 13,000 rpm for 2 min. After discarding the supernatant, the pellet was resuspended in MAITE medium (containing sucrose, sorbitol, 0.5 M EDTA, KCl, 1 M </w:t>
      </w:r>
      <w:proofErr w:type="spellStart"/>
      <w:r w:rsidRPr="00985971">
        <w:rPr>
          <w:rFonts w:ascii="Times New Roman" w:eastAsia="Calibri" w:hAnsi="Times New Roman" w:cs="Times New Roman"/>
          <w:bCs/>
          <w:sz w:val="24"/>
          <w:szCs w:val="24"/>
        </w:rPr>
        <w:t>MgCl</w:t>
      </w:r>
      <w:proofErr w:type="spellEnd"/>
      <w:r w:rsidRPr="00985971">
        <w:rPr>
          <w:rFonts w:ascii="Times New Roman" w:eastAsia="Calibri" w:hAnsi="Times New Roman" w:cs="Times New Roman"/>
          <w:bCs/>
          <w:sz w:val="24"/>
          <w:szCs w:val="24"/>
        </w:rPr>
        <w:t>₂, 0.5 M Tris-KCl, and orthophosphoric acid, pH 7.4), centrifuged for 2 min at 13,000 rpm, and the supernatant removed. The tube containing the isolated mitochondria was re-weighed, and the mass of the empty tube was subtracted to determine the mitochondrial weight. The mitochondrial pellet was then resuspended in 1 mL MAITE medium for storage. All homogenization and centrifugation steps were performed at 4°C</w:t>
      </w:r>
      <w:r w:rsidR="00177A5A">
        <w:rPr>
          <w:rFonts w:ascii="Times New Roman" w:eastAsia="Calibri" w:hAnsi="Times New Roman" w:cs="Times New Roman"/>
          <w:bCs/>
          <w:sz w:val="24"/>
          <w:szCs w:val="24"/>
        </w:rPr>
        <w:t xml:space="preserve"> [28]</w:t>
      </w:r>
      <w:r w:rsidRPr="00985971">
        <w:rPr>
          <w:rFonts w:ascii="Times New Roman" w:eastAsia="Calibri" w:hAnsi="Times New Roman" w:cs="Times New Roman"/>
          <w:bCs/>
          <w:sz w:val="24"/>
          <w:szCs w:val="24"/>
        </w:rPr>
        <w:t>, and isolated mitochondria were stored at -40°C. The total protein concentration in the PFC homogenate was determined by the Biuret method (Gornall et al. [29]).</w:t>
      </w:r>
    </w:p>
    <w:p w14:paraId="4E396503" w14:textId="77777777" w:rsidR="00985971" w:rsidRPr="00D5176B" w:rsidRDefault="00985971" w:rsidP="00985971">
      <w:pPr>
        <w:spacing w:after="0" w:line="480" w:lineRule="auto"/>
        <w:jc w:val="both"/>
        <w:rPr>
          <w:rFonts w:ascii="Times New Roman" w:eastAsia="Calibri" w:hAnsi="Times New Roman" w:cs="Times New Roman"/>
          <w:b/>
          <w:sz w:val="24"/>
          <w:szCs w:val="24"/>
        </w:rPr>
      </w:pPr>
      <w:r w:rsidRPr="00D5176B">
        <w:rPr>
          <w:rFonts w:ascii="Times New Roman" w:eastAsia="Calibri" w:hAnsi="Times New Roman" w:cs="Times New Roman"/>
          <w:b/>
          <w:sz w:val="24"/>
          <w:szCs w:val="24"/>
        </w:rPr>
        <w:t>Glycolytic Enzyme Activities in PFC</w:t>
      </w:r>
    </w:p>
    <w:p w14:paraId="0AE4FCA9" w14:textId="1697BF44" w:rsidR="00985971" w:rsidRPr="00985971" w:rsidRDefault="00985971" w:rsidP="00985971">
      <w:pPr>
        <w:spacing w:after="0" w:line="480" w:lineRule="auto"/>
        <w:jc w:val="both"/>
        <w:rPr>
          <w:rFonts w:ascii="Times New Roman" w:eastAsia="Calibri" w:hAnsi="Times New Roman" w:cs="Times New Roman"/>
          <w:bCs/>
          <w:sz w:val="24"/>
          <w:szCs w:val="24"/>
        </w:rPr>
      </w:pPr>
      <w:r w:rsidRPr="00985971">
        <w:rPr>
          <w:rFonts w:ascii="Times New Roman" w:eastAsia="Calibri" w:hAnsi="Times New Roman" w:cs="Times New Roman"/>
          <w:bCs/>
          <w:sz w:val="24"/>
          <w:szCs w:val="24"/>
        </w:rPr>
        <w:t xml:space="preserve">Hexokinase (HK) activity was measured following Hass and Hurley [30]. In this coupled assay, glucose phosphorylation by HK is linked to NAD⁺ reduction via glucose-6-phosphate dehydrogenase, so NADH formation is monitored at 340 nm. The reaction mixture (final volume ~3.3 mL) contained 2.28 mL of 0.05 M Tris-HCl (pH 8.0), 0.50 mL of 13.3 mM </w:t>
      </w:r>
      <w:proofErr w:type="spellStart"/>
      <w:r w:rsidRPr="00985971">
        <w:rPr>
          <w:rFonts w:ascii="Times New Roman" w:eastAsia="Calibri" w:hAnsi="Times New Roman" w:cs="Times New Roman"/>
          <w:bCs/>
          <w:sz w:val="24"/>
          <w:szCs w:val="24"/>
        </w:rPr>
        <w:t>MgCl</w:t>
      </w:r>
      <w:proofErr w:type="spellEnd"/>
      <w:r w:rsidRPr="00985971">
        <w:rPr>
          <w:rFonts w:ascii="Times New Roman" w:eastAsia="Calibri" w:hAnsi="Times New Roman" w:cs="Times New Roman"/>
          <w:bCs/>
          <w:sz w:val="24"/>
          <w:szCs w:val="24"/>
        </w:rPr>
        <w:t xml:space="preserve">₂ </w:t>
      </w:r>
      <w:r w:rsidRPr="00985971">
        <w:rPr>
          <w:rFonts w:ascii="Times New Roman" w:eastAsia="Calibri" w:hAnsi="Times New Roman" w:cs="Times New Roman"/>
          <w:bCs/>
          <w:sz w:val="24"/>
          <w:szCs w:val="24"/>
        </w:rPr>
        <w:lastRenderedPageBreak/>
        <w:t xml:space="preserve">(Tris-Mg²⁺ buffer), 0.10 mL of 0.67 M glucose, 0.10 mL of 16.5 mM ATP, 0.10 mL of 6.8 mM NAD⁺, and glucose-6-phosphate dehydrogenase (to give ~300 IU/mL). The increase in absorbance at 340 nm was recorded for 3 minutes, and one HK unit was defined as the reduction of 1 μmol NAD⁺ per minute at 30°C, pH 8.0. Aldolase (ALD) activity was assayed using the hydrazine method of Jagannathan et al. [31]. In this assay, fructose-1,6-bisphosphate (pH 7.5) reacts with hydrazine, forming a hydrazone that absorbs at 240 nm. The reaction mixture contained 1.0 mL of 0.012 M fructose-1,6-bisphosphate (pH 7.5), 2.0 mL of 0.0035 M hydrazine </w:t>
      </w:r>
      <w:r w:rsidR="00D5176B" w:rsidRPr="00985971">
        <w:rPr>
          <w:rFonts w:ascii="Times New Roman" w:eastAsia="Calibri" w:hAnsi="Times New Roman" w:cs="Times New Roman"/>
          <w:bCs/>
          <w:sz w:val="24"/>
          <w:szCs w:val="24"/>
        </w:rPr>
        <w:t>sulphate</w:t>
      </w:r>
      <w:r w:rsidRPr="00985971">
        <w:rPr>
          <w:rFonts w:ascii="Times New Roman" w:eastAsia="Calibri" w:hAnsi="Times New Roman" w:cs="Times New Roman"/>
          <w:bCs/>
          <w:sz w:val="24"/>
          <w:szCs w:val="24"/>
        </w:rPr>
        <w:t xml:space="preserve"> in 0.0001 M EDTA (pH 7.5), 1.0 mL </w:t>
      </w:r>
      <w:r w:rsidR="006C3691">
        <w:rPr>
          <w:rFonts w:ascii="Times New Roman" w:eastAsia="Calibri" w:hAnsi="Times New Roman" w:cs="Times New Roman"/>
          <w:bCs/>
          <w:sz w:val="24"/>
          <w:szCs w:val="24"/>
        </w:rPr>
        <w:t xml:space="preserve">of </w:t>
      </w:r>
      <w:r w:rsidRPr="00985971">
        <w:rPr>
          <w:rFonts w:ascii="Times New Roman" w:eastAsia="Calibri" w:hAnsi="Times New Roman" w:cs="Times New Roman"/>
          <w:bCs/>
          <w:sz w:val="24"/>
          <w:szCs w:val="24"/>
        </w:rPr>
        <w:t>water, and 0.10 mL PFC homogenate. The absorbance at 240 nm was measured at 1-minute intervals over 3 minutes. Lactate dehydrogenase (LDH) activity was determined using a commercial assay kit (LABKIT) according to the manufacturer’s instructions. NADase activity was measured according to Tatsuno et al. [32]. In this method, cyanide reacts with NAD⁺ to form an absorbing product at 340 nm. The reaction mixture consisted of 0.3 mL of 0.1 M potassium phosphate buffer (pH 7.5), 0.1 mL of 5.4 mM NAD⁺, and 3.0 mL of 1.0 M KCN. This mixture was incubated at 37°C for 3–5 minutes and then cooled to room temperature. The reaction was initiated by adding 0.10 mL of PFC homogenate, and the absorbance at 340 nm was recorded at 1-minute intervals for 3 minutes. One unit of NADase was defined as the hydrolysis of 1 μmol NAD⁺ per minute at 37°C, pH 7.5.</w:t>
      </w:r>
    </w:p>
    <w:p w14:paraId="0DBD8756" w14:textId="77777777" w:rsidR="00985971" w:rsidRPr="005E1060" w:rsidRDefault="00985971" w:rsidP="00985971">
      <w:pPr>
        <w:spacing w:after="0" w:line="480" w:lineRule="auto"/>
        <w:jc w:val="both"/>
        <w:rPr>
          <w:rFonts w:ascii="Times New Roman" w:eastAsia="Calibri" w:hAnsi="Times New Roman" w:cs="Times New Roman"/>
          <w:b/>
          <w:sz w:val="24"/>
          <w:szCs w:val="24"/>
        </w:rPr>
      </w:pPr>
      <w:r w:rsidRPr="005E1060">
        <w:rPr>
          <w:rFonts w:ascii="Times New Roman" w:eastAsia="Calibri" w:hAnsi="Times New Roman" w:cs="Times New Roman"/>
          <w:b/>
          <w:sz w:val="24"/>
          <w:szCs w:val="24"/>
        </w:rPr>
        <w:t>Oxidative Phosphorylation Enzyme Activities in PFC</w:t>
      </w:r>
    </w:p>
    <w:p w14:paraId="3AFD9A9A" w14:textId="2E434528" w:rsidR="00985971" w:rsidRPr="00985971" w:rsidRDefault="00985971" w:rsidP="00985971">
      <w:pPr>
        <w:spacing w:after="0" w:line="480" w:lineRule="auto"/>
        <w:jc w:val="both"/>
        <w:rPr>
          <w:rFonts w:ascii="Times New Roman" w:eastAsia="Calibri" w:hAnsi="Times New Roman" w:cs="Times New Roman"/>
          <w:bCs/>
          <w:sz w:val="24"/>
          <w:szCs w:val="24"/>
        </w:rPr>
      </w:pPr>
      <w:r w:rsidRPr="00985971">
        <w:rPr>
          <w:rFonts w:ascii="Times New Roman" w:eastAsia="Calibri" w:hAnsi="Times New Roman" w:cs="Times New Roman"/>
          <w:bCs/>
          <w:sz w:val="24"/>
          <w:szCs w:val="24"/>
        </w:rPr>
        <w:t xml:space="preserve">Citrate synthase (CS) activity was measured as described by Nulton-Persson and Szweda [33]. In this assay, the formation of </w:t>
      </w:r>
      <w:proofErr w:type="spellStart"/>
      <w:r w:rsidRPr="00985971">
        <w:rPr>
          <w:rFonts w:ascii="Times New Roman" w:eastAsia="Calibri" w:hAnsi="Times New Roman" w:cs="Times New Roman"/>
          <w:bCs/>
          <w:sz w:val="24"/>
          <w:szCs w:val="24"/>
        </w:rPr>
        <w:t>thionitrobenzoic</w:t>
      </w:r>
      <w:proofErr w:type="spellEnd"/>
      <w:r w:rsidRPr="00985971">
        <w:rPr>
          <w:rFonts w:ascii="Times New Roman" w:eastAsia="Calibri" w:hAnsi="Times New Roman" w:cs="Times New Roman"/>
          <w:bCs/>
          <w:sz w:val="24"/>
          <w:szCs w:val="24"/>
        </w:rPr>
        <w:t xml:space="preserve"> acid (TNB) from DTNB and CoA is monitored at 412 nm, and the rate of increase in absorbance reflects CS activity. Isocitrate dehydrogenase (IDH) activity was determined following </w:t>
      </w:r>
      <w:proofErr w:type="spellStart"/>
      <w:r w:rsidRPr="00985971">
        <w:rPr>
          <w:rFonts w:ascii="Times New Roman" w:eastAsia="Calibri" w:hAnsi="Times New Roman" w:cs="Times New Roman"/>
          <w:bCs/>
          <w:sz w:val="24"/>
          <w:szCs w:val="24"/>
        </w:rPr>
        <w:t>Romkina</w:t>
      </w:r>
      <w:proofErr w:type="spellEnd"/>
      <w:r w:rsidRPr="00985971">
        <w:rPr>
          <w:rFonts w:ascii="Times New Roman" w:eastAsia="Calibri" w:hAnsi="Times New Roman" w:cs="Times New Roman"/>
          <w:bCs/>
          <w:sz w:val="24"/>
          <w:szCs w:val="24"/>
        </w:rPr>
        <w:t xml:space="preserve"> and </w:t>
      </w:r>
      <w:proofErr w:type="spellStart"/>
      <w:r w:rsidRPr="00985971">
        <w:rPr>
          <w:rFonts w:ascii="Times New Roman" w:eastAsia="Calibri" w:hAnsi="Times New Roman" w:cs="Times New Roman"/>
          <w:bCs/>
          <w:sz w:val="24"/>
          <w:szCs w:val="24"/>
        </w:rPr>
        <w:t>Kiriukhin</w:t>
      </w:r>
      <w:proofErr w:type="spellEnd"/>
      <w:r w:rsidRPr="00985971">
        <w:rPr>
          <w:rFonts w:ascii="Times New Roman" w:eastAsia="Calibri" w:hAnsi="Times New Roman" w:cs="Times New Roman"/>
          <w:bCs/>
          <w:sz w:val="24"/>
          <w:szCs w:val="24"/>
        </w:rPr>
        <w:t xml:space="preserve"> [34] by monitoring NAD⁺ reduction at 340 nm. Malate dehydrogenase (MDH) activity was assayed using the method of López-Calcagno et al. [35]. The reaction mixture contained 2.6 mL of 0.1 M phosphate buffer, </w:t>
      </w:r>
      <w:r w:rsidRPr="00985971">
        <w:rPr>
          <w:rFonts w:ascii="Times New Roman" w:eastAsia="Calibri" w:hAnsi="Times New Roman" w:cs="Times New Roman"/>
          <w:bCs/>
          <w:sz w:val="24"/>
          <w:szCs w:val="24"/>
        </w:rPr>
        <w:lastRenderedPageBreak/>
        <w:t xml:space="preserve">0.2 mL of NADH, 0.1 mL of oxaloacetate, and 0.10 mL of </w:t>
      </w:r>
      <w:r w:rsidR="00C20ECF">
        <w:rPr>
          <w:rFonts w:ascii="Times New Roman" w:eastAsia="Calibri" w:hAnsi="Times New Roman" w:cs="Times New Roman"/>
          <w:bCs/>
          <w:sz w:val="24"/>
          <w:szCs w:val="24"/>
        </w:rPr>
        <w:t xml:space="preserve">the </w:t>
      </w:r>
      <w:r w:rsidRPr="00985971">
        <w:rPr>
          <w:rFonts w:ascii="Times New Roman" w:eastAsia="Calibri" w:hAnsi="Times New Roman" w:cs="Times New Roman"/>
          <w:bCs/>
          <w:sz w:val="24"/>
          <w:szCs w:val="24"/>
        </w:rPr>
        <w:t>sample. The decrease in absorbance at 340 nm (due to NADH oxidation) was recorded for 3 minutes at 30-second intervals. One unit of MDH activity was defined as the oxidation of 1 μmol NADH per minute at 25°C and pH 7.4. Succinate dehydrogenase (SDH) activity was determined according to Jones and Hirst [36]. The assay mixture included 1.0 mL of phosphate buffer (pH 7.6), 30 mM EDTA, 0.3 mL of 0.4 M succinate, 0.1 mL of 3% bovine serum albumin, and 75 mM potassium ferricyanide (</w:t>
      </w:r>
      <w:proofErr w:type="spellStart"/>
      <w:r w:rsidRPr="00985971">
        <w:rPr>
          <w:rFonts w:ascii="Times New Roman" w:eastAsia="Calibri" w:hAnsi="Times New Roman" w:cs="Times New Roman"/>
          <w:bCs/>
          <w:sz w:val="24"/>
          <w:szCs w:val="24"/>
        </w:rPr>
        <w:t>K₃</w:t>
      </w:r>
      <w:proofErr w:type="gramStart"/>
      <w:r w:rsidRPr="00985971">
        <w:rPr>
          <w:rFonts w:ascii="Times New Roman" w:eastAsia="Calibri" w:hAnsi="Times New Roman" w:cs="Times New Roman"/>
          <w:bCs/>
          <w:sz w:val="24"/>
          <w:szCs w:val="24"/>
        </w:rPr>
        <w:t>Fe</w:t>
      </w:r>
      <w:proofErr w:type="spellEnd"/>
      <w:r w:rsidRPr="00985971">
        <w:rPr>
          <w:rFonts w:ascii="Times New Roman" w:eastAsia="Calibri" w:hAnsi="Times New Roman" w:cs="Times New Roman"/>
          <w:bCs/>
          <w:sz w:val="24"/>
          <w:szCs w:val="24"/>
        </w:rPr>
        <w:t>(</w:t>
      </w:r>
      <w:proofErr w:type="gramEnd"/>
      <w:r w:rsidRPr="00985971">
        <w:rPr>
          <w:rFonts w:ascii="Times New Roman" w:eastAsia="Calibri" w:hAnsi="Times New Roman" w:cs="Times New Roman"/>
          <w:bCs/>
          <w:sz w:val="24"/>
          <w:szCs w:val="24"/>
        </w:rPr>
        <w:t xml:space="preserve">CN)₆). The reaction was initiated by adding 25 </w:t>
      </w:r>
      <w:proofErr w:type="spellStart"/>
      <w:r w:rsidRPr="00985971">
        <w:rPr>
          <w:rFonts w:ascii="Times New Roman" w:eastAsia="Calibri" w:hAnsi="Times New Roman" w:cs="Times New Roman"/>
          <w:bCs/>
          <w:sz w:val="24"/>
          <w:szCs w:val="24"/>
        </w:rPr>
        <w:t>μL</w:t>
      </w:r>
      <w:proofErr w:type="spellEnd"/>
      <w:r w:rsidRPr="00985971">
        <w:rPr>
          <w:rFonts w:ascii="Times New Roman" w:eastAsia="Calibri" w:hAnsi="Times New Roman" w:cs="Times New Roman"/>
          <w:bCs/>
          <w:sz w:val="24"/>
          <w:szCs w:val="24"/>
        </w:rPr>
        <w:t xml:space="preserve"> of PFC homogenate, and the change in absorbance at 455 nm was recorded every 30 seconds for 3 minutes. Activities of mitochondrial respiratory chain complexes I–IV were measured following Medja et al. [37]. Complex I (NADH:</w:t>
      </w:r>
      <w:r w:rsidR="00C20ECF">
        <w:rPr>
          <w:rFonts w:ascii="Times New Roman" w:eastAsia="Calibri" w:hAnsi="Times New Roman" w:cs="Times New Roman"/>
          <w:bCs/>
          <w:sz w:val="24"/>
          <w:szCs w:val="24"/>
        </w:rPr>
        <w:t xml:space="preserve"> </w:t>
      </w:r>
      <w:r w:rsidRPr="00985971">
        <w:rPr>
          <w:rFonts w:ascii="Times New Roman" w:eastAsia="Calibri" w:hAnsi="Times New Roman" w:cs="Times New Roman"/>
          <w:bCs/>
          <w:sz w:val="24"/>
          <w:szCs w:val="24"/>
        </w:rPr>
        <w:t xml:space="preserve">ubiquinone oxidoreductase) activity was determined by monitoring NADH oxidation at 340 nm in the presence and absence of 25 </w:t>
      </w:r>
      <w:proofErr w:type="spellStart"/>
      <w:r w:rsidRPr="00985971">
        <w:rPr>
          <w:rFonts w:ascii="Times New Roman" w:eastAsia="Calibri" w:hAnsi="Times New Roman" w:cs="Times New Roman"/>
          <w:bCs/>
          <w:sz w:val="24"/>
          <w:szCs w:val="24"/>
        </w:rPr>
        <w:t>μM</w:t>
      </w:r>
      <w:proofErr w:type="spellEnd"/>
      <w:r w:rsidRPr="00985971">
        <w:rPr>
          <w:rFonts w:ascii="Times New Roman" w:eastAsia="Calibri" w:hAnsi="Times New Roman" w:cs="Times New Roman"/>
          <w:bCs/>
          <w:sz w:val="24"/>
          <w:szCs w:val="24"/>
        </w:rPr>
        <w:t xml:space="preserve"> rotenone. Complex II (succinate:</w:t>
      </w:r>
      <w:r w:rsidR="00C20ECF">
        <w:rPr>
          <w:rFonts w:ascii="Times New Roman" w:eastAsia="Calibri" w:hAnsi="Times New Roman" w:cs="Times New Roman"/>
          <w:bCs/>
          <w:sz w:val="24"/>
          <w:szCs w:val="24"/>
        </w:rPr>
        <w:t xml:space="preserve"> </w:t>
      </w:r>
      <w:r w:rsidRPr="00985971">
        <w:rPr>
          <w:rFonts w:ascii="Times New Roman" w:eastAsia="Calibri" w:hAnsi="Times New Roman" w:cs="Times New Roman"/>
          <w:bCs/>
          <w:sz w:val="24"/>
          <w:szCs w:val="24"/>
        </w:rPr>
        <w:t>ubiquinone oxidoreductase) activity was assayed spectrophotometrically at 600 nm. Complex III (ubiquinol:</w:t>
      </w:r>
      <w:r w:rsidR="00C20ECF">
        <w:rPr>
          <w:rFonts w:ascii="Times New Roman" w:eastAsia="Calibri" w:hAnsi="Times New Roman" w:cs="Times New Roman"/>
          <w:bCs/>
          <w:sz w:val="24"/>
          <w:szCs w:val="24"/>
        </w:rPr>
        <w:t xml:space="preserve"> </w:t>
      </w:r>
      <w:r w:rsidRPr="00985971">
        <w:rPr>
          <w:rFonts w:ascii="Times New Roman" w:eastAsia="Calibri" w:hAnsi="Times New Roman" w:cs="Times New Roman"/>
          <w:bCs/>
          <w:sz w:val="24"/>
          <w:szCs w:val="24"/>
        </w:rPr>
        <w:t xml:space="preserve">cytochrome c oxidoreductase) activity was measured at 550 nm; the activity was calculated from the antimycin-sensitive rate of cytochrome c reduction. Complex IV (cytochrome c oxidase) activity was determined by monitoring the oxidation of reduced cytochrome c at 550 nm. In this assay, an aliquot (~6 </w:t>
      </w:r>
      <w:proofErr w:type="spellStart"/>
      <w:r w:rsidRPr="00985971">
        <w:rPr>
          <w:rFonts w:ascii="Times New Roman" w:eastAsia="Calibri" w:hAnsi="Times New Roman" w:cs="Times New Roman"/>
          <w:bCs/>
          <w:sz w:val="24"/>
          <w:szCs w:val="24"/>
        </w:rPr>
        <w:t>μL</w:t>
      </w:r>
      <w:proofErr w:type="spellEnd"/>
      <w:r w:rsidRPr="00985971">
        <w:rPr>
          <w:rFonts w:ascii="Times New Roman" w:eastAsia="Calibri" w:hAnsi="Times New Roman" w:cs="Times New Roman"/>
          <w:bCs/>
          <w:sz w:val="24"/>
          <w:szCs w:val="24"/>
        </w:rPr>
        <w:t xml:space="preserve">) of </w:t>
      </w:r>
      <w:r w:rsidR="00074091">
        <w:rPr>
          <w:rFonts w:ascii="Times New Roman" w:eastAsia="Calibri" w:hAnsi="Times New Roman" w:cs="Times New Roman"/>
          <w:bCs/>
          <w:sz w:val="24"/>
          <w:szCs w:val="24"/>
        </w:rPr>
        <w:t xml:space="preserve">the </w:t>
      </w:r>
      <w:r w:rsidRPr="00985971">
        <w:rPr>
          <w:rFonts w:ascii="Times New Roman" w:eastAsia="Calibri" w:hAnsi="Times New Roman" w:cs="Times New Roman"/>
          <w:bCs/>
          <w:sz w:val="24"/>
          <w:szCs w:val="24"/>
        </w:rPr>
        <w:t xml:space="preserve">sample was added to 280 </w:t>
      </w:r>
      <w:proofErr w:type="spellStart"/>
      <w:r w:rsidRPr="00985971">
        <w:rPr>
          <w:rFonts w:ascii="Times New Roman" w:eastAsia="Calibri" w:hAnsi="Times New Roman" w:cs="Times New Roman"/>
          <w:bCs/>
          <w:sz w:val="24"/>
          <w:szCs w:val="24"/>
        </w:rPr>
        <w:t>μL</w:t>
      </w:r>
      <w:proofErr w:type="spellEnd"/>
      <w:r w:rsidRPr="00985971">
        <w:rPr>
          <w:rFonts w:ascii="Times New Roman" w:eastAsia="Calibri" w:hAnsi="Times New Roman" w:cs="Times New Roman"/>
          <w:bCs/>
          <w:sz w:val="24"/>
          <w:szCs w:val="24"/>
        </w:rPr>
        <w:t xml:space="preserve"> of 50 mM potassium phosphate buffer (pH 7.0) containing 100 </w:t>
      </w:r>
      <w:proofErr w:type="spellStart"/>
      <w:r w:rsidRPr="00985971">
        <w:rPr>
          <w:rFonts w:ascii="Times New Roman" w:eastAsia="Calibri" w:hAnsi="Times New Roman" w:cs="Times New Roman"/>
          <w:bCs/>
          <w:sz w:val="24"/>
          <w:szCs w:val="24"/>
        </w:rPr>
        <w:t>μM</w:t>
      </w:r>
      <w:proofErr w:type="spellEnd"/>
      <w:r w:rsidRPr="00985971">
        <w:rPr>
          <w:rFonts w:ascii="Times New Roman" w:eastAsia="Calibri" w:hAnsi="Times New Roman" w:cs="Times New Roman"/>
          <w:bCs/>
          <w:sz w:val="24"/>
          <w:szCs w:val="24"/>
        </w:rPr>
        <w:t xml:space="preserve"> reduced cytochrome c in a cuvette, and the decrease in absorbance at 550 nm was recorded at 30-second intervals for 3 minutes.</w:t>
      </w:r>
    </w:p>
    <w:p w14:paraId="2E20CDCE" w14:textId="77777777" w:rsidR="00985971" w:rsidRPr="00074091" w:rsidRDefault="00985971" w:rsidP="00985971">
      <w:pPr>
        <w:spacing w:after="0" w:line="480" w:lineRule="auto"/>
        <w:jc w:val="both"/>
        <w:rPr>
          <w:rFonts w:ascii="Times New Roman" w:eastAsia="Calibri" w:hAnsi="Times New Roman" w:cs="Times New Roman"/>
          <w:b/>
          <w:sz w:val="24"/>
          <w:szCs w:val="24"/>
        </w:rPr>
      </w:pPr>
      <w:r w:rsidRPr="00074091">
        <w:rPr>
          <w:rFonts w:ascii="Times New Roman" w:eastAsia="Calibri" w:hAnsi="Times New Roman" w:cs="Times New Roman"/>
          <w:b/>
          <w:sz w:val="24"/>
          <w:szCs w:val="24"/>
        </w:rPr>
        <w:t>Mitochondrial Redox and Inflammatory Status of PFC</w:t>
      </w:r>
    </w:p>
    <w:p w14:paraId="11943DB0" w14:textId="77997730" w:rsidR="00293E39" w:rsidRDefault="00985971" w:rsidP="00E2376B">
      <w:pPr>
        <w:spacing w:line="480" w:lineRule="auto"/>
        <w:jc w:val="both"/>
        <w:rPr>
          <w:rFonts w:ascii="Times New Roman" w:eastAsia="Calibri" w:hAnsi="Times New Roman" w:cs="Times New Roman"/>
          <w:bCs/>
          <w:sz w:val="24"/>
          <w:szCs w:val="24"/>
        </w:rPr>
      </w:pPr>
      <w:r w:rsidRPr="00985971">
        <w:rPr>
          <w:rFonts w:ascii="Times New Roman" w:eastAsia="Calibri" w:hAnsi="Times New Roman" w:cs="Times New Roman"/>
          <w:bCs/>
          <w:sz w:val="24"/>
          <w:szCs w:val="24"/>
        </w:rPr>
        <w:t xml:space="preserve">Lipid peroxidation was assessed by measuring malondialdehyde (MDA) as described by Olajide et al. [38]. Briefly, 0.10 mL of PFC homogenate was mixed with 2.00 mL of TCA/TBA/HCl reagent (1:1:1) and boiled at 100°C for 15 minutes. After cooling and centrifugation (3000 rpm, 10 minutes), the absorbance of the supernatant was measured at 532 nm. MDA concentration was calculated using an extinction coefficient of 1.55 × 10⁶ M⁻¹ cm⁻¹. </w:t>
      </w:r>
      <w:r w:rsidRPr="00985971">
        <w:rPr>
          <w:rFonts w:ascii="Times New Roman" w:eastAsia="Calibri" w:hAnsi="Times New Roman" w:cs="Times New Roman"/>
          <w:bCs/>
          <w:sz w:val="24"/>
          <w:szCs w:val="24"/>
        </w:rPr>
        <w:lastRenderedPageBreak/>
        <w:t xml:space="preserve">Nitric oxide (NO) production was measured using the Griess reaction (Kehinde et al. [39]). A mixture of 50 </w:t>
      </w:r>
      <w:proofErr w:type="spellStart"/>
      <w:r w:rsidRPr="00985971">
        <w:rPr>
          <w:rFonts w:ascii="Times New Roman" w:eastAsia="Calibri" w:hAnsi="Times New Roman" w:cs="Times New Roman"/>
          <w:bCs/>
          <w:sz w:val="24"/>
          <w:szCs w:val="24"/>
        </w:rPr>
        <w:t>μL</w:t>
      </w:r>
      <w:proofErr w:type="spellEnd"/>
      <w:r w:rsidRPr="00985971">
        <w:rPr>
          <w:rFonts w:ascii="Times New Roman" w:eastAsia="Calibri" w:hAnsi="Times New Roman" w:cs="Times New Roman"/>
          <w:bCs/>
          <w:sz w:val="24"/>
          <w:szCs w:val="24"/>
        </w:rPr>
        <w:t xml:space="preserve"> sample, 150 </w:t>
      </w:r>
      <w:proofErr w:type="spellStart"/>
      <w:r w:rsidRPr="00985971">
        <w:rPr>
          <w:rFonts w:ascii="Times New Roman" w:eastAsia="Calibri" w:hAnsi="Times New Roman" w:cs="Times New Roman"/>
          <w:bCs/>
          <w:sz w:val="24"/>
          <w:szCs w:val="24"/>
        </w:rPr>
        <w:t>μL</w:t>
      </w:r>
      <w:proofErr w:type="spellEnd"/>
      <w:r w:rsidRPr="00985971">
        <w:rPr>
          <w:rFonts w:ascii="Times New Roman" w:eastAsia="Calibri" w:hAnsi="Times New Roman" w:cs="Times New Roman"/>
          <w:bCs/>
          <w:sz w:val="24"/>
          <w:szCs w:val="24"/>
        </w:rPr>
        <w:t xml:space="preserve"> </w:t>
      </w:r>
      <w:r w:rsidR="00A1091A" w:rsidRPr="00985971">
        <w:rPr>
          <w:rFonts w:ascii="Times New Roman" w:eastAsia="Calibri" w:hAnsi="Times New Roman" w:cs="Times New Roman"/>
          <w:bCs/>
          <w:sz w:val="24"/>
          <w:szCs w:val="24"/>
        </w:rPr>
        <w:t>sulphanilamide</w:t>
      </w:r>
      <w:r w:rsidRPr="00985971">
        <w:rPr>
          <w:rFonts w:ascii="Times New Roman" w:eastAsia="Calibri" w:hAnsi="Times New Roman" w:cs="Times New Roman"/>
          <w:bCs/>
          <w:sz w:val="24"/>
          <w:szCs w:val="24"/>
        </w:rPr>
        <w:t xml:space="preserve">, and 100 </w:t>
      </w:r>
      <w:proofErr w:type="spellStart"/>
      <w:r w:rsidRPr="00985971">
        <w:rPr>
          <w:rFonts w:ascii="Times New Roman" w:eastAsia="Calibri" w:hAnsi="Times New Roman" w:cs="Times New Roman"/>
          <w:bCs/>
          <w:sz w:val="24"/>
          <w:szCs w:val="24"/>
        </w:rPr>
        <w:t>μL</w:t>
      </w:r>
      <w:proofErr w:type="spellEnd"/>
      <w:r w:rsidRPr="00985971">
        <w:rPr>
          <w:rFonts w:ascii="Times New Roman" w:eastAsia="Calibri" w:hAnsi="Times New Roman" w:cs="Times New Roman"/>
          <w:bCs/>
          <w:sz w:val="24"/>
          <w:szCs w:val="24"/>
        </w:rPr>
        <w:t xml:space="preserve"> distilled water was incubated for 10 minutes, and then 150 </w:t>
      </w:r>
      <w:proofErr w:type="spellStart"/>
      <w:r w:rsidRPr="00985971">
        <w:rPr>
          <w:rFonts w:ascii="Times New Roman" w:eastAsia="Calibri" w:hAnsi="Times New Roman" w:cs="Times New Roman"/>
          <w:bCs/>
          <w:sz w:val="24"/>
          <w:szCs w:val="24"/>
        </w:rPr>
        <w:t>μL</w:t>
      </w:r>
      <w:proofErr w:type="spellEnd"/>
      <w:r w:rsidRPr="00985971">
        <w:rPr>
          <w:rFonts w:ascii="Times New Roman" w:eastAsia="Calibri" w:hAnsi="Times New Roman" w:cs="Times New Roman"/>
          <w:bCs/>
          <w:sz w:val="24"/>
          <w:szCs w:val="24"/>
        </w:rPr>
        <w:t xml:space="preserve"> of N-(1-</w:t>
      </w:r>
      <w:r w:rsidR="00712CE4" w:rsidRPr="00985971">
        <w:rPr>
          <w:rFonts w:ascii="Times New Roman" w:eastAsia="Calibri" w:hAnsi="Times New Roman" w:cs="Times New Roman"/>
          <w:bCs/>
          <w:sz w:val="24"/>
          <w:szCs w:val="24"/>
        </w:rPr>
        <w:t>naphthyl) ethylenediamine</w:t>
      </w:r>
      <w:r w:rsidRPr="00985971">
        <w:rPr>
          <w:rFonts w:ascii="Times New Roman" w:eastAsia="Calibri" w:hAnsi="Times New Roman" w:cs="Times New Roman"/>
          <w:bCs/>
          <w:sz w:val="24"/>
          <w:szCs w:val="24"/>
        </w:rPr>
        <w:t xml:space="preserve"> dihydrochloride was added. After another 10-minute incubation, the absorbance at 540 nm was read, and the nitrite (NO₂⁻) concentration was determined. Myeloperoxidase (MPO) activity was measured as per Hanning et al. [40]. In a microplate well, 10 </w:t>
      </w:r>
      <w:proofErr w:type="spellStart"/>
      <w:r w:rsidRPr="00985971">
        <w:rPr>
          <w:rFonts w:ascii="Times New Roman" w:eastAsia="Calibri" w:hAnsi="Times New Roman" w:cs="Times New Roman"/>
          <w:bCs/>
          <w:sz w:val="24"/>
          <w:szCs w:val="24"/>
        </w:rPr>
        <w:t>μL</w:t>
      </w:r>
      <w:proofErr w:type="spellEnd"/>
      <w:r w:rsidRPr="00985971">
        <w:rPr>
          <w:rFonts w:ascii="Times New Roman" w:eastAsia="Calibri" w:hAnsi="Times New Roman" w:cs="Times New Roman"/>
          <w:bCs/>
          <w:sz w:val="24"/>
          <w:szCs w:val="24"/>
        </w:rPr>
        <w:t xml:space="preserve"> of PFC sample was mixed with 80 </w:t>
      </w:r>
      <w:proofErr w:type="spellStart"/>
      <w:r w:rsidRPr="00985971">
        <w:rPr>
          <w:rFonts w:ascii="Times New Roman" w:eastAsia="Calibri" w:hAnsi="Times New Roman" w:cs="Times New Roman"/>
          <w:bCs/>
          <w:sz w:val="24"/>
          <w:szCs w:val="24"/>
        </w:rPr>
        <w:t>μL</w:t>
      </w:r>
      <w:proofErr w:type="spellEnd"/>
      <w:r w:rsidRPr="00985971">
        <w:rPr>
          <w:rFonts w:ascii="Times New Roman" w:eastAsia="Calibri" w:hAnsi="Times New Roman" w:cs="Times New Roman"/>
          <w:bCs/>
          <w:sz w:val="24"/>
          <w:szCs w:val="24"/>
        </w:rPr>
        <w:t xml:space="preserve"> of 0.75 mM H₂O₂ and 110 </w:t>
      </w:r>
      <w:proofErr w:type="spellStart"/>
      <w:r w:rsidRPr="00985971">
        <w:rPr>
          <w:rFonts w:ascii="Times New Roman" w:eastAsia="Calibri" w:hAnsi="Times New Roman" w:cs="Times New Roman"/>
          <w:bCs/>
          <w:sz w:val="24"/>
          <w:szCs w:val="24"/>
        </w:rPr>
        <w:t>μL</w:t>
      </w:r>
      <w:proofErr w:type="spellEnd"/>
      <w:r w:rsidRPr="00985971">
        <w:rPr>
          <w:rFonts w:ascii="Times New Roman" w:eastAsia="Calibri" w:hAnsi="Times New Roman" w:cs="Times New Roman"/>
          <w:bCs/>
          <w:sz w:val="24"/>
          <w:szCs w:val="24"/>
        </w:rPr>
        <w:t xml:space="preserve"> of TMB solution (2.9 mM 3,3′,5,5′-tetramethylbenzidine in 14.5% DMSO and 150 mM sodium phosphate buffer, pH 5.4). After incubation at 37°C for 5 minutes, the reaction was stopped with 50 </w:t>
      </w:r>
      <w:proofErr w:type="spellStart"/>
      <w:r w:rsidRPr="00985971">
        <w:rPr>
          <w:rFonts w:ascii="Times New Roman" w:eastAsia="Calibri" w:hAnsi="Times New Roman" w:cs="Times New Roman"/>
          <w:bCs/>
          <w:sz w:val="24"/>
          <w:szCs w:val="24"/>
        </w:rPr>
        <w:t>μL</w:t>
      </w:r>
      <w:proofErr w:type="spellEnd"/>
      <w:r w:rsidRPr="00985971">
        <w:rPr>
          <w:rFonts w:ascii="Times New Roman" w:eastAsia="Calibri" w:hAnsi="Times New Roman" w:cs="Times New Roman"/>
          <w:bCs/>
          <w:sz w:val="24"/>
          <w:szCs w:val="24"/>
        </w:rPr>
        <w:t xml:space="preserve"> of 2 M H₂SO₄, and the absorbance at 450 nm was measured. MPO activity was expressed per mg of tissue. Reduced glutathione (GSH) levels were determined by the method of Moron et al. [41]. PFC sample was mixed 1:1 with 5% sulfosalicylic acid and centrifuged (3000 rpm, 5 minutes). Then, 0.50 mL of supernatant was added to 4.00 mL of 0.1 M phosphate buffer (pH 7.4) and 0.50 mL of 5,5′-dithiobis</w:t>
      </w:r>
      <w:r w:rsidR="00002061">
        <w:rPr>
          <w:rFonts w:ascii="Times New Roman" w:eastAsia="Calibri" w:hAnsi="Times New Roman" w:cs="Times New Roman"/>
          <w:bCs/>
          <w:sz w:val="24"/>
          <w:szCs w:val="24"/>
        </w:rPr>
        <w:t>-</w:t>
      </w:r>
      <w:r w:rsidRPr="00985971">
        <w:rPr>
          <w:rFonts w:ascii="Times New Roman" w:eastAsia="Calibri" w:hAnsi="Times New Roman" w:cs="Times New Roman"/>
          <w:bCs/>
          <w:sz w:val="24"/>
          <w:szCs w:val="24"/>
        </w:rPr>
        <w:t xml:space="preserve">(2-nitrobenzoic acid) (Ellman’s reagent). The resulting yellow </w:t>
      </w:r>
      <w:r w:rsidR="005D2B71" w:rsidRPr="00985971">
        <w:rPr>
          <w:rFonts w:ascii="Times New Roman" w:eastAsia="Calibri" w:hAnsi="Times New Roman" w:cs="Times New Roman"/>
          <w:bCs/>
          <w:sz w:val="24"/>
          <w:szCs w:val="24"/>
        </w:rPr>
        <w:t>colour</w:t>
      </w:r>
      <w:r w:rsidRPr="00985971">
        <w:rPr>
          <w:rFonts w:ascii="Times New Roman" w:eastAsia="Calibri" w:hAnsi="Times New Roman" w:cs="Times New Roman"/>
          <w:bCs/>
          <w:sz w:val="24"/>
          <w:szCs w:val="24"/>
        </w:rPr>
        <w:t xml:space="preserve"> was measured at 412 nm. Glutathione S-transferase (GST) activity was measured by the method of </w:t>
      </w:r>
      <w:proofErr w:type="spellStart"/>
      <w:r w:rsidRPr="00985971">
        <w:rPr>
          <w:rFonts w:ascii="Times New Roman" w:eastAsia="Calibri" w:hAnsi="Times New Roman" w:cs="Times New Roman"/>
          <w:bCs/>
          <w:sz w:val="24"/>
          <w:szCs w:val="24"/>
        </w:rPr>
        <w:t>Skopelitou</w:t>
      </w:r>
      <w:proofErr w:type="spellEnd"/>
      <w:r w:rsidRPr="00985971">
        <w:rPr>
          <w:rFonts w:ascii="Times New Roman" w:eastAsia="Calibri" w:hAnsi="Times New Roman" w:cs="Times New Roman"/>
          <w:bCs/>
          <w:sz w:val="24"/>
          <w:szCs w:val="24"/>
        </w:rPr>
        <w:t xml:space="preserve"> and </w:t>
      </w:r>
      <w:proofErr w:type="spellStart"/>
      <w:r w:rsidRPr="00985971">
        <w:rPr>
          <w:rFonts w:ascii="Times New Roman" w:eastAsia="Calibri" w:hAnsi="Times New Roman" w:cs="Times New Roman"/>
          <w:bCs/>
          <w:sz w:val="24"/>
          <w:szCs w:val="24"/>
        </w:rPr>
        <w:t>Labrou</w:t>
      </w:r>
      <w:proofErr w:type="spellEnd"/>
      <w:r w:rsidRPr="00985971">
        <w:rPr>
          <w:rFonts w:ascii="Times New Roman" w:eastAsia="Calibri" w:hAnsi="Times New Roman" w:cs="Times New Roman"/>
          <w:bCs/>
          <w:sz w:val="24"/>
          <w:szCs w:val="24"/>
        </w:rPr>
        <w:t xml:space="preserve"> [42]. The reaction mixture contained 30 </w:t>
      </w:r>
      <w:proofErr w:type="spellStart"/>
      <w:r w:rsidRPr="00985971">
        <w:rPr>
          <w:rFonts w:ascii="Times New Roman" w:eastAsia="Calibri" w:hAnsi="Times New Roman" w:cs="Times New Roman"/>
          <w:bCs/>
          <w:sz w:val="24"/>
          <w:szCs w:val="24"/>
        </w:rPr>
        <w:t>μL</w:t>
      </w:r>
      <w:proofErr w:type="spellEnd"/>
      <w:r w:rsidRPr="00985971">
        <w:rPr>
          <w:rFonts w:ascii="Times New Roman" w:eastAsia="Calibri" w:hAnsi="Times New Roman" w:cs="Times New Roman"/>
          <w:bCs/>
          <w:sz w:val="24"/>
          <w:szCs w:val="24"/>
        </w:rPr>
        <w:t xml:space="preserve"> of reduced GSH, 150 </w:t>
      </w:r>
      <w:proofErr w:type="spellStart"/>
      <w:r w:rsidRPr="00985971">
        <w:rPr>
          <w:rFonts w:ascii="Times New Roman" w:eastAsia="Calibri" w:hAnsi="Times New Roman" w:cs="Times New Roman"/>
          <w:bCs/>
          <w:sz w:val="24"/>
          <w:szCs w:val="24"/>
        </w:rPr>
        <w:t>μL</w:t>
      </w:r>
      <w:proofErr w:type="spellEnd"/>
      <w:r w:rsidRPr="00985971">
        <w:rPr>
          <w:rFonts w:ascii="Times New Roman" w:eastAsia="Calibri" w:hAnsi="Times New Roman" w:cs="Times New Roman"/>
          <w:bCs/>
          <w:sz w:val="24"/>
          <w:szCs w:val="24"/>
        </w:rPr>
        <w:t xml:space="preserve"> of 2,4-dinitrochlorobenzene (CDNB), 2.79 mL of 0.1 M phosphate buffer (pH 6.5), and 30 </w:t>
      </w:r>
      <w:proofErr w:type="spellStart"/>
      <w:r w:rsidRPr="00985971">
        <w:rPr>
          <w:rFonts w:ascii="Times New Roman" w:eastAsia="Calibri" w:hAnsi="Times New Roman" w:cs="Times New Roman"/>
          <w:bCs/>
          <w:sz w:val="24"/>
          <w:szCs w:val="24"/>
        </w:rPr>
        <w:t>μL</w:t>
      </w:r>
      <w:proofErr w:type="spellEnd"/>
      <w:r w:rsidRPr="00985971">
        <w:rPr>
          <w:rFonts w:ascii="Times New Roman" w:eastAsia="Calibri" w:hAnsi="Times New Roman" w:cs="Times New Roman"/>
          <w:bCs/>
          <w:sz w:val="24"/>
          <w:szCs w:val="24"/>
        </w:rPr>
        <w:t xml:space="preserve"> of PFC sample. The increase in absorbance at 340 nm was recorded every minute for 3 minutes. Superoxide dismutase (SOD) activity was determined by the Misra and </w:t>
      </w:r>
      <w:proofErr w:type="spellStart"/>
      <w:r w:rsidRPr="00985971">
        <w:rPr>
          <w:rFonts w:ascii="Times New Roman" w:eastAsia="Calibri" w:hAnsi="Times New Roman" w:cs="Times New Roman"/>
          <w:bCs/>
          <w:sz w:val="24"/>
          <w:szCs w:val="24"/>
        </w:rPr>
        <w:t>Fridovich</w:t>
      </w:r>
      <w:proofErr w:type="spellEnd"/>
      <w:r w:rsidRPr="00985971">
        <w:rPr>
          <w:rFonts w:ascii="Times New Roman" w:eastAsia="Calibri" w:hAnsi="Times New Roman" w:cs="Times New Roman"/>
          <w:bCs/>
          <w:sz w:val="24"/>
          <w:szCs w:val="24"/>
        </w:rPr>
        <w:t xml:space="preserve"> method [43]. The reaction mixture consisted of 0.30 mL of adrenaline (30 mM), 2.50 mL of 0.05 M sodium carbonate buffer (pH 10.2), and 0.20 mL of PFC sample. The rate of increase in absorbance at 480 nm was measured, and one unit of SOD was defined as the amount of enzyme causing 50% inhibition of adrenaline auto-oxidation. Catalase (CAT) activity was measured as described by </w:t>
      </w:r>
      <w:proofErr w:type="spellStart"/>
      <w:r w:rsidRPr="00985971">
        <w:rPr>
          <w:rFonts w:ascii="Times New Roman" w:eastAsia="Calibri" w:hAnsi="Times New Roman" w:cs="Times New Roman"/>
          <w:bCs/>
          <w:sz w:val="24"/>
          <w:szCs w:val="24"/>
        </w:rPr>
        <w:t>Hadwan</w:t>
      </w:r>
      <w:proofErr w:type="spellEnd"/>
      <w:r w:rsidRPr="00985971">
        <w:rPr>
          <w:rFonts w:ascii="Times New Roman" w:eastAsia="Calibri" w:hAnsi="Times New Roman" w:cs="Times New Roman"/>
          <w:bCs/>
          <w:sz w:val="24"/>
          <w:szCs w:val="24"/>
        </w:rPr>
        <w:t xml:space="preserve"> [44]. The reaction mixture contained 0.25 mL of PFC homogenate, 1.0 mL of 0.01 M phosphate buffer (pH 7.0), and 1.0 mL of 2 M H₂O₂. At 0, 1, 2, and 3 minutes, 0.5 mL aliquots were removed and mixed </w:t>
      </w:r>
      <w:r w:rsidRPr="00985971">
        <w:rPr>
          <w:rFonts w:ascii="Times New Roman" w:eastAsia="Calibri" w:hAnsi="Times New Roman" w:cs="Times New Roman"/>
          <w:bCs/>
          <w:sz w:val="24"/>
          <w:szCs w:val="24"/>
        </w:rPr>
        <w:lastRenderedPageBreak/>
        <w:t>with dichromate–acetic acid reagent (5% potassium dichromate in glacial acetic acid) to stop the reaction. After heating at 100°C for 10 minutes and cooling, the absorbance was measured at 570 nm. One unit of CAT activity was defined as the amount of enzyme required to decompose 1 μmol of H₂O₂ per minute. Ascorbic acid (AA) content was determined by the Folin</w:t>
      </w:r>
      <w:r w:rsidR="0097314D">
        <w:rPr>
          <w:rFonts w:ascii="Times New Roman" w:eastAsia="Calibri" w:hAnsi="Times New Roman" w:cs="Times New Roman"/>
          <w:bCs/>
          <w:sz w:val="24"/>
          <w:szCs w:val="24"/>
        </w:rPr>
        <w:t>-</w:t>
      </w:r>
      <w:proofErr w:type="spellStart"/>
      <w:r w:rsidRPr="00985971">
        <w:rPr>
          <w:rFonts w:ascii="Times New Roman" w:eastAsia="Calibri" w:hAnsi="Times New Roman" w:cs="Times New Roman"/>
          <w:bCs/>
          <w:sz w:val="24"/>
          <w:szCs w:val="24"/>
        </w:rPr>
        <w:t>Ciocalteu</w:t>
      </w:r>
      <w:proofErr w:type="spellEnd"/>
      <w:r w:rsidRPr="00985971">
        <w:rPr>
          <w:rFonts w:ascii="Times New Roman" w:eastAsia="Calibri" w:hAnsi="Times New Roman" w:cs="Times New Roman"/>
          <w:bCs/>
          <w:sz w:val="24"/>
          <w:szCs w:val="24"/>
        </w:rPr>
        <w:t xml:space="preserve"> method (Olajide et al. [38]). In this assay, AA in the PFC sample reacts with Folin</w:t>
      </w:r>
      <w:r w:rsidR="0097314D">
        <w:rPr>
          <w:rFonts w:ascii="Times New Roman" w:eastAsia="Calibri" w:hAnsi="Times New Roman" w:cs="Times New Roman"/>
          <w:bCs/>
          <w:sz w:val="24"/>
          <w:szCs w:val="24"/>
        </w:rPr>
        <w:t>-</w:t>
      </w:r>
      <w:proofErr w:type="spellStart"/>
      <w:r w:rsidRPr="00985971">
        <w:rPr>
          <w:rFonts w:ascii="Times New Roman" w:eastAsia="Calibri" w:hAnsi="Times New Roman" w:cs="Times New Roman"/>
          <w:bCs/>
          <w:sz w:val="24"/>
          <w:szCs w:val="24"/>
        </w:rPr>
        <w:t>Ciocalteu</w:t>
      </w:r>
      <w:proofErr w:type="spellEnd"/>
      <w:r w:rsidRPr="00985971">
        <w:rPr>
          <w:rFonts w:ascii="Times New Roman" w:eastAsia="Calibri" w:hAnsi="Times New Roman" w:cs="Times New Roman"/>
          <w:bCs/>
          <w:sz w:val="24"/>
          <w:szCs w:val="24"/>
        </w:rPr>
        <w:t xml:space="preserve"> reagent to form a blue complex with maximum absorbance at 760 nm.</w:t>
      </w:r>
      <w:r w:rsidR="00314D70">
        <w:rPr>
          <w:rFonts w:ascii="Times New Roman" w:eastAsia="Calibri" w:hAnsi="Times New Roman" w:cs="Times New Roman"/>
          <w:bCs/>
          <w:sz w:val="24"/>
          <w:szCs w:val="24"/>
        </w:rPr>
        <w:t xml:space="preserve"> </w:t>
      </w:r>
      <w:r w:rsidR="002F5C5A" w:rsidRPr="002F5C5A">
        <w:rPr>
          <w:rFonts w:ascii="Times New Roman" w:eastAsia="Calibri" w:hAnsi="Times New Roman" w:cs="Times New Roman"/>
          <w:bCs/>
          <w:sz w:val="24"/>
          <w:szCs w:val="24"/>
        </w:rPr>
        <w:t xml:space="preserve">A standard curve was prepared by taking varying concentrations of standard solutions of ascorbic acid in water, ranging from 0.05 </w:t>
      </w:r>
      <w:r w:rsidR="002F5C5A">
        <w:rPr>
          <w:rFonts w:ascii="Times New Roman" w:eastAsia="Calibri" w:hAnsi="Times New Roman" w:cs="Times New Roman"/>
          <w:bCs/>
          <w:sz w:val="24"/>
          <w:szCs w:val="24"/>
        </w:rPr>
        <w:t>to</w:t>
      </w:r>
      <w:r w:rsidR="002F5C5A" w:rsidRPr="002F5C5A">
        <w:rPr>
          <w:rFonts w:ascii="Times New Roman" w:eastAsia="Calibri" w:hAnsi="Times New Roman" w:cs="Times New Roman"/>
          <w:bCs/>
          <w:sz w:val="24"/>
          <w:szCs w:val="24"/>
        </w:rPr>
        <w:t xml:space="preserve"> 0.7 ml. Then, 0.8 mL of 10% TCA was added to each tube. After vigorous shaking, the tubes were kept in an ice bath for 5 minutes and centrifuged for another at 3000g for another 5 min. Supernatants of the same range (i.e.</w:t>
      </w:r>
      <w:r w:rsidR="002F5C5A">
        <w:rPr>
          <w:rFonts w:ascii="Times New Roman" w:eastAsia="Calibri" w:hAnsi="Times New Roman" w:cs="Times New Roman"/>
          <w:bCs/>
          <w:sz w:val="24"/>
          <w:szCs w:val="24"/>
        </w:rPr>
        <w:t>,</w:t>
      </w:r>
      <w:r w:rsidR="002F5C5A" w:rsidRPr="002F5C5A">
        <w:rPr>
          <w:rFonts w:ascii="Times New Roman" w:eastAsia="Calibri" w:hAnsi="Times New Roman" w:cs="Times New Roman"/>
          <w:bCs/>
          <w:sz w:val="24"/>
          <w:szCs w:val="24"/>
        </w:rPr>
        <w:t xml:space="preserve"> 0.05-0.7 mL) were withdrawn and diluted to 2.0 mL using double-distilled water, and thereafter 0.2 mL of diluted Folin’s reagent was added</w:t>
      </w:r>
      <w:r w:rsidR="002F5C5A">
        <w:rPr>
          <w:rFonts w:ascii="Times New Roman" w:eastAsia="Calibri" w:hAnsi="Times New Roman" w:cs="Times New Roman"/>
          <w:bCs/>
          <w:sz w:val="24"/>
          <w:szCs w:val="24"/>
        </w:rPr>
        <w:t>,</w:t>
      </w:r>
      <w:r w:rsidR="002F5C5A" w:rsidRPr="002F5C5A">
        <w:rPr>
          <w:rFonts w:ascii="Times New Roman" w:eastAsia="Calibri" w:hAnsi="Times New Roman" w:cs="Times New Roman"/>
          <w:bCs/>
          <w:sz w:val="24"/>
          <w:szCs w:val="24"/>
        </w:rPr>
        <w:t xml:space="preserve"> and the tubes </w:t>
      </w:r>
      <w:r w:rsidR="002F5C5A">
        <w:rPr>
          <w:rFonts w:ascii="Times New Roman" w:eastAsia="Calibri" w:hAnsi="Times New Roman" w:cs="Times New Roman"/>
          <w:bCs/>
          <w:sz w:val="24"/>
          <w:szCs w:val="24"/>
        </w:rPr>
        <w:t xml:space="preserve">were </w:t>
      </w:r>
      <w:r w:rsidR="002F5C5A" w:rsidRPr="002F5C5A">
        <w:rPr>
          <w:rFonts w:ascii="Times New Roman" w:eastAsia="Calibri" w:hAnsi="Times New Roman" w:cs="Times New Roman"/>
          <w:bCs/>
          <w:sz w:val="24"/>
          <w:szCs w:val="24"/>
        </w:rPr>
        <w:t>vigorously shaken. After 10 min, the absorbance of the blue colour developed was measured in a spectrophotometer at 760 nm.</w:t>
      </w:r>
      <w:r w:rsidR="00F23547">
        <w:rPr>
          <w:rFonts w:ascii="Times New Roman" w:eastAsia="Calibri" w:hAnsi="Times New Roman" w:cs="Times New Roman"/>
          <w:bCs/>
          <w:sz w:val="24"/>
          <w:szCs w:val="24"/>
        </w:rPr>
        <w:t xml:space="preserve"> AA</w:t>
      </w:r>
      <w:r w:rsidR="00E2376B" w:rsidRPr="00E2376B">
        <w:rPr>
          <w:rFonts w:ascii="Times New Roman" w:eastAsia="Calibri" w:hAnsi="Times New Roman" w:cs="Times New Roman"/>
          <w:bCs/>
          <w:sz w:val="24"/>
          <w:szCs w:val="24"/>
        </w:rPr>
        <w:t xml:space="preserve"> in the </w:t>
      </w:r>
      <w:r w:rsidR="00F23547">
        <w:rPr>
          <w:rFonts w:ascii="Times New Roman" w:eastAsia="Calibri" w:hAnsi="Times New Roman" w:cs="Times New Roman"/>
          <w:bCs/>
          <w:sz w:val="24"/>
          <w:szCs w:val="24"/>
        </w:rPr>
        <w:t>PFC</w:t>
      </w:r>
      <w:r w:rsidR="00E2376B" w:rsidRPr="00E2376B">
        <w:rPr>
          <w:rFonts w:ascii="Times New Roman" w:eastAsia="Calibri" w:hAnsi="Times New Roman" w:cs="Times New Roman"/>
          <w:bCs/>
          <w:sz w:val="24"/>
          <w:szCs w:val="24"/>
        </w:rPr>
        <w:t xml:space="preserve"> samples was estimated with appropriate blank correction. For the blank, no sample was added, whereas 500 µL of the test sample was used for the test assay. In both blank and test tubes, 800 µL of 10% trichloroacetic acid (TCA) was added to precipitate proteins. The mixtures were subjected to vigorous shaking and subsequently kept in an ice bath for 5 min. Thereafter, the tubes were centrifuged at 3000 rpm for 5 min to obtain a clear supernatant.</w:t>
      </w:r>
      <w:r w:rsidR="00E2376B">
        <w:rPr>
          <w:rFonts w:ascii="Times New Roman" w:eastAsia="Calibri" w:hAnsi="Times New Roman" w:cs="Times New Roman"/>
          <w:bCs/>
          <w:sz w:val="24"/>
          <w:szCs w:val="24"/>
        </w:rPr>
        <w:t xml:space="preserve"> </w:t>
      </w:r>
      <w:r w:rsidR="00E2376B" w:rsidRPr="00E2376B">
        <w:rPr>
          <w:rFonts w:ascii="Times New Roman" w:eastAsia="Calibri" w:hAnsi="Times New Roman" w:cs="Times New Roman"/>
          <w:bCs/>
          <w:sz w:val="24"/>
          <w:szCs w:val="24"/>
        </w:rPr>
        <w:t xml:space="preserve">Following centrifugation, 500 µL of the supernatant was transferred into fresh tubes for both blank and test preparations. This was diluted with 1500 µL of distilled water, after which 200 µL of Folin’s reagent was added. The reaction mixtures were mixed thoroughly and allowed to develop </w:t>
      </w:r>
      <w:r w:rsidR="00902929" w:rsidRPr="00E2376B">
        <w:rPr>
          <w:rFonts w:ascii="Times New Roman" w:eastAsia="Calibri" w:hAnsi="Times New Roman" w:cs="Times New Roman"/>
          <w:bCs/>
          <w:sz w:val="24"/>
          <w:szCs w:val="24"/>
        </w:rPr>
        <w:t>colour</w:t>
      </w:r>
      <w:r w:rsidR="00E2376B" w:rsidRPr="00E2376B">
        <w:rPr>
          <w:rFonts w:ascii="Times New Roman" w:eastAsia="Calibri" w:hAnsi="Times New Roman" w:cs="Times New Roman"/>
          <w:bCs/>
          <w:sz w:val="24"/>
          <w:szCs w:val="24"/>
        </w:rPr>
        <w:t>. Absorbance was then measured at 760 nm using a spectrophotometer, with readings taken against the blank.</w:t>
      </w:r>
    </w:p>
    <w:p w14:paraId="3156FF74" w14:textId="77777777" w:rsidR="0039766D" w:rsidRDefault="0039766D" w:rsidP="00E2376B">
      <w:pPr>
        <w:spacing w:line="480" w:lineRule="auto"/>
        <w:jc w:val="both"/>
        <w:rPr>
          <w:rFonts w:ascii="Times New Roman" w:eastAsia="Calibri" w:hAnsi="Times New Roman" w:cs="Times New Roman"/>
          <w:bCs/>
          <w:sz w:val="24"/>
          <w:szCs w:val="24"/>
        </w:rPr>
      </w:pPr>
    </w:p>
    <w:p w14:paraId="27B5550F" w14:textId="77777777" w:rsidR="0039766D" w:rsidRPr="00403F3A" w:rsidRDefault="0039766D" w:rsidP="00E2376B">
      <w:pPr>
        <w:spacing w:line="480" w:lineRule="auto"/>
        <w:jc w:val="both"/>
        <w:rPr>
          <w:rFonts w:ascii="Times New Roman" w:eastAsia="Calibri" w:hAnsi="Times New Roman" w:cs="Times New Roman"/>
          <w:bCs/>
          <w:sz w:val="24"/>
          <w:szCs w:val="24"/>
        </w:rPr>
      </w:pPr>
    </w:p>
    <w:p w14:paraId="01D2CF76" w14:textId="64184176" w:rsidR="005226E9" w:rsidRPr="005226E9" w:rsidRDefault="005226E9" w:rsidP="00293E39">
      <w:pPr>
        <w:spacing w:after="0" w:line="480" w:lineRule="auto"/>
        <w:jc w:val="both"/>
        <w:rPr>
          <w:rFonts w:ascii="Times New Roman" w:hAnsi="Times New Roman" w:cs="Times New Roman"/>
          <w:b/>
          <w:bCs/>
          <w:sz w:val="24"/>
          <w:szCs w:val="24"/>
          <w:lang w:bidi="en-US"/>
        </w:rPr>
      </w:pPr>
      <w:r w:rsidRPr="005226E9">
        <w:rPr>
          <w:rFonts w:ascii="Times New Roman" w:hAnsi="Times New Roman" w:cs="Times New Roman"/>
          <w:b/>
          <w:bCs/>
          <w:sz w:val="24"/>
          <w:szCs w:val="24"/>
          <w:lang w:bidi="en-US"/>
        </w:rPr>
        <w:lastRenderedPageBreak/>
        <w:t xml:space="preserve">Histopathological Analysis of </w:t>
      </w:r>
      <w:r w:rsidR="001471BA">
        <w:rPr>
          <w:rFonts w:ascii="Times New Roman" w:hAnsi="Times New Roman" w:cs="Times New Roman"/>
          <w:b/>
          <w:bCs/>
          <w:sz w:val="24"/>
          <w:szCs w:val="24"/>
          <w:lang w:bidi="en-US"/>
        </w:rPr>
        <w:t xml:space="preserve">the </w:t>
      </w:r>
      <w:r w:rsidRPr="005226E9">
        <w:rPr>
          <w:rFonts w:ascii="Times New Roman" w:hAnsi="Times New Roman" w:cs="Times New Roman"/>
          <w:b/>
          <w:bCs/>
          <w:sz w:val="24"/>
          <w:szCs w:val="24"/>
          <w:lang w:bidi="en-US"/>
        </w:rPr>
        <w:t>PFC Section of the Brain Tissue</w:t>
      </w:r>
    </w:p>
    <w:p w14:paraId="150DE659" w14:textId="50902DEE" w:rsidR="00392B32" w:rsidRPr="005226E9" w:rsidRDefault="00080D86" w:rsidP="00F273A9">
      <w:pPr>
        <w:spacing w:line="480" w:lineRule="auto"/>
        <w:jc w:val="both"/>
        <w:rPr>
          <w:rFonts w:ascii="Times New Roman" w:hAnsi="Times New Roman" w:cs="Times New Roman"/>
          <w:b/>
          <w:bCs/>
          <w:sz w:val="24"/>
          <w:szCs w:val="24"/>
          <w:lang w:val="en-US"/>
        </w:rPr>
      </w:pPr>
      <w:r w:rsidRPr="001E18A9">
        <w:rPr>
          <w:rFonts w:ascii="Times New Roman" w:hAnsi="Times New Roman" w:cs="Times New Roman"/>
          <w:sz w:val="24"/>
          <w:szCs w:val="24"/>
          <w:lang w:val="en-US"/>
        </w:rPr>
        <w:t xml:space="preserve">The </w:t>
      </w:r>
      <w:r w:rsidR="00FE526A">
        <w:rPr>
          <w:rFonts w:ascii="Times New Roman" w:hAnsi="Times New Roman" w:cs="Times New Roman"/>
          <w:sz w:val="24"/>
          <w:szCs w:val="24"/>
          <w:lang w:val="en-US"/>
        </w:rPr>
        <w:t>PFC</w:t>
      </w:r>
      <w:r w:rsidRPr="001E18A9">
        <w:rPr>
          <w:rFonts w:ascii="Times New Roman" w:hAnsi="Times New Roman" w:cs="Times New Roman"/>
          <w:sz w:val="24"/>
          <w:szCs w:val="24"/>
          <w:lang w:val="en-US"/>
        </w:rPr>
        <w:t xml:space="preserve"> was immediately transferred to fixative</w:t>
      </w:r>
      <w:r w:rsidR="00FE526A">
        <w:rPr>
          <w:rFonts w:ascii="Times New Roman" w:hAnsi="Times New Roman" w:cs="Times New Roman"/>
          <w:sz w:val="24"/>
          <w:szCs w:val="24"/>
          <w:lang w:val="en-US"/>
        </w:rPr>
        <w:t xml:space="preserve">, </w:t>
      </w:r>
      <w:r w:rsidRPr="001E18A9">
        <w:rPr>
          <w:rFonts w:ascii="Times New Roman" w:hAnsi="Times New Roman" w:cs="Times New Roman"/>
          <w:sz w:val="24"/>
          <w:szCs w:val="24"/>
          <w:lang w:val="en-US"/>
        </w:rPr>
        <w:t>post-fixed in 4% PFA at 4 °C overnight to complete fixation.</w:t>
      </w:r>
      <w:r w:rsidR="00FE526A">
        <w:rPr>
          <w:rFonts w:ascii="Times New Roman" w:hAnsi="Times New Roman" w:cs="Times New Roman"/>
          <w:sz w:val="24"/>
          <w:szCs w:val="24"/>
          <w:lang w:val="en-US"/>
        </w:rPr>
        <w:t xml:space="preserve"> </w:t>
      </w:r>
      <w:r w:rsidR="005226E9" w:rsidRPr="005226E9">
        <w:rPr>
          <w:rFonts w:ascii="Times New Roman" w:hAnsi="Times New Roman" w:cs="Times New Roman"/>
          <w:bCs/>
          <w:sz w:val="24"/>
          <w:szCs w:val="24"/>
          <w:lang w:bidi="en-US"/>
        </w:rPr>
        <w:t>Fixed PFC sections were dehydrated through ethanol and xylene, then embedded in paraffin. They were subsequently stained with haematoxylin and eosin (H&amp;E) and examined for histology using a camera-equipped Leica DM750 microscope.</w:t>
      </w:r>
      <w:r w:rsidR="00F273A9">
        <w:rPr>
          <w:rFonts w:ascii="Times New Roman" w:hAnsi="Times New Roman" w:cs="Times New Roman"/>
          <w:b/>
          <w:bCs/>
          <w:sz w:val="24"/>
          <w:szCs w:val="24"/>
          <w:lang w:val="en-US"/>
        </w:rPr>
        <w:t xml:space="preserve"> </w:t>
      </w:r>
    </w:p>
    <w:sectPr w:rsidR="00392B32" w:rsidRPr="005226E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1C7"/>
    <w:rsid w:val="00002061"/>
    <w:rsid w:val="000047AB"/>
    <w:rsid w:val="000222D4"/>
    <w:rsid w:val="00022574"/>
    <w:rsid w:val="00044737"/>
    <w:rsid w:val="00074091"/>
    <w:rsid w:val="00080D86"/>
    <w:rsid w:val="0008603A"/>
    <w:rsid w:val="000A227E"/>
    <w:rsid w:val="000A301A"/>
    <w:rsid w:val="000D5D4A"/>
    <w:rsid w:val="00100325"/>
    <w:rsid w:val="00104DC6"/>
    <w:rsid w:val="00125B3C"/>
    <w:rsid w:val="00146220"/>
    <w:rsid w:val="001471BA"/>
    <w:rsid w:val="00161966"/>
    <w:rsid w:val="00177A5A"/>
    <w:rsid w:val="001B2D6E"/>
    <w:rsid w:val="001E18A9"/>
    <w:rsid w:val="001F618A"/>
    <w:rsid w:val="00204047"/>
    <w:rsid w:val="00212C0D"/>
    <w:rsid w:val="00230A10"/>
    <w:rsid w:val="002367C1"/>
    <w:rsid w:val="00293E39"/>
    <w:rsid w:val="002A1854"/>
    <w:rsid w:val="002B348D"/>
    <w:rsid w:val="002D0930"/>
    <w:rsid w:val="002F5C5A"/>
    <w:rsid w:val="00314D70"/>
    <w:rsid w:val="003473AD"/>
    <w:rsid w:val="0036003A"/>
    <w:rsid w:val="00392B32"/>
    <w:rsid w:val="0039766D"/>
    <w:rsid w:val="003B7D14"/>
    <w:rsid w:val="003C0B25"/>
    <w:rsid w:val="003C502D"/>
    <w:rsid w:val="003E3226"/>
    <w:rsid w:val="00403F3A"/>
    <w:rsid w:val="004325F4"/>
    <w:rsid w:val="004929C4"/>
    <w:rsid w:val="004E3BA3"/>
    <w:rsid w:val="004F05D6"/>
    <w:rsid w:val="00503117"/>
    <w:rsid w:val="00515654"/>
    <w:rsid w:val="00521411"/>
    <w:rsid w:val="005226E9"/>
    <w:rsid w:val="00535591"/>
    <w:rsid w:val="005A235E"/>
    <w:rsid w:val="005B4AF8"/>
    <w:rsid w:val="005D2B71"/>
    <w:rsid w:val="005E1060"/>
    <w:rsid w:val="005F162A"/>
    <w:rsid w:val="0062461D"/>
    <w:rsid w:val="00624829"/>
    <w:rsid w:val="00653032"/>
    <w:rsid w:val="0065766C"/>
    <w:rsid w:val="006631C7"/>
    <w:rsid w:val="006637D1"/>
    <w:rsid w:val="00691012"/>
    <w:rsid w:val="006937E6"/>
    <w:rsid w:val="006C3691"/>
    <w:rsid w:val="006C47C6"/>
    <w:rsid w:val="006D25BA"/>
    <w:rsid w:val="006E3B33"/>
    <w:rsid w:val="006F116D"/>
    <w:rsid w:val="006F6567"/>
    <w:rsid w:val="00712CE4"/>
    <w:rsid w:val="00770315"/>
    <w:rsid w:val="00786E38"/>
    <w:rsid w:val="007A6A01"/>
    <w:rsid w:val="007F4EC2"/>
    <w:rsid w:val="00800BB0"/>
    <w:rsid w:val="00882EE7"/>
    <w:rsid w:val="00887588"/>
    <w:rsid w:val="00890EDA"/>
    <w:rsid w:val="008F436D"/>
    <w:rsid w:val="00902929"/>
    <w:rsid w:val="00916472"/>
    <w:rsid w:val="00935E4C"/>
    <w:rsid w:val="00946979"/>
    <w:rsid w:val="00950E51"/>
    <w:rsid w:val="00953733"/>
    <w:rsid w:val="00961257"/>
    <w:rsid w:val="0096586E"/>
    <w:rsid w:val="0097314D"/>
    <w:rsid w:val="00977637"/>
    <w:rsid w:val="00985971"/>
    <w:rsid w:val="009B4B2B"/>
    <w:rsid w:val="009B6201"/>
    <w:rsid w:val="009C2E65"/>
    <w:rsid w:val="009D1FE3"/>
    <w:rsid w:val="009F7084"/>
    <w:rsid w:val="00A032E4"/>
    <w:rsid w:val="00A1091A"/>
    <w:rsid w:val="00A31009"/>
    <w:rsid w:val="00A6218F"/>
    <w:rsid w:val="00A75DBE"/>
    <w:rsid w:val="00AB240B"/>
    <w:rsid w:val="00AB498C"/>
    <w:rsid w:val="00AC27C0"/>
    <w:rsid w:val="00AC502A"/>
    <w:rsid w:val="00AF206A"/>
    <w:rsid w:val="00B0532A"/>
    <w:rsid w:val="00B73748"/>
    <w:rsid w:val="00BC556F"/>
    <w:rsid w:val="00BE05BC"/>
    <w:rsid w:val="00BE3AA3"/>
    <w:rsid w:val="00BE5CC8"/>
    <w:rsid w:val="00BF3D03"/>
    <w:rsid w:val="00C20ECF"/>
    <w:rsid w:val="00C25FED"/>
    <w:rsid w:val="00C60581"/>
    <w:rsid w:val="00C615B8"/>
    <w:rsid w:val="00C93AC9"/>
    <w:rsid w:val="00CB73A0"/>
    <w:rsid w:val="00CD62DB"/>
    <w:rsid w:val="00D04F7A"/>
    <w:rsid w:val="00D37648"/>
    <w:rsid w:val="00D5176B"/>
    <w:rsid w:val="00D87686"/>
    <w:rsid w:val="00DB0670"/>
    <w:rsid w:val="00E01E56"/>
    <w:rsid w:val="00E04143"/>
    <w:rsid w:val="00E20E85"/>
    <w:rsid w:val="00E2376B"/>
    <w:rsid w:val="00E433E6"/>
    <w:rsid w:val="00E9139E"/>
    <w:rsid w:val="00E95D65"/>
    <w:rsid w:val="00EB7525"/>
    <w:rsid w:val="00EF08E9"/>
    <w:rsid w:val="00F23547"/>
    <w:rsid w:val="00F273A9"/>
    <w:rsid w:val="00F72475"/>
    <w:rsid w:val="00F737D3"/>
    <w:rsid w:val="00F80B9D"/>
    <w:rsid w:val="00F81BAE"/>
    <w:rsid w:val="00F96880"/>
    <w:rsid w:val="00FA6141"/>
    <w:rsid w:val="00FD47BB"/>
    <w:rsid w:val="00FE526A"/>
    <w:rsid w:val="00FE5815"/>
  </w:rsids>
  <m:mathPr>
    <m:mathFont m:val="Cambria Math"/>
    <m:brkBin m:val="before"/>
    <m:brkBinSub m:val="--"/>
    <m:smallFrac m:val="0"/>
    <m:dispDef/>
    <m:lMargin m:val="0"/>
    <m:rMargin m:val="0"/>
    <m:defJc m:val="centerGroup"/>
    <m:wrapIndent m:val="1440"/>
    <m:intLim m:val="subSup"/>
    <m:naryLim m:val="undOvr"/>
  </m:mathPr>
  <w:themeFontLang w:val="en-MY"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5285EE"/>
  <w15:chartTrackingRefBased/>
  <w15:docId w15:val="{2A05D206-8383-4153-A138-25AB7B78AF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MY"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31C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631C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631C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631C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631C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631C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631C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631C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631C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31C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631C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631C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631C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631C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631C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631C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631C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631C7"/>
    <w:rPr>
      <w:rFonts w:eastAsiaTheme="majorEastAsia" w:cstheme="majorBidi"/>
      <w:color w:val="272727" w:themeColor="text1" w:themeTint="D8"/>
    </w:rPr>
  </w:style>
  <w:style w:type="paragraph" w:styleId="Title">
    <w:name w:val="Title"/>
    <w:basedOn w:val="Normal"/>
    <w:next w:val="Normal"/>
    <w:link w:val="TitleChar"/>
    <w:uiPriority w:val="10"/>
    <w:qFormat/>
    <w:rsid w:val="006631C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31C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631C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631C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631C7"/>
    <w:pPr>
      <w:spacing w:before="160"/>
      <w:jc w:val="center"/>
    </w:pPr>
    <w:rPr>
      <w:i/>
      <w:iCs/>
      <w:color w:val="404040" w:themeColor="text1" w:themeTint="BF"/>
    </w:rPr>
  </w:style>
  <w:style w:type="character" w:customStyle="1" w:styleId="QuoteChar">
    <w:name w:val="Quote Char"/>
    <w:basedOn w:val="DefaultParagraphFont"/>
    <w:link w:val="Quote"/>
    <w:uiPriority w:val="29"/>
    <w:rsid w:val="006631C7"/>
    <w:rPr>
      <w:i/>
      <w:iCs/>
      <w:color w:val="404040" w:themeColor="text1" w:themeTint="BF"/>
    </w:rPr>
  </w:style>
  <w:style w:type="paragraph" w:styleId="ListParagraph">
    <w:name w:val="List Paragraph"/>
    <w:basedOn w:val="Normal"/>
    <w:uiPriority w:val="34"/>
    <w:qFormat/>
    <w:rsid w:val="006631C7"/>
    <w:pPr>
      <w:ind w:left="720"/>
      <w:contextualSpacing/>
    </w:pPr>
  </w:style>
  <w:style w:type="character" w:styleId="IntenseEmphasis">
    <w:name w:val="Intense Emphasis"/>
    <w:basedOn w:val="DefaultParagraphFont"/>
    <w:uiPriority w:val="21"/>
    <w:qFormat/>
    <w:rsid w:val="006631C7"/>
    <w:rPr>
      <w:i/>
      <w:iCs/>
      <w:color w:val="0F4761" w:themeColor="accent1" w:themeShade="BF"/>
    </w:rPr>
  </w:style>
  <w:style w:type="paragraph" w:styleId="IntenseQuote">
    <w:name w:val="Intense Quote"/>
    <w:basedOn w:val="Normal"/>
    <w:next w:val="Normal"/>
    <w:link w:val="IntenseQuoteChar"/>
    <w:uiPriority w:val="30"/>
    <w:qFormat/>
    <w:rsid w:val="006631C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631C7"/>
    <w:rPr>
      <w:i/>
      <w:iCs/>
      <w:color w:val="0F4761" w:themeColor="accent1" w:themeShade="BF"/>
    </w:rPr>
  </w:style>
  <w:style w:type="character" w:styleId="IntenseReference">
    <w:name w:val="Intense Reference"/>
    <w:basedOn w:val="DefaultParagraphFont"/>
    <w:uiPriority w:val="32"/>
    <w:qFormat/>
    <w:rsid w:val="006631C7"/>
    <w:rPr>
      <w:b/>
      <w:bCs/>
      <w:smallCaps/>
      <w:color w:val="0F4761" w:themeColor="accent1" w:themeShade="BF"/>
      <w:spacing w:val="5"/>
    </w:rPr>
  </w:style>
  <w:style w:type="character" w:styleId="CommentReference">
    <w:name w:val="annotation reference"/>
    <w:basedOn w:val="DefaultParagraphFont"/>
    <w:uiPriority w:val="99"/>
    <w:semiHidden/>
    <w:unhideWhenUsed/>
    <w:rsid w:val="00BF3D03"/>
    <w:rPr>
      <w:sz w:val="16"/>
      <w:szCs w:val="16"/>
    </w:rPr>
  </w:style>
  <w:style w:type="paragraph" w:styleId="CommentText">
    <w:name w:val="annotation text"/>
    <w:basedOn w:val="Normal"/>
    <w:link w:val="CommentTextChar"/>
    <w:uiPriority w:val="99"/>
    <w:unhideWhenUsed/>
    <w:rsid w:val="00BF3D03"/>
    <w:pPr>
      <w:spacing w:line="240" w:lineRule="auto"/>
    </w:pPr>
    <w:rPr>
      <w:sz w:val="20"/>
      <w:szCs w:val="20"/>
    </w:rPr>
  </w:style>
  <w:style w:type="character" w:customStyle="1" w:styleId="CommentTextChar">
    <w:name w:val="Comment Text Char"/>
    <w:basedOn w:val="DefaultParagraphFont"/>
    <w:link w:val="CommentText"/>
    <w:uiPriority w:val="99"/>
    <w:rsid w:val="00BF3D03"/>
    <w:rPr>
      <w:sz w:val="20"/>
      <w:szCs w:val="20"/>
    </w:rPr>
  </w:style>
  <w:style w:type="paragraph" w:styleId="CommentSubject">
    <w:name w:val="annotation subject"/>
    <w:basedOn w:val="CommentText"/>
    <w:next w:val="CommentText"/>
    <w:link w:val="CommentSubjectChar"/>
    <w:uiPriority w:val="99"/>
    <w:semiHidden/>
    <w:unhideWhenUsed/>
    <w:rsid w:val="00BF3D03"/>
    <w:rPr>
      <w:b/>
      <w:bCs/>
    </w:rPr>
  </w:style>
  <w:style w:type="character" w:customStyle="1" w:styleId="CommentSubjectChar">
    <w:name w:val="Comment Subject Char"/>
    <w:basedOn w:val="CommentTextChar"/>
    <w:link w:val="CommentSubject"/>
    <w:uiPriority w:val="99"/>
    <w:semiHidden/>
    <w:rsid w:val="00BF3D0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2910</TotalTime>
  <Pages>7</Pages>
  <Words>1930</Words>
  <Characters>11006</Characters>
  <Application>Microsoft Office Word</Application>
  <DocSecurity>0</DocSecurity>
  <Lines>91</Lines>
  <Paragraphs>25</Paragraphs>
  <ScaleCrop>false</ScaleCrop>
  <Company/>
  <LinksUpToDate>false</LinksUpToDate>
  <CharactersWithSpaces>12911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Abosede Olajide</dc:creator>
  <cp:keywords/>
  <dc:description/>
  <cp:lastModifiedBy>Samuel Kehinde</cp:lastModifiedBy>
  <cp:revision>159</cp:revision>
  <dcterms:created xsi:type="dcterms:W3CDTF">2025-12-20T12:04:00Z</dcterms:created>
  <dcterms:modified xsi:type="dcterms:W3CDTF">2026-01-16T03:39:00Z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71ee2972-b7d6-48b6-9274-4eef8f25671c</vt:lpwstr>
  </property>
</Properties>
</file>