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FD478">
      <w:pPr>
        <w:rPr>
          <w:rFonts w:hint="default" w:ascii="Times New Roman" w:hAnsi="Times New Roman" w:cs="Times New Roman"/>
          <w:b/>
          <w:bCs/>
          <w:color w:val="376092" w:themeColor="accent1" w:themeShade="BF"/>
          <w:sz w:val="21"/>
          <w:szCs w:val="21"/>
        </w:rPr>
      </w:pPr>
      <w:bookmarkStart w:id="0" w:name="_GoBack"/>
      <w:bookmarkEnd w:id="0"/>
      <w:r>
        <w:rPr>
          <w:rFonts w:hint="default" w:ascii="Times New Roman" w:hAnsi="Times New Roman" w:cs="Times New Roman"/>
          <w:b/>
          <w:bCs/>
          <w:color w:val="376092" w:themeColor="accent1" w:themeShade="BF"/>
          <w:sz w:val="21"/>
          <w:szCs w:val="21"/>
        </w:rPr>
        <w:t>Supplementary Table S1. PPC type and timing (POD1/3/7)</w:t>
      </w:r>
    </w:p>
    <w:p w14:paraId="2A616E4B"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Timing is defined as the first scheduled assessment day on which the event was detected (POD1, POD3, or POD7). All patients had scheduled assessments at POD1/3/7.</w:t>
      </w:r>
    </w:p>
    <w:p w14:paraId="2457958C"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b/>
          <w:sz w:val="21"/>
          <w:szCs w:val="21"/>
        </w:rPr>
        <w:t>Table S1A. PPC prevalence at POD1, POD3, and POD7 (n/N, %).</w:t>
      </w:r>
    </w:p>
    <w:tbl>
      <w:tblPr>
        <w:tblStyle w:val="33"/>
        <w:tblW w:w="88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2555"/>
        <w:gridCol w:w="1513"/>
        <w:gridCol w:w="1588"/>
        <w:gridCol w:w="763"/>
        <w:gridCol w:w="1055"/>
      </w:tblGrid>
      <w:tr w14:paraId="19414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38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1226DE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Time point</w:t>
            </w:r>
          </w:p>
        </w:tc>
        <w:tc>
          <w:tcPr>
            <w:tcW w:w="255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B31368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Outcome</w:t>
            </w:r>
          </w:p>
        </w:tc>
        <w:tc>
          <w:tcPr>
            <w:tcW w:w="1513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654F2A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 xml:space="preserve">C group </w:t>
            </w:r>
          </w:p>
          <w:p w14:paraId="2232339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(n=75)</w:t>
            </w:r>
          </w:p>
        </w:tc>
        <w:tc>
          <w:tcPr>
            <w:tcW w:w="158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549546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 xml:space="preserve">DP group </w:t>
            </w:r>
          </w:p>
          <w:p w14:paraId="296A8F6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(n=77)</w:t>
            </w:r>
          </w:p>
        </w:tc>
        <w:tc>
          <w:tcPr>
            <w:tcW w:w="763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BDA6CA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OR</w:t>
            </w:r>
          </w:p>
        </w:tc>
        <w:tc>
          <w:tcPr>
            <w:tcW w:w="105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5A8D46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P value</w:t>
            </w:r>
          </w:p>
        </w:tc>
      </w:tr>
      <w:tr w14:paraId="71C53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8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DCF716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POD1</w:t>
            </w:r>
          </w:p>
        </w:tc>
        <w:tc>
          <w:tcPr>
            <w:tcW w:w="255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7653C92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Clinically significant PPC (grade ≥2)</w:t>
            </w:r>
          </w:p>
        </w:tc>
        <w:tc>
          <w:tcPr>
            <w:tcW w:w="151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727BB0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22/75 (29.3%)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EBA5C1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12/77 (15.6%)</w:t>
            </w:r>
          </w:p>
        </w:tc>
        <w:tc>
          <w:tcPr>
            <w:tcW w:w="76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F1A4833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2.25</w:t>
            </w:r>
          </w:p>
        </w:tc>
        <w:tc>
          <w:tcPr>
            <w:tcW w:w="105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6004914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0.052</w:t>
            </w:r>
          </w:p>
        </w:tc>
      </w:tr>
      <w:tr w14:paraId="33E03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865D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POD1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53421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Severe hypoxaemia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83F4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28/75 (37.3%)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FBA2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8/77 (10.4%)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AFF5F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5.14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7A282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&lt;0.001</w:t>
            </w:r>
          </w:p>
        </w:tc>
      </w:tr>
      <w:tr w14:paraId="469FB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0EC0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POD1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DE969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Atelectasis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E16E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29/75 (38.7%)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3155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18/77 (23.4%)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19EE2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2.07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B0BC5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0.053</w:t>
            </w:r>
          </w:p>
        </w:tc>
      </w:tr>
      <w:tr w14:paraId="09EF1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C100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POD1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66B01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Pleural effusion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6605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3/75 (4.0%)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083D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1/77 (1.3%)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17DE6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3.17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78B07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0.363</w:t>
            </w:r>
          </w:p>
        </w:tc>
      </w:tr>
      <w:tr w14:paraId="78D19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2110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POD1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FA220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Pneumothorax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A1B3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0/75 (0.0%)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35E2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0/77 (0.0%)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50428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B2693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</w:t>
            </w:r>
          </w:p>
        </w:tc>
      </w:tr>
      <w:tr w14:paraId="383B5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6588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POD1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0C724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ARDS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438E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0/75 (0.0%)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9B17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0/77 (0.0%)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23332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ECED0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</w:t>
            </w:r>
          </w:p>
        </w:tc>
      </w:tr>
      <w:tr w14:paraId="234C6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5404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POD3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AEA67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Clinically significant PPC (grade ≥2)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AEDB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21/75 (28.0%)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02DA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5/77 (6.5%)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66ED0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5.60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9296B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&lt;0.001</w:t>
            </w:r>
          </w:p>
        </w:tc>
      </w:tr>
      <w:tr w14:paraId="70122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8173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POD3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06BEA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Severe hypoxaemia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8CD6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0/75 (0.0%)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806B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15/77 (19.5%)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7D37A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0.03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36402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&lt;0.001</w:t>
            </w:r>
          </w:p>
        </w:tc>
      </w:tr>
      <w:tr w14:paraId="21C2D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D72B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POD3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B435D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Atelectasis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314A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18/75 (24.0%)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C0D2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17/77 (22.1%)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B33C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1.11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899E3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0.848</w:t>
            </w:r>
          </w:p>
        </w:tc>
      </w:tr>
      <w:tr w14:paraId="06CD4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952A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POD3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410FB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Pleural effusion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36F3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6/75 (8.0%)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D04D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2/77 (2.6%)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A59D0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3.26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B2A2E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0.164</w:t>
            </w:r>
          </w:p>
        </w:tc>
      </w:tr>
      <w:tr w14:paraId="18456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801D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POD3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12CCD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Pneumothorax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6733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0/75 (0.0%)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90A2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0/77 (0.0%)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A63C3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6A23E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</w:t>
            </w:r>
          </w:p>
        </w:tc>
      </w:tr>
      <w:tr w14:paraId="3E1D4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EEE3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POD3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FDB66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ARDS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8E85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0/75 (0.0%)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547E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0/77 (0.0%)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132B4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FB9E6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</w:t>
            </w:r>
          </w:p>
        </w:tc>
      </w:tr>
      <w:tr w14:paraId="70685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3B03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POD7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27813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Clinically significant PPC (grade ≥2)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EB3C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0/75 (0.0%)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E2FE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0/77 (0.0%)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EF382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5CAE2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</w:t>
            </w:r>
          </w:p>
        </w:tc>
      </w:tr>
      <w:tr w14:paraId="2C85C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3DF3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POD7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594AB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Severe hypoxaemia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E2D5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0/75 (0.0%)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7B50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0/77 (0.0%)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91654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19A34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</w:t>
            </w:r>
          </w:p>
        </w:tc>
      </w:tr>
      <w:tr w14:paraId="1D4C4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8E7E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POD7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1723F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Atelectasis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004F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0/75 (0.0%)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4702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0/77 (0.0%)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7BB9B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507EB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</w:t>
            </w:r>
          </w:p>
        </w:tc>
      </w:tr>
      <w:tr w14:paraId="77859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DF78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POD7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14CF2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Pleural effusion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EA3C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0/75 (0.0%)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1D2C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0/77 (0.0%)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1EAFB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1EE9B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</w:t>
            </w:r>
          </w:p>
        </w:tc>
      </w:tr>
      <w:tr w14:paraId="16D31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2D24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POD7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A76BE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Pneumothorax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46A9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0/75 (0.0%)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6750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0/77 (0.0%)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A7766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BFEB7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</w:t>
            </w:r>
          </w:p>
        </w:tc>
      </w:tr>
      <w:tr w14:paraId="6B2F4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8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6777CA4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POD7</w:t>
            </w:r>
          </w:p>
        </w:tc>
        <w:tc>
          <w:tcPr>
            <w:tcW w:w="255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04A6FEF3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ARDS</w:t>
            </w:r>
          </w:p>
        </w:tc>
        <w:tc>
          <w:tcPr>
            <w:tcW w:w="1513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7CF0FCF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0/75 (0.0%)</w:t>
            </w:r>
          </w:p>
        </w:tc>
        <w:tc>
          <w:tcPr>
            <w:tcW w:w="158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671869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0/77 (0.0%)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090B74A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1.03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45DC055">
            <w:pPr>
              <w:snapToGrid w:val="0"/>
              <w:spacing w:after="0"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</w:t>
            </w:r>
          </w:p>
        </w:tc>
      </w:tr>
    </w:tbl>
    <w:p w14:paraId="43F1AEB0">
      <w:pPr>
        <w:rPr>
          <w:rFonts w:hint="default" w:ascii="Times New Roman" w:hAnsi="Times New Roman" w:cs="Times New Roman"/>
          <w:sz w:val="21"/>
          <w:szCs w:val="21"/>
        </w:rPr>
      </w:pPr>
    </w:p>
    <w:p w14:paraId="6CABE8F5"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b/>
          <w:sz w:val="21"/>
          <w:szCs w:val="21"/>
        </w:rPr>
        <w:t>Table S1B. Timing of first detection among event cases (distribution across POD1/3/7).</w:t>
      </w:r>
    </w:p>
    <w:tbl>
      <w:tblPr>
        <w:tblStyle w:val="33"/>
        <w:tblW w:w="88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5"/>
        <w:gridCol w:w="1960"/>
        <w:gridCol w:w="1926"/>
        <w:gridCol w:w="2015"/>
      </w:tblGrid>
      <w:tr w14:paraId="3E19F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95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1AD0CD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Outcome</w:t>
            </w:r>
          </w:p>
        </w:tc>
        <w:tc>
          <w:tcPr>
            <w:tcW w:w="196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78F6F3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Timing</w:t>
            </w:r>
          </w:p>
        </w:tc>
        <w:tc>
          <w:tcPr>
            <w:tcW w:w="192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220EF2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 xml:space="preserve">C group </w:t>
            </w:r>
          </w:p>
          <w:p w14:paraId="4E91BBB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(event cases)</w:t>
            </w:r>
          </w:p>
        </w:tc>
        <w:tc>
          <w:tcPr>
            <w:tcW w:w="201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8CA05D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 xml:space="preserve">DP group </w:t>
            </w:r>
          </w:p>
          <w:p w14:paraId="505CE4B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(event cases)</w:t>
            </w:r>
          </w:p>
        </w:tc>
      </w:tr>
      <w:tr w14:paraId="6E9C9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5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CC62D81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Clinically significant PPC (grade ≥2)</w:t>
            </w:r>
          </w:p>
        </w:tc>
        <w:tc>
          <w:tcPr>
            <w:tcW w:w="196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D94CCC9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First detected on POD1</w:t>
            </w:r>
          </w:p>
        </w:tc>
        <w:tc>
          <w:tcPr>
            <w:tcW w:w="192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65B587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22/43 (51.2%)</w:t>
            </w:r>
          </w:p>
        </w:tc>
        <w:tc>
          <w:tcPr>
            <w:tcW w:w="201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EA3DB3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12/17 (70.6%)</w:t>
            </w:r>
          </w:p>
        </w:tc>
      </w:tr>
      <w:tr w14:paraId="617EA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09AEF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Clinically significant PPC (grade ≥2)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0424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First detected on POD3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4683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21/43 (48.8%)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A1DF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5/17 (29.4%)</w:t>
            </w:r>
          </w:p>
        </w:tc>
      </w:tr>
      <w:tr w14:paraId="3A51E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0F16B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Clinically significant PPC (grade ≥2)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F557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First detected on POD7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6CD0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0/43 (0.0%)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2285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0/17 (0.0%)</w:t>
            </w:r>
          </w:p>
        </w:tc>
      </w:tr>
      <w:tr w14:paraId="39AA0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00C9E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Severe hypoxaemia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09A9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First detected on POD1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B858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28/28 (100.0%)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37EF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8/23 (34.8%)</w:t>
            </w:r>
          </w:p>
        </w:tc>
      </w:tr>
      <w:tr w14:paraId="553F2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FA230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Severe hypoxaemia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6E6D5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First detected on POD3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3E9A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0/28 (0.0%)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33F1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15/23 (65.2%)</w:t>
            </w:r>
          </w:p>
        </w:tc>
      </w:tr>
      <w:tr w14:paraId="202C0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E9786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Severe hypoxaemia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99D2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First detected on POD7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DD4E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0/28 (0.0%)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4CC4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0/23 (0.0%)</w:t>
            </w:r>
          </w:p>
        </w:tc>
      </w:tr>
      <w:tr w14:paraId="62BA9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D4D27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Atelectasis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45EC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First detected on POD1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8D85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29/47 (61.7%)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6428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18/35 (51.4%)</w:t>
            </w:r>
          </w:p>
        </w:tc>
      </w:tr>
      <w:tr w14:paraId="016A1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0D9DF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Atelectasis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A354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First detected on POD3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9396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18/47 (38.3%)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7368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17/35 (48.6%)</w:t>
            </w:r>
          </w:p>
        </w:tc>
      </w:tr>
      <w:tr w14:paraId="02FF3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4E792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Atelectasis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5BE00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First detected on POD7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E77D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0/47 (0.0%)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791C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0/35 (0.0%)</w:t>
            </w:r>
          </w:p>
        </w:tc>
      </w:tr>
      <w:tr w14:paraId="0114F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53535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Pleural effusion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6D1E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First detected on POD1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30E9C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3/9 (33.3%)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F8C8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1/3 (33.3%)</w:t>
            </w:r>
          </w:p>
        </w:tc>
      </w:tr>
      <w:tr w14:paraId="205DD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06705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Pleural effusion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18996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First detected on POD3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93C9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6/9 (66.7%)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41F9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2/3 (66.7%)</w:t>
            </w:r>
          </w:p>
        </w:tc>
      </w:tr>
      <w:tr w14:paraId="6AFEB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5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73819D01">
            <w:pPr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Pleural effusion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CC5F86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First detected on POD7</w:t>
            </w:r>
          </w:p>
        </w:tc>
        <w:tc>
          <w:tcPr>
            <w:tcW w:w="192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CC0A3CE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0/9 (0.0%)</w:t>
            </w:r>
          </w:p>
        </w:tc>
        <w:tc>
          <w:tcPr>
            <w:tcW w:w="201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B351F4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0/3 (0.0%)</w:t>
            </w:r>
          </w:p>
        </w:tc>
      </w:tr>
    </w:tbl>
    <w:p w14:paraId="35CE6EA8">
      <w:pPr>
        <w:rPr>
          <w:rFonts w:hint="default" w:ascii="Times New Roman" w:hAnsi="Times New Roman" w:cs="Times New Roman"/>
          <w:sz w:val="21"/>
          <w:szCs w:val="21"/>
        </w:rPr>
      </w:pPr>
    </w:p>
    <w:p w14:paraId="2A11D8BD"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b/>
          <w:sz w:val="21"/>
          <w:szCs w:val="21"/>
        </w:rPr>
        <w:t>Table S1C. Severity score at each POD (median [IQR]).</w:t>
      </w:r>
    </w:p>
    <w:tbl>
      <w:tblPr>
        <w:tblStyle w:val="33"/>
        <w:tblW w:w="8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5"/>
        <w:gridCol w:w="3034"/>
        <w:gridCol w:w="3197"/>
        <w:gridCol w:w="1105"/>
      </w:tblGrid>
      <w:tr w14:paraId="58F9A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51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D1F169F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Time point</w:t>
            </w:r>
          </w:p>
        </w:tc>
        <w:tc>
          <w:tcPr>
            <w:tcW w:w="303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6511DC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C group (median [IQR])</w:t>
            </w:r>
          </w:p>
        </w:tc>
        <w:tc>
          <w:tcPr>
            <w:tcW w:w="3197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F7E448D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DP group (median [IQR])</w:t>
            </w:r>
          </w:p>
        </w:tc>
        <w:tc>
          <w:tcPr>
            <w:tcW w:w="110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ADC021A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P value</w:t>
            </w:r>
          </w:p>
        </w:tc>
      </w:tr>
      <w:tr w14:paraId="79A0B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1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923F07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POD1</w:t>
            </w:r>
          </w:p>
        </w:tc>
        <w:tc>
          <w:tcPr>
            <w:tcW w:w="303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39A5CE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 [0, 2]</w:t>
            </w:r>
          </w:p>
        </w:tc>
        <w:tc>
          <w:tcPr>
            <w:tcW w:w="319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827FF0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 [0, 1]</w:t>
            </w:r>
          </w:p>
        </w:tc>
        <w:tc>
          <w:tcPr>
            <w:tcW w:w="110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3E1227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0.007</w:t>
            </w:r>
          </w:p>
        </w:tc>
      </w:tr>
      <w:tr w14:paraId="2AE59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FCDE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POD3</w:t>
            </w:r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C5CA3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 [0, 2]</w:t>
            </w:r>
          </w:p>
        </w:tc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86264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 [0, 1]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AA522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0.625</w:t>
            </w:r>
          </w:p>
        </w:tc>
      </w:tr>
      <w:tr w14:paraId="482DE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1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B2919B1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POD7</w:t>
            </w:r>
          </w:p>
        </w:tc>
        <w:tc>
          <w:tcPr>
            <w:tcW w:w="303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6D87AE67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 [0, 0]</w:t>
            </w:r>
          </w:p>
        </w:tc>
        <w:tc>
          <w:tcPr>
            <w:tcW w:w="319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653D6978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 [0, 0]</w:t>
            </w:r>
          </w:p>
        </w:tc>
        <w:tc>
          <w:tcPr>
            <w:tcW w:w="110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0F4015DB">
            <w:pPr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1.000</w:t>
            </w:r>
          </w:p>
        </w:tc>
      </w:tr>
    </w:tbl>
    <w:p w14:paraId="2D504D41">
      <w:pPr>
        <w:rPr>
          <w:rFonts w:hint="default" w:ascii="Times New Roman" w:hAnsi="Times New Roman" w:cs="Times New Roman"/>
          <w:b/>
          <w:sz w:val="21"/>
          <w:szCs w:val="21"/>
        </w:rPr>
      </w:pPr>
    </w:p>
    <w:p w14:paraId="799D8A8F">
      <w:pPr>
        <w:rPr>
          <w:rFonts w:hint="default" w:ascii="Times New Roman" w:hAnsi="Times New Roman" w:cs="Times New Roman"/>
          <w:color w:val="376092" w:themeColor="accent1" w:themeShade="BF"/>
          <w:sz w:val="21"/>
          <w:szCs w:val="21"/>
        </w:rPr>
      </w:pPr>
      <w:r>
        <w:rPr>
          <w:rFonts w:hint="default" w:ascii="Times New Roman" w:hAnsi="Times New Roman" w:cs="Times New Roman"/>
          <w:b/>
          <w:color w:val="376092" w:themeColor="accent1" w:themeShade="BF"/>
          <w:sz w:val="21"/>
          <w:szCs w:val="21"/>
        </w:rPr>
        <w:t>Supplementary Table S2. Input variables and derived indices underlying Figure 2 (Panels A–C).</w:t>
      </w:r>
    </w:p>
    <w:p w14:paraId="3FD37146"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Values are presented as mean ± SD. FiO₂ was protocolized at 0.40 for arterial blood gas sampling at T2 (intraoperative, 1 h during surgery) and T3 (postoperative, 1 h after PACU). PaO₂ was derived from (PaO₂/FiO₂)×FiO₂ at T2/T3. Derived PAO₂ is reported as PaO₂ + A–aDO₂ to facilitate verification. T1 PaO₂ is not shown because pre-induction FiO₂ may vary.</w:t>
      </w:r>
    </w:p>
    <w:tbl>
      <w:tblPr>
        <w:tblStyle w:val="32"/>
        <w:tblW w:w="987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1"/>
        <w:gridCol w:w="931"/>
        <w:gridCol w:w="1094"/>
        <w:gridCol w:w="1383"/>
        <w:gridCol w:w="748"/>
        <w:gridCol w:w="1611"/>
        <w:gridCol w:w="1128"/>
        <w:gridCol w:w="1657"/>
      </w:tblGrid>
      <w:tr w14:paraId="72F795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32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8D3AF6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Time point</w:t>
            </w:r>
          </w:p>
        </w:tc>
        <w:tc>
          <w:tcPr>
            <w:tcW w:w="93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042712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Group</w:t>
            </w:r>
          </w:p>
        </w:tc>
        <w:tc>
          <w:tcPr>
            <w:tcW w:w="109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D9C85C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 xml:space="preserve">PaCO₂ </w:t>
            </w:r>
          </w:p>
          <w:p w14:paraId="3F5A2D3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(mmHg)</w:t>
            </w:r>
          </w:p>
        </w:tc>
        <w:tc>
          <w:tcPr>
            <w:tcW w:w="1383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9E75F0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 xml:space="preserve">PaO₂/FiO₂ </w:t>
            </w:r>
          </w:p>
          <w:p w14:paraId="38ED842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(mmHg)</w:t>
            </w:r>
          </w:p>
        </w:tc>
        <w:tc>
          <w:tcPr>
            <w:tcW w:w="74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86BC75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FiO₂</w:t>
            </w:r>
          </w:p>
        </w:tc>
        <w:tc>
          <w:tcPr>
            <w:tcW w:w="161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AEB4E9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 xml:space="preserve">Derived PaO₂ </w:t>
            </w:r>
          </w:p>
          <w:p w14:paraId="4737F31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(mmHg)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A24CAA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 xml:space="preserve">A–aDO₂ </w:t>
            </w:r>
          </w:p>
          <w:p w14:paraId="4881601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(mmHg)</w:t>
            </w:r>
          </w:p>
        </w:tc>
        <w:tc>
          <w:tcPr>
            <w:tcW w:w="1657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E1B585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 xml:space="preserve">Derived PAO₂ </w:t>
            </w:r>
          </w:p>
          <w:p w14:paraId="4BB7ECD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(mmHg)</w:t>
            </w:r>
          </w:p>
        </w:tc>
      </w:tr>
      <w:tr w14:paraId="7BC631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2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89B837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T1</w:t>
            </w:r>
          </w:p>
        </w:tc>
        <w:tc>
          <w:tcPr>
            <w:tcW w:w="93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F2AA8D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Control</w:t>
            </w:r>
          </w:p>
        </w:tc>
        <w:tc>
          <w:tcPr>
            <w:tcW w:w="109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05416B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38.72 ± 1.17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D26125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388.12 ± 4.32</w:t>
            </w:r>
          </w:p>
        </w:tc>
        <w:tc>
          <w:tcPr>
            <w:tcW w:w="74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076D66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NA</w:t>
            </w:r>
          </w:p>
        </w:tc>
        <w:tc>
          <w:tcPr>
            <w:tcW w:w="161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3606674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NA</w:t>
            </w:r>
          </w:p>
        </w:tc>
        <w:tc>
          <w:tcPr>
            <w:tcW w:w="112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C059CC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20.39 ± 1.10</w:t>
            </w:r>
          </w:p>
        </w:tc>
        <w:tc>
          <w:tcPr>
            <w:tcW w:w="165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22B93B8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NA</w:t>
            </w:r>
          </w:p>
        </w:tc>
      </w:tr>
      <w:tr w14:paraId="6A7F29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357B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T1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F1D8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ΔP-guided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ADCD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38.25 ± 0.69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DBE4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406.55 ± 4.40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D810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NA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503F0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NA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436F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21.12 ± 1.14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4DE0F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NA</w:t>
            </w:r>
          </w:p>
        </w:tc>
      </w:tr>
      <w:tr w14:paraId="679551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B4DA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T2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E158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Control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3535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40.84 ± 0.89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E7FF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379.28 ± 34.42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3D83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0.40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5FAE1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151.71 ± 13.77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F6F3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21.32 ± 1.07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EAF3A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173.03 ± 13.96</w:t>
            </w:r>
          </w:p>
        </w:tc>
      </w:tr>
      <w:tr w14:paraId="44D0F0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6728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T2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89CE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ΔP-guided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BD6B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44.90 ± 1.55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861D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480.81 ± 3.45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F3F0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0.40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BA110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192.32 ± 1.38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442F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13.03 ± 0.86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B5D98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205.35 ± 1.64</w:t>
            </w:r>
          </w:p>
        </w:tc>
      </w:tr>
      <w:tr w14:paraId="1FE3CF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3A15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T3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7D48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Control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65F1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41.12 ± 0.77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ECAD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350.36 ± 3.22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79D5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0.40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D66D8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140.14 ± 1.29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3A7D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23.88 ± 0.79</w:t>
            </w: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0BABC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164.02 ± 1.51</w:t>
            </w:r>
          </w:p>
        </w:tc>
      </w:tr>
      <w:tr w14:paraId="740ACF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2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6E0CB8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T3 </w:t>
            </w:r>
          </w:p>
        </w:tc>
        <w:tc>
          <w:tcPr>
            <w:tcW w:w="93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558A46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ΔP-guided</w:t>
            </w:r>
          </w:p>
        </w:tc>
        <w:tc>
          <w:tcPr>
            <w:tcW w:w="109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54E5C0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40.79 ± 4.30</w:t>
            </w:r>
          </w:p>
        </w:tc>
        <w:tc>
          <w:tcPr>
            <w:tcW w:w="1383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7CF1C4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358.71 ± 6.48</w:t>
            </w:r>
          </w:p>
        </w:tc>
        <w:tc>
          <w:tcPr>
            <w:tcW w:w="74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9EFBB1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0.40</w:t>
            </w:r>
          </w:p>
        </w:tc>
        <w:tc>
          <w:tcPr>
            <w:tcW w:w="161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5E9977C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143.49 ± 2.59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70EF83A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21.43 ± 1.20</w:t>
            </w:r>
          </w:p>
        </w:tc>
        <w:tc>
          <w:tcPr>
            <w:tcW w:w="165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D3A9163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164.91 ± 2.67</w:t>
            </w:r>
          </w:p>
        </w:tc>
      </w:tr>
    </w:tbl>
    <w:p w14:paraId="5F27C716">
      <w:r>
        <w:rPr>
          <w:rFonts w:hint="default" w:ascii="Times New Roman" w:hAnsi="Times New Roman" w:cs="Times New Roman"/>
          <w:sz w:val="21"/>
          <w:szCs w:val="21"/>
        </w:rPr>
        <w:t>Abbreviations: PACU, post-anesthesia care unit; A–aDO₂, alveolar–arterial oxygen gradient; PAO₂, alveolar oxygen partial pressure (reported here as PaO₂ + A</w:t>
      </w:r>
      <w:r>
        <w:t>–aDO₂).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CA856E6"/>
    <w:rsid w:val="29BC555F"/>
    <w:rsid w:val="60525726"/>
    <w:rsid w:val="6FF1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unhideWhenUsed="0" w:uiPriority="64" w:semiHidden="0" w:name="Medium Shading 2"/>
    <w:lsdException w:qFormat="1"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qFormat="1" w:unhideWhenUsed="0" w:uiPriority="62" w:semiHidden="0" w:name="Light Grid Accent 1"/>
    <w:lsdException w:unhideWhenUsed="0" w:uiPriority="63" w:semiHidden="0" w:name="Medium Shading 1 Accent 1"/>
    <w:lsdException w:qFormat="1"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unhideWhenUsed="0" w:uiPriority="64" w:semiHidden="0" w:name="Medium Shading 2 Accent 3"/>
    <w:lsdException w:qFormat="1"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unhideWhenUsed="0" w:uiPriority="63" w:semiHidden="0" w:name="Medium Shading 1 Accent 4"/>
    <w:lsdException w:qFormat="1"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qFormat="1"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qFormat="1"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638</Words>
  <Characters>3270</Characters>
  <Lines>0</Lines>
  <Paragraphs>0</Paragraphs>
  <TotalTime>7</TotalTime>
  <ScaleCrop>false</ScaleCrop>
  <LinksUpToDate>false</LinksUpToDate>
  <CharactersWithSpaces>3662</CharactersWithSpaces>
  <Application>WPS Office_12.1.0.24655_F1E327BC-269C-435d-A152-05C5408002CA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陈珂</cp:lastModifiedBy>
  <dcterms:modified xsi:type="dcterms:W3CDTF">2026-01-22T02:40:57Z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eyJoZGlkIjoiZDQzMzgwMjY1NzZiN2RiMDRlZmM0MjhlMDE0MjgyOTYiLCJ1c2VySWQiOiIyMjAyMzk5NzYifQ==</vt:lpwstr>
  </property>
  <property fmtid="{D5CDD505-2E9C-101B-9397-08002B2CF9AE}" pid="3" name="KSOProductBuildVer">
    <vt:lpwstr>2052-12.1.0.24655</vt:lpwstr>
  </property>
  <property fmtid="{D5CDD505-2E9C-101B-9397-08002B2CF9AE}" pid="4" name="ICV">
    <vt:lpwstr>F28F76D025774CE0A49A6CBC325DB82C_12</vt:lpwstr>
  </property>
</Properties>
</file>