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drawing>
          <wp:inline distT="0" distB="0" distL="114300" distR="114300">
            <wp:extent cx="5227320" cy="2287905"/>
            <wp:effectExtent l="0" t="0" r="5080" b="23495"/>
            <wp:docPr id="7" name="图片 1" descr="Fig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Fig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Times New Roman Regular" w:hAnsi="Times New Roman Regular" w:eastAsia="Helvetica Neue" w:cs="Times New Roman Regular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Fig. </w:t>
      </w:r>
      <w:r>
        <w:rPr>
          <w:rFonts w:hint="eastAsia" w:ascii="Times New Roman Regular" w:hAnsi="Times New Roman Regular" w:eastAsia="Helvetica Neue" w:cs="Times New Roman Regular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S</w:t>
      </w:r>
      <w:r>
        <w:rPr>
          <w:rFonts w:hint="default" w:ascii="Times New Roman Regular" w:hAnsi="Times New Roman Regular" w:eastAsia="Helvetica Neue" w:cs="Times New Roman Regular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1 MPP7 expression in </w:t>
      </w:r>
      <w:r>
        <w:rPr>
          <w:rFonts w:hint="eastAsia" w:ascii="Times New Roman Regular" w:hAnsi="Times New Roman Regular" w:eastAsia="Helvetica Neue" w:cs="Times New Roman Regular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DCs, mast cells, and eosinophil of mice. </w:t>
      </w:r>
      <w:r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Immunofluorescence of lung sections from mice.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Bold" w:hAnsi="Times New Roman Bold" w:eastAsia="Helvetica Neue" w:cs="Times New Roman Bold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spacing w:line="360" w:lineRule="auto"/>
        <w:rPr>
          <w:rFonts w:hint="default" w:ascii="Times New Roman Regular" w:hAnsi="Times New Roman Regular" w:cs="Times New Roman Regular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260975" cy="3194685"/>
            <wp:effectExtent l="0" t="0" r="22225" b="5715"/>
            <wp:docPr id="11" name="图片 11" descr="flowCD11bcd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lowCD11bcd1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 Regular" w:hAnsi="Times New Roman Regular" w:cs="Times New Roman Regular"/>
          <w:b w:val="0"/>
          <w:bCs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2 </w:t>
      </w:r>
      <w:bookmarkStart w:id="0" w:name="OLE_LINK27"/>
      <w:bookmarkStart w:id="1" w:name="OLE_LINK57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Gating strategies</w:t>
      </w:r>
      <w:bookmarkEnd w:id="0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for flow cytometric analyses</w:t>
      </w:r>
      <w:bookmarkEnd w:id="1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Flow cytometry gating scheme for lung DCs subsets. DCs were identified as CD11c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+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MHC II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cells </w:t>
      </w:r>
      <w:bookmarkStart w:id="2" w:name="OLE_LINK171"/>
      <w:r>
        <w:rPr>
          <w:rFonts w:ascii="Times New Roman" w:hAnsi="Times New Roman" w:cs="Times New Roman"/>
          <w:color w:val="auto"/>
          <w:sz w:val="24"/>
          <w:szCs w:val="24"/>
        </w:rPr>
        <w:t>and were gated out of singlet CD45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cells.</w:t>
      </w:r>
      <w:bookmarkEnd w:id="2"/>
      <w:r>
        <w:rPr>
          <w:rFonts w:ascii="Times New Roman" w:hAnsi="Times New Roman" w:cs="Times New Roman"/>
          <w:color w:val="auto"/>
          <w:sz w:val="24"/>
          <w:szCs w:val="24"/>
        </w:rPr>
        <w:t xml:space="preserve"> Gated DCs then analyzed by their expression of CD11b and CD103.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spacing w:line="360" w:lineRule="auto"/>
        <w:rPr>
          <w:rFonts w:hint="eastAsia" w:ascii="Times New Roman Regular" w:hAnsi="Times New Roman Regular" w:cs="Times New Roman Regular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269865" cy="2643505"/>
            <wp:effectExtent l="0" t="0" r="13335" b="23495"/>
            <wp:docPr id="12" name="图片 12" descr="CD40CD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D40CD8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Fig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Gating strategies for flow cytometric analyses.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Flow cytometry gating scheme for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BMDCs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BMDCs</w:t>
      </w:r>
      <w:r>
        <w:rPr>
          <w:rFonts w:hint="default" w:ascii="Times New Roman Regular" w:hAnsi="Times New Roman Regular" w:cs="Times New Roman Regular"/>
          <w:b w:val="0"/>
          <w:bCs/>
          <w:color w:val="auto"/>
          <w:sz w:val="24"/>
          <w:szCs w:val="24"/>
          <w:lang w:val="en-US"/>
        </w:rPr>
        <w:t xml:space="preserve"> were gated by FSC/SSC, followed by singlet selection (FSC-A vs FSC-H) and live-cell gating prior to quantification of CD86 and CD40 expression.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pPr>
        <w:spacing w:line="360" w:lineRule="auto"/>
        <w:jc w:val="both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Table S1 The clinical characterization of asthmatic patients.</w:t>
      </w:r>
    </w:p>
    <w:tbl>
      <w:tblPr>
        <w:tblStyle w:val="4"/>
        <w:tblW w:w="479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923"/>
        <w:gridCol w:w="624"/>
        <w:gridCol w:w="1079"/>
        <w:gridCol w:w="1213"/>
        <w:gridCol w:w="3151"/>
      </w:tblGrid>
      <w:tr>
        <w:trPr>
          <w:jc w:val="center"/>
        </w:trPr>
        <w:tc>
          <w:tcPr>
            <w:tcW w:w="72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umber</w:t>
            </w:r>
          </w:p>
        </w:tc>
        <w:tc>
          <w:tcPr>
            <w:tcW w:w="56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Sex</w:t>
            </w:r>
          </w:p>
        </w:tc>
        <w:tc>
          <w:tcPr>
            <w:tcW w:w="38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Age</w:t>
            </w:r>
          </w:p>
        </w:tc>
        <w:tc>
          <w:tcPr>
            <w:tcW w:w="66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IgE</w:t>
            </w:r>
          </w:p>
        </w:tc>
        <w:tc>
          <w:tcPr>
            <w:tcW w:w="74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sthma severity</w:t>
            </w:r>
          </w:p>
        </w:tc>
        <w:tc>
          <w:tcPr>
            <w:tcW w:w="192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Bold" w:hAnsi="Times New Roman Bold" w:cs="Times New Roman Bold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Medication use</w:t>
            </w:r>
          </w:p>
        </w:tc>
      </w:tr>
      <w:tr>
        <w:trPr>
          <w:jc w:val="center"/>
        </w:trPr>
        <w:tc>
          <w:tcPr>
            <w:tcW w:w="720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92304001</w:t>
            </w:r>
          </w:p>
        </w:tc>
        <w:tc>
          <w:tcPr>
            <w:tcW w:w="565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Male</w:t>
            </w:r>
          </w:p>
        </w:tc>
        <w:tc>
          <w:tcPr>
            <w:tcW w:w="382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60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869.00 </w:t>
            </w:r>
          </w:p>
        </w:tc>
        <w:tc>
          <w:tcPr>
            <w:tcW w:w="742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evere</w:t>
            </w:r>
          </w:p>
        </w:tc>
        <w:tc>
          <w:tcPr>
            <w:tcW w:w="1929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</w:p>
        </w:tc>
      </w:tr>
      <w:tr>
        <w:trPr>
          <w:jc w:val="center"/>
        </w:trPr>
        <w:tc>
          <w:tcPr>
            <w:tcW w:w="72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92350701</w:t>
            </w:r>
          </w:p>
        </w:tc>
        <w:tc>
          <w:tcPr>
            <w:tcW w:w="565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Male</w:t>
            </w:r>
          </w:p>
        </w:tc>
        <w:tc>
          <w:tcPr>
            <w:tcW w:w="38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6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203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.00</w:t>
            </w:r>
          </w:p>
        </w:tc>
        <w:tc>
          <w:tcPr>
            <w:tcW w:w="74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evere</w:t>
            </w:r>
          </w:p>
        </w:tc>
        <w:tc>
          <w:tcPr>
            <w:tcW w:w="1929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, cefotaxime</w:t>
            </w:r>
          </w:p>
        </w:tc>
      </w:tr>
      <w:tr>
        <w:trPr>
          <w:jc w:val="center"/>
        </w:trPr>
        <w:tc>
          <w:tcPr>
            <w:tcW w:w="72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92338401</w:t>
            </w:r>
          </w:p>
        </w:tc>
        <w:tc>
          <w:tcPr>
            <w:tcW w:w="565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Male</w:t>
            </w:r>
          </w:p>
        </w:tc>
        <w:tc>
          <w:tcPr>
            <w:tcW w:w="38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6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453.00</w:t>
            </w:r>
          </w:p>
        </w:tc>
        <w:tc>
          <w:tcPr>
            <w:tcW w:w="74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evere</w:t>
            </w:r>
          </w:p>
        </w:tc>
        <w:tc>
          <w:tcPr>
            <w:tcW w:w="1929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</w:p>
        </w:tc>
      </w:tr>
      <w:tr>
        <w:trPr>
          <w:jc w:val="center"/>
        </w:trPr>
        <w:tc>
          <w:tcPr>
            <w:tcW w:w="72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92345301</w:t>
            </w:r>
          </w:p>
        </w:tc>
        <w:tc>
          <w:tcPr>
            <w:tcW w:w="565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Male</w:t>
            </w:r>
          </w:p>
        </w:tc>
        <w:tc>
          <w:tcPr>
            <w:tcW w:w="38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6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150.00</w:t>
            </w:r>
          </w:p>
        </w:tc>
        <w:tc>
          <w:tcPr>
            <w:tcW w:w="74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evere</w:t>
            </w:r>
          </w:p>
        </w:tc>
        <w:tc>
          <w:tcPr>
            <w:tcW w:w="1929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</w:p>
        </w:tc>
      </w:tr>
      <w:tr>
        <w:trPr>
          <w:jc w:val="center"/>
        </w:trPr>
        <w:tc>
          <w:tcPr>
            <w:tcW w:w="72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61581102</w:t>
            </w:r>
          </w:p>
        </w:tc>
        <w:tc>
          <w:tcPr>
            <w:tcW w:w="565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emale</w:t>
            </w:r>
          </w:p>
        </w:tc>
        <w:tc>
          <w:tcPr>
            <w:tcW w:w="38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6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329.00 </w:t>
            </w:r>
          </w:p>
        </w:tc>
        <w:tc>
          <w:tcPr>
            <w:tcW w:w="74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evere</w:t>
            </w:r>
          </w:p>
        </w:tc>
        <w:tc>
          <w:tcPr>
            <w:tcW w:w="1929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, ceftriaxone</w:t>
            </w:r>
          </w:p>
        </w:tc>
      </w:tr>
      <w:tr>
        <w:trPr>
          <w:jc w:val="center"/>
        </w:trPr>
        <w:tc>
          <w:tcPr>
            <w:tcW w:w="72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91209604</w:t>
            </w:r>
          </w:p>
        </w:tc>
        <w:tc>
          <w:tcPr>
            <w:tcW w:w="565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emale</w:t>
            </w:r>
          </w:p>
        </w:tc>
        <w:tc>
          <w:tcPr>
            <w:tcW w:w="38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6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169.00</w:t>
            </w:r>
          </w:p>
        </w:tc>
        <w:tc>
          <w:tcPr>
            <w:tcW w:w="74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oderate</w:t>
            </w:r>
          </w:p>
        </w:tc>
        <w:tc>
          <w:tcPr>
            <w:tcW w:w="1929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, ceftriaxone</w:t>
            </w:r>
          </w:p>
        </w:tc>
      </w:tr>
      <w:tr>
        <w:trPr>
          <w:jc w:val="center"/>
        </w:trPr>
        <w:tc>
          <w:tcPr>
            <w:tcW w:w="72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64828401</w:t>
            </w:r>
          </w:p>
        </w:tc>
        <w:tc>
          <w:tcPr>
            <w:tcW w:w="565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emale</w:t>
            </w:r>
          </w:p>
        </w:tc>
        <w:tc>
          <w:tcPr>
            <w:tcW w:w="38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660" w:type="pct"/>
            <w:vAlign w:val="center"/>
          </w:tcPr>
          <w:p>
            <w:pPr>
              <w:tabs>
                <w:tab w:val="left" w:pos="324"/>
              </w:tabs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414.00</w:t>
            </w:r>
          </w:p>
        </w:tc>
        <w:tc>
          <w:tcPr>
            <w:tcW w:w="74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Mild</w:t>
            </w:r>
          </w:p>
        </w:tc>
        <w:tc>
          <w:tcPr>
            <w:tcW w:w="1929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</w:p>
        </w:tc>
      </w:tr>
      <w:tr>
        <w:trPr>
          <w:jc w:val="center"/>
        </w:trPr>
        <w:tc>
          <w:tcPr>
            <w:tcW w:w="72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65435203</w:t>
            </w:r>
          </w:p>
        </w:tc>
        <w:tc>
          <w:tcPr>
            <w:tcW w:w="565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F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emale</w:t>
            </w:r>
          </w:p>
        </w:tc>
        <w:tc>
          <w:tcPr>
            <w:tcW w:w="38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6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 982.00</w:t>
            </w:r>
          </w:p>
        </w:tc>
        <w:tc>
          <w:tcPr>
            <w:tcW w:w="74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oderate</w:t>
            </w:r>
          </w:p>
        </w:tc>
        <w:tc>
          <w:tcPr>
            <w:tcW w:w="1929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, ceftriaxone</w:t>
            </w:r>
          </w:p>
        </w:tc>
      </w:tr>
      <w:tr>
        <w:trPr>
          <w:jc w:val="center"/>
        </w:trPr>
        <w:tc>
          <w:tcPr>
            <w:tcW w:w="72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91907001</w:t>
            </w:r>
          </w:p>
        </w:tc>
        <w:tc>
          <w:tcPr>
            <w:tcW w:w="565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Male</w:t>
            </w:r>
          </w:p>
        </w:tc>
        <w:tc>
          <w:tcPr>
            <w:tcW w:w="38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60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2500.00</w:t>
            </w:r>
          </w:p>
        </w:tc>
        <w:tc>
          <w:tcPr>
            <w:tcW w:w="742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Mild</w:t>
            </w:r>
          </w:p>
        </w:tc>
        <w:tc>
          <w:tcPr>
            <w:tcW w:w="1929" w:type="pct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Nebulized salbutamol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budesonide, ceftriaxone</w:t>
            </w:r>
          </w:p>
        </w:tc>
      </w:tr>
      <w:tr>
        <w:trPr>
          <w:jc w:val="center"/>
        </w:trPr>
        <w:tc>
          <w:tcPr>
            <w:tcW w:w="720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92065401</w:t>
            </w:r>
          </w:p>
        </w:tc>
        <w:tc>
          <w:tcPr>
            <w:tcW w:w="565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Male</w:t>
            </w:r>
          </w:p>
        </w:tc>
        <w:tc>
          <w:tcPr>
            <w:tcW w:w="382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60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869.00</w:t>
            </w:r>
          </w:p>
        </w:tc>
        <w:tc>
          <w:tcPr>
            <w:tcW w:w="742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Mild</w:t>
            </w:r>
          </w:p>
        </w:tc>
        <w:tc>
          <w:tcPr>
            <w:tcW w:w="1929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Methylprednisolone sodium succinate, nebulized salbutamol, budesonide</w:t>
            </w:r>
          </w:p>
        </w:tc>
      </w:tr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Times New Roman Regular" w:hAnsi="Times New Roman Regular" w:eastAsia="Helvetica Neue" w:cs="Times New Roman Regular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>
      <w:bookmarkStart w:id="3" w:name="_GoBack"/>
      <w:bookmarkEnd w:id="3"/>
    </w:p>
    <w:sectPr>
      <w:footerReference r:id="rId3" w:type="default"/>
      <w:pgSz w:w="11906" w:h="16838"/>
      <w:pgMar w:top="1440" w:right="1800" w:bottom="1440" w:left="1800" w:header="851" w:footer="992" w:gutter="0"/>
      <w:lnNumType w:countBy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H+OrRE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F486A"/>
    <w:rsid w:val="56E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2026-02-12T11:56:00Z</dcterms:created>
  <dc:creator>丁聪</dc:creator>
  <cp:lastModifiedBy>丁聪</cp:lastModifiedBy>
  <dcterms:modified xsi:type="dcterms:W3CDTF">2026-02-12T11:57:58Z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1B855D51E948CA9B884F8D69532102C8_41</vt:lpwstr>
  </property>
</Properties>
</file>