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BA3C" w14:textId="77777777" w:rsidR="00A5544F" w:rsidRPr="00C87F32" w:rsidRDefault="00A5544F" w:rsidP="00A5544F">
      <w:pPr>
        <w:keepNext/>
        <w:spacing w:after="0" w:line="360" w:lineRule="auto"/>
      </w:pPr>
      <w:r w:rsidRPr="00C87F32">
        <w:rPr>
          <w:noProof/>
          <w:sz w:val="20"/>
          <w:szCs w:val="20"/>
        </w:rPr>
        <w:drawing>
          <wp:inline distT="0" distB="0" distL="0" distR="0" wp14:anchorId="19901B31" wp14:editId="486FF09B">
            <wp:extent cx="5387368" cy="2808270"/>
            <wp:effectExtent l="0" t="0" r="3810" b="0"/>
            <wp:docPr id="14364485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315" cy="28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C3916" w14:textId="77777777" w:rsidR="00A5544F" w:rsidRPr="00C87F32" w:rsidRDefault="00A5544F" w:rsidP="00A5544F">
      <w:pPr>
        <w:pStyle w:val="Caption"/>
        <w:spacing w:line="360" w:lineRule="auto"/>
        <w:jc w:val="left"/>
        <w:rPr>
          <w:sz w:val="20"/>
          <w:szCs w:val="20"/>
        </w:rPr>
      </w:pPr>
      <w:r w:rsidRPr="00C87F32">
        <w:rPr>
          <w:sz w:val="20"/>
          <w:szCs w:val="20"/>
        </w:rPr>
        <w:t>Supplementary Figure S1.</w:t>
      </w:r>
      <w:r w:rsidRPr="00C87F32">
        <w:rPr>
          <w:b w:val="0"/>
          <w:bCs w:val="0"/>
          <w:sz w:val="20"/>
          <w:szCs w:val="20"/>
        </w:rPr>
        <w:t xml:space="preserve"> </w:t>
      </w:r>
      <w:r w:rsidRPr="00C87F32">
        <w:rPr>
          <w:sz w:val="20"/>
          <w:szCs w:val="20"/>
        </w:rPr>
        <w:t>EDS spectra of Ni₂CoS₄ nanoparticles (N1–N7) showing elemental composition.</w:t>
      </w:r>
    </w:p>
    <w:p w14:paraId="79F6B7B0" w14:textId="77777777" w:rsidR="00A5544F" w:rsidRPr="00C87F32" w:rsidRDefault="00A5544F" w:rsidP="00A5544F">
      <w:pPr>
        <w:spacing w:line="360" w:lineRule="auto"/>
        <w:rPr>
          <w:sz w:val="20"/>
          <w:szCs w:val="20"/>
        </w:rPr>
      </w:pPr>
    </w:p>
    <w:p w14:paraId="08F1CBB5" w14:textId="77777777" w:rsidR="00A5544F" w:rsidRPr="00C87F32" w:rsidRDefault="00A5544F" w:rsidP="00A5544F">
      <w:pPr>
        <w:pStyle w:val="Caption"/>
        <w:keepNext/>
        <w:spacing w:after="0" w:line="360" w:lineRule="auto"/>
        <w:ind w:left="-540"/>
        <w:rPr>
          <w:i/>
          <w:iCs/>
          <w:color w:val="000000" w:themeColor="text1"/>
          <w:sz w:val="20"/>
          <w:szCs w:val="20"/>
        </w:rPr>
      </w:pPr>
      <w:bookmarkStart w:id="0" w:name="_Hlk174798580"/>
      <w:r w:rsidRPr="00C87F32">
        <w:rPr>
          <w:color w:val="000000" w:themeColor="text1"/>
          <w:sz w:val="20"/>
          <w:szCs w:val="20"/>
        </w:rPr>
        <w:t xml:space="preserve">Table S1. Antibacterial susceptibility patterns of </w:t>
      </w:r>
      <w:r w:rsidRPr="00C87F32">
        <w:rPr>
          <w:i/>
          <w:iCs/>
          <w:color w:val="000000" w:themeColor="text1"/>
          <w:sz w:val="20"/>
          <w:szCs w:val="20"/>
        </w:rPr>
        <w:t>S. aureus</w:t>
      </w:r>
      <w:r w:rsidRPr="00C87F32">
        <w:rPr>
          <w:color w:val="000000" w:themeColor="text1"/>
          <w:sz w:val="20"/>
          <w:szCs w:val="20"/>
        </w:rPr>
        <w:t xml:space="preserve"> ATCC and MDR </w:t>
      </w:r>
    </w:p>
    <w:tbl>
      <w:tblPr>
        <w:tblW w:w="973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1717"/>
        <w:gridCol w:w="1594"/>
        <w:gridCol w:w="1985"/>
        <w:gridCol w:w="1940"/>
      </w:tblGrid>
      <w:tr w:rsidR="00A5544F" w:rsidRPr="00C87F32" w14:paraId="4152B547" w14:textId="77777777" w:rsidTr="008A1FC4">
        <w:trPr>
          <w:trHeight w:val="510"/>
          <w:jc w:val="center"/>
        </w:trPr>
        <w:tc>
          <w:tcPr>
            <w:tcW w:w="249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F20A077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Antimicrobial</w:t>
            </w:r>
          </w:p>
        </w:tc>
        <w:tc>
          <w:tcPr>
            <w:tcW w:w="331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B8DA88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87F32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S. aureus</w:t>
            </w:r>
            <w:r w:rsidRPr="00C87F3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ATCC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A4836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87F32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S. aureus</w:t>
            </w:r>
            <w:r w:rsidRPr="00C87F3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MDR</w:t>
            </w:r>
          </w:p>
        </w:tc>
      </w:tr>
      <w:tr w:rsidR="00A5544F" w:rsidRPr="00C87F32" w14:paraId="0CC385D1" w14:textId="77777777" w:rsidTr="008A1FC4">
        <w:trPr>
          <w:trHeight w:val="510"/>
          <w:jc w:val="center"/>
        </w:trPr>
        <w:tc>
          <w:tcPr>
            <w:tcW w:w="2496" w:type="dxa"/>
            <w:vMerge/>
            <w:tcBorders>
              <w:bottom w:val="single" w:sz="4" w:space="0" w:color="auto"/>
            </w:tcBorders>
            <w:vAlign w:val="center"/>
          </w:tcPr>
          <w:p w14:paraId="1D0145FA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E651D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MIC (µg/mL)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EDD5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Susceptibility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ADEB8A2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MIC (µg/mL)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E111E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Susceptibility</w:t>
            </w:r>
          </w:p>
        </w:tc>
      </w:tr>
      <w:tr w:rsidR="00A5544F" w:rsidRPr="00C87F32" w14:paraId="59DA67DB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1553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Gentamicin-Syn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5E812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&lt;=500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DD07E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84605F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&lt;=500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1D3E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A5544F" w:rsidRPr="00C87F32" w14:paraId="05F0F5FA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F25FC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Gentamicin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F0FDD3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&lt;=2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23467A3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1CB85C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79EB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479E5416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9385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Cefoxitin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92FDC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&lt;=2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041EA086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00F75E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0E1E9DF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A5544F" w:rsidRPr="00C87F32" w14:paraId="7810BE89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C9D8C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Cefotaxime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04B743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&lt;=8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12F7500C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4C69382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&lt;=8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4115B01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44197D58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A94B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Ceftaroline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4D80F90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&lt;=0.25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7FD9F46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82259A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&lt;=0.25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06E96D7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7CD55FD2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A7043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Ampicillin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E18544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52C2741E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ED8AC1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1BF0B827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5544F" w:rsidRPr="00C87F32" w14:paraId="5C6436A1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9E93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Penicillin G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D048213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&lt;=0.13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30FEFB5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0FD8DA0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A2F1C7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00F949C1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0B52E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Oxacillin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834E6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&lt;=0.25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4D636ABB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A02734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&lt;=0.25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4B0E5C5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564737D4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F23E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Daptomycin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C61A7B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796B1507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12A4C2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124759A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2E94909F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5A9E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Trimethoprim-Sulfamethoxazole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C35C8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&lt;=1/19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3FC28D6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B8605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2D54F05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A5544F" w:rsidRPr="00C87F32" w14:paraId="56E200B2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CEFE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Teicoplanin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0BC64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16C2AAC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51F2A80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7AE5AE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3B35678D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1900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Vancomycin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3EE41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2CC1ED46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B86DD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0C5BDCE1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3E26BE29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24E7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lastRenderedPageBreak/>
              <w:t>Clindamycin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18CE3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6FAC33E0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C4F0A0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3F41109A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6B3C420D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9F90B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Erythromycin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B4062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&lt;=0.25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3A5C89B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1B1363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28C3666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4E0895C8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ED540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Linezolid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07BAB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7092B660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6B850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02DC071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57A1AB91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6FBBE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Mupirocin High level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D4699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&lt;=256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3EE376D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753A7D2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&lt;=256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1F59EB3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7A98FFB1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FCCEA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Nitrofurantoin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A514C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&lt;=16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0A1B2C87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F87F1C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2D53957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057663D5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61BD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Ciprofloxacin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B7E32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6891F7E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2E1381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5324B0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3D0B5F42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08CA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Levofloxacin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80342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1F5D044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79B7F0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2E92491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07CF8B2F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247A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Moxifloxacin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792F7D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2C3A621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D22A01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7A248C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I</w:t>
            </w:r>
          </w:p>
        </w:tc>
      </w:tr>
      <w:tr w:rsidR="00A5544F" w:rsidRPr="00C87F32" w14:paraId="465A62AA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B521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Rifampin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28B87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7C394F9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DB06EF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EACD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57BF7B62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7FF6F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Tetracycline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05EF97A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169580F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081F7DA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&gt;8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E116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7BE998CB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D3C7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Tigecycline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34E1D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&lt;=0.25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6EC8DBAE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AA0959A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&lt;=0.25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8044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A5544F" w:rsidRPr="00C87F32" w14:paraId="13A770F5" w14:textId="77777777" w:rsidTr="008A1FC4">
        <w:trPr>
          <w:trHeight w:val="51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</w:tcBorders>
            <w:vAlign w:val="center"/>
          </w:tcPr>
          <w:p w14:paraId="4B97A526" w14:textId="77777777" w:rsidR="00A5544F" w:rsidRPr="00C87F32" w:rsidRDefault="00A5544F" w:rsidP="008A1FC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87F32">
              <w:rPr>
                <w:color w:val="000000" w:themeColor="text1"/>
                <w:sz w:val="20"/>
                <w:szCs w:val="20"/>
              </w:rPr>
              <w:t>(S: Susceptible, I: Intermediate, R: Resistant, X: Invalid).</w:t>
            </w:r>
          </w:p>
        </w:tc>
      </w:tr>
    </w:tbl>
    <w:p w14:paraId="19A52BCA" w14:textId="77777777" w:rsidR="00A5544F" w:rsidRPr="00C87F32" w:rsidRDefault="00A5544F" w:rsidP="00A5544F">
      <w:pPr>
        <w:pStyle w:val="Caption"/>
        <w:keepNext/>
        <w:spacing w:after="0" w:line="360" w:lineRule="auto"/>
        <w:rPr>
          <w:color w:val="000000" w:themeColor="text1"/>
          <w:sz w:val="20"/>
          <w:szCs w:val="20"/>
        </w:rPr>
      </w:pPr>
    </w:p>
    <w:p w14:paraId="708DB47B" w14:textId="77777777" w:rsidR="00A5544F" w:rsidRPr="00C87F32" w:rsidRDefault="00A5544F" w:rsidP="00A5544F">
      <w:pPr>
        <w:pStyle w:val="Caption"/>
        <w:keepNext/>
        <w:spacing w:after="0" w:line="360" w:lineRule="auto"/>
        <w:ind w:left="-540"/>
        <w:rPr>
          <w:color w:val="000000" w:themeColor="text1"/>
          <w:sz w:val="20"/>
          <w:szCs w:val="20"/>
        </w:rPr>
      </w:pPr>
    </w:p>
    <w:p w14:paraId="0751B332" w14:textId="77777777" w:rsidR="00A5544F" w:rsidRPr="00C87F32" w:rsidRDefault="00A5544F" w:rsidP="00A5544F">
      <w:pPr>
        <w:pStyle w:val="Caption"/>
        <w:keepNext/>
        <w:spacing w:after="0" w:line="360" w:lineRule="auto"/>
        <w:ind w:left="-540"/>
        <w:rPr>
          <w:i/>
          <w:iCs/>
          <w:color w:val="000000" w:themeColor="text1"/>
          <w:sz w:val="20"/>
          <w:szCs w:val="20"/>
        </w:rPr>
      </w:pPr>
      <w:r w:rsidRPr="00C87F32">
        <w:rPr>
          <w:color w:val="000000" w:themeColor="text1"/>
          <w:sz w:val="20"/>
          <w:szCs w:val="20"/>
        </w:rPr>
        <w:t xml:space="preserve">Table S2 Antibacterial susceptibility patterns of </w:t>
      </w:r>
      <w:r w:rsidRPr="00C87F32">
        <w:rPr>
          <w:i/>
          <w:iCs/>
          <w:color w:val="000000" w:themeColor="text1"/>
          <w:sz w:val="20"/>
          <w:szCs w:val="20"/>
        </w:rPr>
        <w:t>P. aeruginosa</w:t>
      </w:r>
      <w:r w:rsidRPr="00C87F32">
        <w:rPr>
          <w:color w:val="000000" w:themeColor="text1"/>
          <w:sz w:val="20"/>
          <w:szCs w:val="20"/>
        </w:rPr>
        <w:t xml:space="preserve"> ATCC and XDR </w:t>
      </w:r>
    </w:p>
    <w:tbl>
      <w:tblPr>
        <w:tblW w:w="973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1717"/>
        <w:gridCol w:w="1594"/>
        <w:gridCol w:w="1985"/>
        <w:gridCol w:w="1940"/>
      </w:tblGrid>
      <w:tr w:rsidR="00A5544F" w:rsidRPr="00C87F32" w14:paraId="2816F1F0" w14:textId="77777777" w:rsidTr="008A1FC4">
        <w:trPr>
          <w:trHeight w:val="510"/>
          <w:jc w:val="center"/>
        </w:trPr>
        <w:tc>
          <w:tcPr>
            <w:tcW w:w="249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45436D7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Antimicrobial</w:t>
            </w:r>
          </w:p>
        </w:tc>
        <w:tc>
          <w:tcPr>
            <w:tcW w:w="331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C8C05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P. aeruginosa</w:t>
            </w: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 ATCC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882C43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P. aeruginosa</w:t>
            </w: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 XDR</w:t>
            </w:r>
          </w:p>
        </w:tc>
      </w:tr>
      <w:tr w:rsidR="00A5544F" w:rsidRPr="00C87F32" w14:paraId="2C997B1B" w14:textId="77777777" w:rsidTr="008A1FC4">
        <w:trPr>
          <w:trHeight w:val="510"/>
          <w:jc w:val="center"/>
        </w:trPr>
        <w:tc>
          <w:tcPr>
            <w:tcW w:w="2496" w:type="dxa"/>
            <w:vMerge/>
            <w:tcBorders>
              <w:bottom w:val="single" w:sz="4" w:space="0" w:color="auto"/>
            </w:tcBorders>
            <w:vAlign w:val="center"/>
          </w:tcPr>
          <w:p w14:paraId="134C57BC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CE8F13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MIC (µg/mL)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3CC8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Susceptibility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EDB38C8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MIC (µg/mL)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E185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Susceptibility</w:t>
            </w:r>
          </w:p>
        </w:tc>
      </w:tr>
      <w:tr w:rsidR="00A5544F" w:rsidRPr="00C87F32" w14:paraId="4435636F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14940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Amikacin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80770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&lt;=8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2821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025513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9B94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I</w:t>
            </w:r>
          </w:p>
        </w:tc>
      </w:tr>
      <w:tr w:rsidR="00A5544F" w:rsidRPr="00C87F32" w14:paraId="1E93FD17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346B3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Gentamicin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0248A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&lt;=2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99ABC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0A2125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&gt;8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73B20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A5544F" w:rsidRPr="00C87F32" w14:paraId="6D7287AC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61134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Ertapenem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D2C6B6B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1DAAA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CE69BA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4EBAC05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4865C8A3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CBD42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Imipenem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96FA5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EC675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E02AE0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1DD9D24E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070EB8DC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CEE7F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Meropenem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A4AA0B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C494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33139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41842F13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4EB39D3C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D671F0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Cefazolin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DDEFD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7A570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A27D5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3FAF99F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1F48C02C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A3D93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Cefuroxime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D10BB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A50A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B5F2B6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7E2CFF3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2BD94468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0118F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Ceftazidime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26E84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91ED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110967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44A2927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439A0A84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22229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Ceftriaxone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951E3F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61D3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8CC2D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&gt;32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601C955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0244E3E5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92309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Cefepime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5FB58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3C24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FFF2A8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6E0CF5F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7B4F6387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76FAE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lastRenderedPageBreak/>
              <w:t>Ceftolozane-Tazobactam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B4357C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&lt;=1/4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4CDA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0195C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&gt;8/4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43DC73B3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0F641742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AA398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Ampicillin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6D4004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DA2BB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998D27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6D047E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1B6CE362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DCEF6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Amoxicillin-Clavulanate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D8431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&gt;16/8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3986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4BBF8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&gt;16/8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30006D4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7A96746A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5BEEFC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Piperacillin-Tazobactam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0EBFEDB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&lt;=4/4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CF213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7FF8691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&gt;64/4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70DA1CF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49045E3D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FCFF5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Colistin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DD928A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B866E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71230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E5A4B3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5FEA721E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A01B28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Trimethoprim-Sulfamethoxazole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43EB4EE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2/38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001C6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40F7AC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&gt;4/76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7A6A6D2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25AC78DE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28D9F7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Nitrofurantoin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A3EB63D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&gt;64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23660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4CD03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&gt;64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CDD024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01BC0DD2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A59CC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Ciprofloxacin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7CB771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&lt;=0.5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63D86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C2FE7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&gt;2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CAA062F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236B6E9B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6AF57A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Levofloxacin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580809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&lt;=1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93362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752905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5EB36661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C87F32" w14:paraId="425B0666" w14:textId="77777777" w:rsidTr="008A1FC4">
        <w:trPr>
          <w:trHeight w:val="510"/>
          <w:jc w:val="center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F0234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Tigecycline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847330" w14:textId="77777777" w:rsidR="00A5544F" w:rsidRPr="00C87F32" w:rsidRDefault="00A5544F" w:rsidP="008A1FC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color w:val="000000" w:themeColor="text1"/>
                <w:sz w:val="20"/>
                <w:szCs w:val="20"/>
              </w:rPr>
              <w:t>&gt;4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3BA4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4EE8D9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&gt;4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2947CB9D" w14:textId="77777777" w:rsidR="00A5544F" w:rsidRPr="00C87F32" w:rsidRDefault="00A5544F" w:rsidP="008A1FC4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7F32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</w:tr>
      <w:tr w:rsidR="00A5544F" w:rsidRPr="00017334" w14:paraId="688450EC" w14:textId="77777777" w:rsidTr="008A1FC4">
        <w:trPr>
          <w:trHeight w:val="51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</w:tcBorders>
            <w:vAlign w:val="center"/>
          </w:tcPr>
          <w:p w14:paraId="39115205" w14:textId="77777777" w:rsidR="00A5544F" w:rsidRPr="00017334" w:rsidRDefault="00A5544F" w:rsidP="008A1FC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87F32">
              <w:rPr>
                <w:color w:val="000000" w:themeColor="text1"/>
                <w:sz w:val="20"/>
                <w:szCs w:val="20"/>
              </w:rPr>
              <w:t>(S: Susceptible, I: Intermediate, R: Resistant, X: Invalid).</w:t>
            </w:r>
          </w:p>
        </w:tc>
      </w:tr>
      <w:bookmarkEnd w:id="0"/>
    </w:tbl>
    <w:p w14:paraId="37215609" w14:textId="77777777" w:rsidR="00A5544F" w:rsidRDefault="00A5544F" w:rsidP="00A5544F"/>
    <w:p w14:paraId="14EE6B1E" w14:textId="77777777" w:rsidR="00A5544F" w:rsidRPr="00FE7300" w:rsidRDefault="00A5544F" w:rsidP="00A5544F">
      <w:pPr>
        <w:spacing w:line="360" w:lineRule="auto"/>
        <w:rPr>
          <w:sz w:val="20"/>
          <w:szCs w:val="20"/>
        </w:rPr>
      </w:pPr>
    </w:p>
    <w:p w14:paraId="3FEAF202" w14:textId="77777777" w:rsidR="00F5016F" w:rsidRDefault="00F5016F"/>
    <w:sectPr w:rsidR="00F5016F" w:rsidSect="00A5544F">
      <w:pgSz w:w="12242" w:h="16727"/>
      <w:pgMar w:top="1440" w:right="1797" w:bottom="1440" w:left="1797" w:header="709" w:footer="709" w:gutter="0"/>
      <w:paperSrc w:first="7" w:other="7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C8D"/>
    <w:multiLevelType w:val="multilevel"/>
    <w:tmpl w:val="2BF4ACD8"/>
    <w:lvl w:ilvl="0">
      <w:start w:val="4"/>
      <w:numFmt w:val="decimal"/>
      <w:pStyle w:val="Heading1"/>
      <w:lvlText w:val="Chapter 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254049C"/>
    <w:multiLevelType w:val="multilevel"/>
    <w:tmpl w:val="060A1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88C33CD"/>
    <w:multiLevelType w:val="multilevel"/>
    <w:tmpl w:val="BBE606FE"/>
    <w:lvl w:ilvl="0">
      <w:start w:val="1"/>
      <w:numFmt w:val="decimal"/>
      <w:lvlText w:val="%1."/>
      <w:lvlJc w:val="left"/>
      <w:pPr>
        <w:tabs>
          <w:tab w:val="num" w:pos="142"/>
        </w:tabs>
        <w:ind w:left="142" w:hanging="142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84"/>
        </w:tabs>
        <w:ind w:left="284" w:hanging="142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425"/>
        </w:tabs>
        <w:ind w:left="425" w:hanging="142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568"/>
        </w:tabs>
        <w:ind w:left="568" w:hanging="142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710"/>
        </w:tabs>
        <w:ind w:left="710" w:hanging="14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2"/>
        </w:tabs>
        <w:ind w:left="852" w:hanging="14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4"/>
        </w:tabs>
        <w:ind w:left="994" w:hanging="14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6"/>
        </w:tabs>
        <w:ind w:left="1136" w:hanging="1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78"/>
        </w:tabs>
        <w:ind w:left="1278" w:hanging="142"/>
      </w:pPr>
      <w:rPr>
        <w:rFonts w:hint="default"/>
      </w:rPr>
    </w:lvl>
  </w:abstractNum>
  <w:num w:numId="1" w16cid:durableId="897672626">
    <w:abstractNumId w:val="0"/>
  </w:num>
  <w:num w:numId="2" w16cid:durableId="1224869106">
    <w:abstractNumId w:val="2"/>
  </w:num>
  <w:num w:numId="3" w16cid:durableId="542408303">
    <w:abstractNumId w:val="2"/>
  </w:num>
  <w:num w:numId="4" w16cid:durableId="374739664">
    <w:abstractNumId w:val="2"/>
  </w:num>
  <w:num w:numId="5" w16cid:durableId="2085489471">
    <w:abstractNumId w:val="0"/>
  </w:num>
  <w:num w:numId="6" w16cid:durableId="1002009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4E5"/>
    <w:rsid w:val="000555DF"/>
    <w:rsid w:val="0008300E"/>
    <w:rsid w:val="000E6389"/>
    <w:rsid w:val="00170D8B"/>
    <w:rsid w:val="001E2E64"/>
    <w:rsid w:val="00395EC1"/>
    <w:rsid w:val="003A63FB"/>
    <w:rsid w:val="003A6E15"/>
    <w:rsid w:val="0051028C"/>
    <w:rsid w:val="005214E5"/>
    <w:rsid w:val="00656CA6"/>
    <w:rsid w:val="00720268"/>
    <w:rsid w:val="008D7EB1"/>
    <w:rsid w:val="009677F5"/>
    <w:rsid w:val="009923DD"/>
    <w:rsid w:val="00A5544F"/>
    <w:rsid w:val="00AE49CB"/>
    <w:rsid w:val="00AF6AFE"/>
    <w:rsid w:val="00B74CD4"/>
    <w:rsid w:val="00B97C11"/>
    <w:rsid w:val="00BA3543"/>
    <w:rsid w:val="00BE3874"/>
    <w:rsid w:val="00CB1056"/>
    <w:rsid w:val="00D50B59"/>
    <w:rsid w:val="00F25116"/>
    <w:rsid w:val="00F5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C6CE0A-8BB9-4CAD-B5D3-8470BC75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44F"/>
    <w:rPr>
      <w:rFonts w:asciiTheme="majorBidi" w:hAnsiTheme="majorBidi"/>
      <w:kern w:val="0"/>
      <w:sz w:val="24"/>
      <w14:ligatures w14:val="none"/>
    </w:rPr>
  </w:style>
  <w:style w:type="paragraph" w:styleId="Heading1">
    <w:name w:val="heading 1"/>
    <w:basedOn w:val="Normal"/>
    <w:link w:val="Heading1Char"/>
    <w:autoRedefine/>
    <w:uiPriority w:val="9"/>
    <w:qFormat/>
    <w:rsid w:val="00720268"/>
    <w:pPr>
      <w:numPr>
        <w:numId w:val="5"/>
      </w:numPr>
      <w:spacing w:before="100" w:beforeAutospacing="1" w:after="100" w:afterAutospacing="1" w:line="360" w:lineRule="auto"/>
      <w:jc w:val="both"/>
      <w:outlineLvl w:val="0"/>
    </w:pPr>
    <w:rPr>
      <w:rFonts w:eastAsia="Times New Roman" w:cstheme="majorBidi"/>
      <w:b/>
      <w:bCs/>
      <w:kern w:val="36"/>
      <w:sz w:val="32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0268"/>
    <w:pPr>
      <w:keepNext/>
      <w:keepLines/>
      <w:numPr>
        <w:ilvl w:val="1"/>
        <w:numId w:val="4"/>
      </w:numPr>
      <w:spacing w:before="40" w:after="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0268"/>
    <w:pPr>
      <w:keepNext/>
      <w:keepLines/>
      <w:numPr>
        <w:ilvl w:val="2"/>
        <w:numId w:val="4"/>
      </w:numPr>
      <w:tabs>
        <w:tab w:val="clear" w:pos="425"/>
        <w:tab w:val="num" w:pos="426"/>
      </w:tabs>
      <w:spacing w:before="40" w:after="0"/>
      <w:outlineLvl w:val="2"/>
    </w:pPr>
    <w:rPr>
      <w:rFonts w:eastAsiaTheme="majorEastAsia" w:cstheme="majorBidi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0268"/>
    <w:pPr>
      <w:keepNext/>
      <w:keepLines/>
      <w:numPr>
        <w:ilvl w:val="3"/>
        <w:numId w:val="6"/>
      </w:numPr>
      <w:tabs>
        <w:tab w:val="num" w:pos="568"/>
      </w:tabs>
      <w:spacing w:before="40" w:after="0"/>
      <w:ind w:left="568" w:hanging="142"/>
      <w:outlineLvl w:val="3"/>
    </w:pPr>
    <w:rPr>
      <w:rFonts w:eastAsiaTheme="majorEastAsia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4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4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4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4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4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268"/>
    <w:rPr>
      <w:rFonts w:asciiTheme="majorBidi" w:eastAsia="Times New Roman" w:hAnsiTheme="majorBidi" w:cstheme="majorBidi"/>
      <w:b/>
      <w:bCs/>
      <w:kern w:val="36"/>
      <w:sz w:val="32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20268"/>
    <w:rPr>
      <w:rFonts w:asciiTheme="majorBidi" w:eastAsiaTheme="majorEastAsia" w:hAnsiTheme="majorBid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20268"/>
    <w:rPr>
      <w:rFonts w:asciiTheme="majorBidi" w:eastAsiaTheme="majorEastAsia" w:hAnsiTheme="majorBidi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20268"/>
    <w:rPr>
      <w:rFonts w:asciiTheme="majorBidi" w:eastAsiaTheme="majorEastAsia" w:hAnsiTheme="majorBidi" w:cstheme="majorBidi"/>
      <w:b/>
      <w:bCs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720268"/>
    <w:pPr>
      <w:spacing w:after="200" w:line="240" w:lineRule="auto"/>
      <w:jc w:val="both"/>
    </w:pPr>
    <w:rPr>
      <w:b/>
      <w:bCs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202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720268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720268"/>
    <w:pPr>
      <w:keepNext/>
      <w:keepLines/>
      <w:spacing w:before="240" w:beforeAutospacing="0" w:after="0" w:line="259" w:lineRule="auto"/>
      <w:outlineLvl w:val="9"/>
    </w:pPr>
    <w:rPr>
      <w:rFonts w:asciiTheme="majorHAnsi" w:eastAsiaTheme="majorEastAsia" w:hAnsiTheme="majorHAnsi"/>
      <w:b w:val="0"/>
      <w:bCs w:val="0"/>
      <w:color w:val="2F5496" w:themeColor="accent1" w:themeShade="BF"/>
      <w:kern w:val="0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4E5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4E5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4E5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4E5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4E5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4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4E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21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4E5"/>
    <w:rPr>
      <w:rFonts w:asciiTheme="majorBidi" w:hAnsiTheme="majorBidi"/>
      <w:i/>
      <w:iCs/>
      <w:color w:val="404040" w:themeColor="text1" w:themeTint="BF"/>
      <w:kern w:val="0"/>
      <w:sz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5214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4E5"/>
    <w:rPr>
      <w:rFonts w:asciiTheme="majorBidi" w:hAnsiTheme="majorBidi"/>
      <w:i/>
      <w:iCs/>
      <w:color w:val="2F5496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214E5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55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Karzan Qurbani</dc:creator>
  <cp:keywords/>
  <dc:description/>
  <cp:lastModifiedBy>Karzan Qurbani</cp:lastModifiedBy>
  <cp:revision>2</cp:revision>
  <dcterms:created xsi:type="dcterms:W3CDTF">2025-12-15T06:49:00Z</dcterms:created>
  <dcterms:modified xsi:type="dcterms:W3CDTF">2025-12-15T06:50:00Z</dcterms:modified>
</cp:coreProperties>
</file>