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A008F">
      <w:pPr>
        <w:keepNext w:val="0"/>
        <w:keepLines w:val="0"/>
        <w:widowControl/>
        <w:suppressLineNumbers w:val="0"/>
        <w:jc w:val="left"/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eastAsia="STIX-Regular" w:cs="STIX-Regular" w:asciiTheme="minorAscii" w:hAnsiTheme="minorAscii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Supplementary Table 1.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Baseline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characteristics of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patients with gastric SMT in 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TC and EVC.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2"/>
        <w:gridCol w:w="2657"/>
        <w:gridCol w:w="2921"/>
        <w:gridCol w:w="1781"/>
      </w:tblGrid>
      <w:tr w14:paraId="161A03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bottom w:val="single" w:color="auto" w:sz="8" w:space="0"/>
            </w:tcBorders>
          </w:tcPr>
          <w:p w14:paraId="56FD65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STIX-Regular" w:cs="STIX-Regular" w:asciiTheme="minorAscii" w:hAnsiTheme="minorAscii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937" w:type="pct"/>
            <w:tcBorders>
              <w:bottom w:val="single" w:color="auto" w:sz="8" w:space="0"/>
            </w:tcBorders>
            <w:shd w:val="clear" w:color="auto" w:fill="FFFFFF"/>
            <w:vAlign w:val="center"/>
          </w:tcPr>
          <w:p w14:paraId="14CF21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TC (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670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1030" w:type="pct"/>
            <w:tcBorders>
              <w:bottom w:val="single" w:color="auto" w:sz="8" w:space="0"/>
            </w:tcBorders>
            <w:shd w:val="clear" w:color="auto" w:fill="FFFFFF"/>
            <w:vAlign w:val="center"/>
          </w:tcPr>
          <w:p w14:paraId="29C54C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EVC (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346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628" w:type="pct"/>
            <w:tcBorders>
              <w:bottom w:val="single" w:color="auto" w:sz="8" w:space="0"/>
            </w:tcBorders>
          </w:tcPr>
          <w:p w14:paraId="42B3354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/>
                <w:i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2A88D9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74F385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SMT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937" w:type="pct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22E217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0EB31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60283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  <w:tr w14:paraId="12B9EC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6509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small gastric stromal tumor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26105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300 (44.8%)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16A81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186 (53.8%)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34E26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6A25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23553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non-small gastric stromal tumor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86C3B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370 (55.2%)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1B9D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160 (46.2%)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D4E29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A4BE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AA34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Sex,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DB48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D4A0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7D6C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0.702</w:t>
            </w:r>
          </w:p>
        </w:tc>
      </w:tr>
      <w:tr w14:paraId="669B55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3E35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2B440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328 (49.0%)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57EE7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165 (47.7%)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A3BE3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A2C4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2D55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80A4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342 (51.0%)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6A29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181 (52.3%)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5AA7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51A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75F25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Age, 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years,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32753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C420B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18A6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0.029</w:t>
            </w:r>
          </w:p>
        </w:tc>
      </w:tr>
      <w:tr w14:paraId="0D93E8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68C8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˂60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99C22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337 (50.3%)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3007E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199 (57.5%)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48048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66C0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928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≥60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82A1B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333 (49.7%)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A50B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147 (42.5%)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254CD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51E4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48F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location,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C5DC2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52BDC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DF963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0.064</w:t>
            </w:r>
          </w:p>
        </w:tc>
      </w:tr>
      <w:tr w14:paraId="07EC62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C432E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Cardia/Gastric fundus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2502F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268 (40.0%)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FB7FB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155 (44.8%)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2AB4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FB3A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46788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Gastric body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4E19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218 (32.5%)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12FCC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119 (34.4%)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1827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4FB5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B2CD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Gastric antrum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1E5AA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184 (27.5%)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89A4C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72 (20.8%)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C757D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EDBF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3B65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Level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of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origin,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E7DC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4B7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3FF5B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0.212</w:t>
            </w:r>
          </w:p>
        </w:tc>
      </w:tr>
      <w:tr w14:paraId="0FC9F6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38E7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MM/SM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31EBB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273 (40.7%)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E2E4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127 (36.7%)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47A2F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E120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62B1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MP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CED3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397 (59.3%)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4F790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219 (63.3%)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3AE3C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90B4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B7D2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Echo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intensity,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4B974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1F4E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669C5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0.821</w:t>
            </w:r>
          </w:p>
        </w:tc>
      </w:tr>
      <w:tr w14:paraId="53A371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0C5BA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E9B66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464 (69.3%)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848D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242 (69.9%)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52CBA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6EE6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B42B7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medium/high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519C1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206 (30.7%)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5F038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104 (30.1%)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3E43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A3AF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C235B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Uniform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echoes,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3FCC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3B5F9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11D07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0.563</w:t>
            </w:r>
          </w:p>
        </w:tc>
      </w:tr>
      <w:tr w14:paraId="533EAF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3499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499CD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518 (77.3%)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B9AFE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273 (78.9%)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B2B3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110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7AC0C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1BBE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152 (22.7%)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2036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73 (21.1%)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54A27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4AA2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E893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growth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pattern,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FFB1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2A2DD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17F9D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0.113</w:t>
            </w:r>
          </w:p>
        </w:tc>
      </w:tr>
      <w:tr w14:paraId="287238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B438E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Intraluminal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B1E64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591 (88.2%)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67EE4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293 (84.7%)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14F54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145B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85917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Extraluminal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050D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79 (11.8%)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5270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53 (15.3%)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A3F1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0C10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FA98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Shape,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E8E5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061E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62C0B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0.387</w:t>
            </w:r>
          </w:p>
        </w:tc>
      </w:tr>
      <w:tr w14:paraId="63A106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E195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Regular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BB07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615 (91.8%)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7D6E0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312 (90.2%)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C1C0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B9BD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519C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Irregular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39A38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55 (8.2%)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96B16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34 (9.8%)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2BC00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3344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36219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Boundary,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6B17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098EF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A15C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0.312</w:t>
            </w:r>
          </w:p>
        </w:tc>
      </w:tr>
      <w:tr w14:paraId="525A88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84FA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Clear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CEAF1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590 (88.1%)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C26C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312 (90.2%)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E08B9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7823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7320D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Unclear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9FD00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80 (11.9%)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89EB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34 (9.8%)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43A98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EF8C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F634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Superficial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ulcer, n (%)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EEAB1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F4B5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EBD30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0.343</w:t>
            </w:r>
          </w:p>
        </w:tc>
      </w:tr>
      <w:tr w14:paraId="0CCE74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6AB9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37E86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 (2.7%)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B4714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 (1.7%)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1113F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78DD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2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CD6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937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8A10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652 (97.3%)</w:t>
            </w:r>
          </w:p>
        </w:tc>
        <w:tc>
          <w:tcPr>
            <w:tcW w:w="1030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67A08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340 (98.3%)</w:t>
            </w:r>
          </w:p>
        </w:tc>
        <w:tc>
          <w:tcPr>
            <w:tcW w:w="62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22BF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D960F06">
      <w:pPr>
        <w:keepNext w:val="0"/>
        <w:keepLines w:val="0"/>
        <w:widowControl/>
        <w:suppressLineNumbers w:val="0"/>
        <w:jc w:val="both"/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SMT: submucosal tumor; TC: training cohort; EVC: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external validation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cohort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; bold values indicate</w:t>
      </w:r>
      <w:r>
        <w:rPr>
          <w:rFonts w:hint="eastAsia" w:eastAsia="STIX-Regular" w:cs="STIX-Regular" w:asciiTheme="minorAscii" w:hAnsiTheme="minorAscii"/>
          <w:i/>
          <w:i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P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&lt; 0.05</w:t>
      </w:r>
    </w:p>
    <w:p w14:paraId="5D427B0D">
      <w:pPr>
        <w:keepNext w:val="0"/>
        <w:keepLines w:val="0"/>
        <w:widowControl/>
        <w:suppressLineNumbers w:val="0"/>
        <w:jc w:val="both"/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2EC503D">
      <w:pPr>
        <w:keepNext w:val="0"/>
        <w:keepLines w:val="0"/>
        <w:widowControl/>
        <w:suppressLineNumbers w:val="0"/>
        <w:jc w:val="left"/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Supplementary Table 2.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Comparison of clinical characteristics between small gastric stromal tumors and non-small gastric stromal tumors in the IVC.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4440"/>
        <w:gridCol w:w="4990"/>
        <w:gridCol w:w="1117"/>
      </w:tblGrid>
      <w:tr w14:paraId="3C1BE3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bottom w:val="single" w:color="auto" w:sz="8" w:space="0"/>
            </w:tcBorders>
          </w:tcPr>
          <w:p w14:paraId="17A3FCA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STIX-Regular" w:cs="STIX-Regular" w:asciiTheme="minorAscii" w:hAnsiTheme="minorAscii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1566" w:type="pct"/>
            <w:tcBorders>
              <w:bottom w:val="single" w:color="auto" w:sz="8" w:space="0"/>
            </w:tcBorders>
          </w:tcPr>
          <w:p w14:paraId="270B69D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Small gastric stromal tumor (n=128)</w:t>
            </w:r>
          </w:p>
        </w:tc>
        <w:tc>
          <w:tcPr>
            <w:tcW w:w="1760" w:type="pct"/>
            <w:tcBorders>
              <w:bottom w:val="single" w:color="auto" w:sz="8" w:space="0"/>
            </w:tcBorders>
          </w:tcPr>
          <w:p w14:paraId="728C53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Non-small gastric stromal tumor (n=159)</w:t>
            </w:r>
          </w:p>
        </w:tc>
        <w:tc>
          <w:tcPr>
            <w:tcW w:w="394" w:type="pct"/>
            <w:tcBorders>
              <w:bottom w:val="single" w:color="auto" w:sz="8" w:space="0"/>
            </w:tcBorders>
          </w:tcPr>
          <w:p w14:paraId="0D3D50F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/>
                <w:i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47B57A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608DE2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Sex, n (%)</w:t>
            </w:r>
          </w:p>
        </w:tc>
        <w:tc>
          <w:tcPr>
            <w:tcW w:w="4440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1122AC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1FE4F8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325287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0.636</w:t>
            </w:r>
          </w:p>
        </w:tc>
      </w:tr>
      <w:tr w14:paraId="2F9173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5C567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11C7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60 (46.9%)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B66D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79 (49.7%)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23C88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C53E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71854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A95DF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68 (53.1%)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624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80 (50.3%)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70B6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112F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CEA10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Age, 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years,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B7003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DC15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3D6B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0.268</w:t>
            </w:r>
          </w:p>
        </w:tc>
      </w:tr>
      <w:tr w14:paraId="60AFC4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EDECF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≥60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246C6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72 (56.3%)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2B782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79 (49.7%)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53D1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B751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43CB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˂60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D6333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56 (43.8%)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FD2E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80 (50.3%)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16F0D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0854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C899B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location,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B5DC7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8B901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2498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6E1C4F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22E94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Cardia/Gastric fundus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8C5F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70 (54.7%)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A25D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43 (27.0%)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707A7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4C0E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CD06B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Gastric body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009D7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27 (21.1%)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DBB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77 (48.4%)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0709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447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1F7B0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Gastric antrum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06A4A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31 (24.2%)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CA04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39 (24.5%)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906B0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AF7B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B8CA8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Level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of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origin,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34D3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350D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E89B6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5997AB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AA8CB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MM/SM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D57D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21 (16.4%)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145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88 (55.3%)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1A92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9CD75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2214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MP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AEB5C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107 (83.6%)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CF66E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71 (44.7%)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AED6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F9E5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4CB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Echo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intensity,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5D226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76EB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F9B4D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0.003</w:t>
            </w:r>
          </w:p>
        </w:tc>
      </w:tr>
      <w:tr w14:paraId="216C29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D2C0A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642E6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103 (80.5%)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72D4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103 (64.8%)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C7A2F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8419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DEAE5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medium/high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E01B6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25 (19.5%)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5D7E2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56 (35.2%)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94CB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9C2C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D28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Uniform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echoes,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75480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6C26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B1C13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0.944</w:t>
            </w:r>
          </w:p>
        </w:tc>
      </w:tr>
      <w:tr w14:paraId="521E62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C85CA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64DA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101 (78.9%)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BB6CB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126 (79.2%)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CEE2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ADCF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53ED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547AF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27 (21.1%)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E7866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33 (20.8%)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7691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874F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BA66C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growth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pattern,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ED0F9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03C85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C142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343870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5131F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Intraluminal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5AD1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100 (78.1%)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7300D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152 (95.6%)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50296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9190D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7B86E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Extraluminal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DEB0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28 (21.9%)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8557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 (4.4%)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36CC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0E6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B6FA5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Shape,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CCF4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AAC0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A41AB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0.436</w:t>
            </w:r>
          </w:p>
        </w:tc>
      </w:tr>
      <w:tr w14:paraId="1253E9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253E9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Regular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97B61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115 (89.8%)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79D5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147 (92.5%)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123E6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BC96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DBD51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Irregular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AA7AB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13 (10.2%)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522A8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 (7.5%)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F31E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BD24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FABE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Boundary,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EC7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D396E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BB243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0.426</w:t>
            </w:r>
          </w:p>
        </w:tc>
      </w:tr>
      <w:tr w14:paraId="12FF5E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82671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Clear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3A83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114 (89.1%)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2587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146 (91.8%)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F67DB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06CA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3911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Unclear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1AF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 (10.9%)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54625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13 (8.2%)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6024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F83D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FE2B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Superficial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ulcer,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4AD2B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08D5C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CEADB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0.194</w:t>
            </w:r>
          </w:p>
        </w:tc>
      </w:tr>
      <w:tr w14:paraId="4E3E59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7CD4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045FB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 (4.7%)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5DAF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 (1.9%)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675F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A27B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076B4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189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122 (95.3%)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0669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156 (98.1%)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62BD4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F70497D">
      <w:pPr>
        <w:keepNext w:val="0"/>
        <w:keepLines w:val="0"/>
        <w:widowControl/>
        <w:suppressLineNumbers w:val="0"/>
        <w:jc w:val="both"/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 IVC: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internal validation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cohort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; bold values indicate</w:t>
      </w:r>
      <w:r>
        <w:rPr>
          <w:rFonts w:hint="eastAsia" w:eastAsia="STIX-Regular" w:cs="STIX-Regular" w:asciiTheme="minorAscii" w:hAnsiTheme="minorAscii"/>
          <w:i/>
          <w:i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P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&lt; 0.05</w:t>
      </w:r>
    </w:p>
    <w:p w14:paraId="0A2B83C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3D65E82">
      <w:pPr>
        <w:keepNext w:val="0"/>
        <w:keepLines w:val="0"/>
        <w:widowControl/>
        <w:suppressLineNumbers w:val="0"/>
        <w:jc w:val="left"/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Supplementary Table 3.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Comparison of clinical characteristics between small gastric stromal tumors and non-small gastric stromal tumors in the EVC.</w:t>
      </w:r>
    </w:p>
    <w:tbl>
      <w:tblPr>
        <w:tblStyle w:val="3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4440"/>
        <w:gridCol w:w="4990"/>
        <w:gridCol w:w="1117"/>
      </w:tblGrid>
      <w:tr w14:paraId="1F3D12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bottom w:val="single" w:color="auto" w:sz="8" w:space="0"/>
            </w:tcBorders>
          </w:tcPr>
          <w:p w14:paraId="5C6186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STIX-Regular" w:cs="STIX-Regular" w:asciiTheme="minorAscii" w:hAnsiTheme="minorAscii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Characteristics</w:t>
            </w:r>
          </w:p>
        </w:tc>
        <w:tc>
          <w:tcPr>
            <w:tcW w:w="1566" w:type="pct"/>
            <w:tcBorders>
              <w:bottom w:val="single" w:color="auto" w:sz="8" w:space="0"/>
            </w:tcBorders>
          </w:tcPr>
          <w:p w14:paraId="6CC418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Small gastric stromal tumor (n=186)</w:t>
            </w:r>
          </w:p>
        </w:tc>
        <w:tc>
          <w:tcPr>
            <w:tcW w:w="1760" w:type="pct"/>
            <w:tcBorders>
              <w:bottom w:val="single" w:color="auto" w:sz="8" w:space="0"/>
            </w:tcBorders>
          </w:tcPr>
          <w:p w14:paraId="1C1B33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Non-small gastric stromal tumor (n=160)</w:t>
            </w:r>
          </w:p>
        </w:tc>
        <w:tc>
          <w:tcPr>
            <w:tcW w:w="394" w:type="pct"/>
            <w:tcBorders>
              <w:bottom w:val="single" w:color="auto" w:sz="8" w:space="0"/>
            </w:tcBorders>
          </w:tcPr>
          <w:p w14:paraId="3250884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STIX-Regular" w:cs="STIX-Regular" w:asciiTheme="minorAscii" w:hAnsiTheme="minorAscii"/>
                <w:color w:val="000000" w:themeColor="text1"/>
                <w:kern w:val="0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/>
                <w:iCs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2C6406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44CC4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Sex, n (%)</w:t>
            </w:r>
          </w:p>
        </w:tc>
        <w:tc>
          <w:tcPr>
            <w:tcW w:w="4440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5D082A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6BBE58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  <w:vAlign w:val="top"/>
          </w:tcPr>
          <w:p w14:paraId="013FC2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0.948</w:t>
            </w:r>
          </w:p>
        </w:tc>
      </w:tr>
      <w:tr w14:paraId="2A2DCC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07E1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BE5C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89 (47.8%)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8C72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76 (47.5%)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3A4B1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AB1AF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ADAA4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970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97 (52.2%)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05DE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84 (52.5%)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A7F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224A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76A0C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Age, 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years,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7A2E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60962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4AA8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0.823</w:t>
            </w:r>
          </w:p>
        </w:tc>
      </w:tr>
      <w:tr w14:paraId="7D9C16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407BB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˂60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1C291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108 (58.1%)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6B89D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91 (56.9%)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5FB0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5C98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3EA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≥60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BC278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78 (41.9%)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23E2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69 (43.1%)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FC80A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A117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34D8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location,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6131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51A7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DE385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29716E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3D3A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Cardia/Gastric fundus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7FFA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111 (59.7%)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8316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44 (27.5%)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938A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01F3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453FB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Gastric body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1CF5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54 (29.0%)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5B28D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65 (40.6%)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036E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439C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62CC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Gastric antrum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FDAC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21 (11.3%)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808E5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51 (31.9%)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F9C91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8B25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B30A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Level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of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origin,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542A5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DE59A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87B23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418E4BD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761DC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MM/SM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BFAA7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27 (14.5%)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75799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100 (62.5%)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9DDE3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63B4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3EBD2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MP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7903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159 (85.5%)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2F730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60 (37.5%)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EE2A1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756F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3C8B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Echo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intensity,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5729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A046F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F90B3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378745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17A52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low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455C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149 (80.1%)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C8E2F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93 (58.1%)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A1A32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284F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08096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medium/high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EDAA3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37 (19.9%)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DE497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67 (41.9%)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33190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0641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3C706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Uniform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echoes,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EE894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43ED0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1247E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0.128</w:t>
            </w:r>
          </w:p>
        </w:tc>
      </w:tr>
      <w:tr w14:paraId="790BED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9162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38578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141 (75.8%)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71F25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132 (82.5%)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397F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299A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D807F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ECFAD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45 (24.2%)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1FC2F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28 (17.5%)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0A03B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F74A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BF3FC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Tumor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growth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pattern,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6901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22E58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2E89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0BD591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B7B8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Intraluminal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716FF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141 (75.8%)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8081E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152 (95.0%)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012D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/>
                <w:bCs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CD5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E019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Extraluminal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8A8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45 (24.2%)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0CED1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8 (5.0%)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459E7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C89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08A7C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Shape,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340A5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27FC8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E3738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0.121</w:t>
            </w:r>
          </w:p>
        </w:tc>
      </w:tr>
      <w:tr w14:paraId="1E63CA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44A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Regular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743E8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172 (92.5%)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579B5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140 (87.5%)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C5933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8A2B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9E0FD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Irregular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A6187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 (7.5%)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CA847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20 (12.5%)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FBEF3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2435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639C4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Boundary,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39296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FEEA0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B558C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0.794</w:t>
            </w:r>
          </w:p>
        </w:tc>
      </w:tr>
      <w:tr w14:paraId="48EBEA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E26CE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Clear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0B0FB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167 (89.8%)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482C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145 (90.6%)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CE96F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5602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EE11C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Unclear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9A75C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19 (10.2%)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FE71A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 (9.4%)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0E07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D062E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FA6D9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left"/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Superficial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ulcer, n (%)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CB40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6ED6CF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4DC16C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0.690</w:t>
            </w:r>
          </w:p>
        </w:tc>
      </w:tr>
      <w:tr w14:paraId="62237B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9683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1FE64D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4 (2.2%)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73735C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2 (1.3%)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333D8D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5D23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pct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01B6B4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300" w:leftChars="0" w:right="20" w:rightChars="0" w:firstLine="0" w:firstLineChars="0"/>
              <w:jc w:val="left"/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宋体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444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5973C3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182 (97.8%)</w:t>
            </w:r>
          </w:p>
        </w:tc>
        <w:tc>
          <w:tcPr>
            <w:tcW w:w="4990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358B6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158 (98.8%)</w:t>
            </w:r>
          </w:p>
        </w:tc>
        <w:tc>
          <w:tcPr>
            <w:tcW w:w="1117" w:type="dxa"/>
            <w:tcBorders>
              <w:tl2br w:val="nil"/>
              <w:tr2bl w:val="nil"/>
            </w:tcBorders>
            <w:shd w:val="clear" w:color="auto" w:fill="FFFFFF"/>
            <w:vAlign w:val="top"/>
          </w:tcPr>
          <w:p w14:paraId="273A03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20" w:after="20" w:line="240" w:lineRule="auto"/>
              <w:ind w:left="20" w:leftChars="0" w:right="20" w:rightChars="0" w:firstLine="0" w:firstLineChars="0"/>
              <w:jc w:val="center"/>
              <w:rPr>
                <w:rFonts w:hint="default" w:eastAsia="DejaVu Sans" w:cs="DejaVu Sans" w:asciiTheme="minorAscii" w:hAnsiTheme="minorAscii"/>
                <w:b w:val="0"/>
                <w:i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E71A230">
      <w:pPr>
        <w:keepNext w:val="0"/>
        <w:keepLines w:val="0"/>
        <w:widowControl/>
        <w:suppressLineNumbers w:val="0"/>
        <w:jc w:val="both"/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EVC: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external validation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cohort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; bold values indicate</w:t>
      </w:r>
      <w:r>
        <w:rPr>
          <w:rFonts w:hint="eastAsia" w:eastAsia="STIX-Regular" w:cs="STIX-Regular" w:asciiTheme="minorAscii" w:hAnsiTheme="minorAscii"/>
          <w:i/>
          <w:i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P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&lt; 0.05</w:t>
      </w:r>
    </w:p>
    <w:p w14:paraId="793EE1C6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470519B">
      <w:pPr>
        <w:keepNext w:val="0"/>
        <w:keepLines w:val="0"/>
        <w:widowControl/>
        <w:suppressLineNumbers w:val="0"/>
        <w:jc w:val="left"/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Supplementary Table 4.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Clarification of non-small gastric stromal tumor across the three cohorts.</w:t>
      </w:r>
    </w:p>
    <w:tbl>
      <w:tblPr>
        <w:tblStyle w:val="3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3543"/>
        <w:gridCol w:w="3544"/>
        <w:gridCol w:w="3544"/>
      </w:tblGrid>
      <w:tr w14:paraId="5B05D30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  <w:tcBorders>
              <w:bottom w:val="single" w:color="auto" w:sz="6" w:space="0"/>
            </w:tcBorders>
          </w:tcPr>
          <w:p w14:paraId="2B03BC08">
            <w:pPr>
              <w:rPr>
                <w:rFonts w:hint="default" w:asciiTheme="minorAscii" w:hAnsiTheme="minorAscii"/>
                <w:b/>
                <w:bCs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STIX-Regular" w:cs="STIX-Regular" w:asciiTheme="minorAscii" w:hAnsiTheme="minorAscii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Clarification</w:t>
            </w:r>
          </w:p>
        </w:tc>
        <w:tc>
          <w:tcPr>
            <w:tcW w:w="3543" w:type="dxa"/>
            <w:tcBorders>
              <w:bottom w:val="single" w:color="auto" w:sz="6" w:space="0"/>
            </w:tcBorders>
          </w:tcPr>
          <w:p w14:paraId="58FC73CC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TC (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eastAsia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544" w:type="dxa"/>
            <w:tcBorders>
              <w:bottom w:val="single" w:color="auto" w:sz="6" w:space="0"/>
            </w:tcBorders>
          </w:tcPr>
          <w:p w14:paraId="4558E03C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IVC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eastAsia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eastAsia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159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544" w:type="dxa"/>
            <w:tcBorders>
              <w:bottom w:val="single" w:color="auto" w:sz="6" w:space="0"/>
            </w:tcBorders>
          </w:tcPr>
          <w:p w14:paraId="0DDB8D9D">
            <w:pPr>
              <w:jc w:val="center"/>
              <w:rPr>
                <w:rFonts w:hint="default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EVC (</w:t>
            </w:r>
            <w:r>
              <w:rPr>
                <w:rFonts w:hint="default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 xml:space="preserve"> = </w:t>
            </w:r>
            <w:r>
              <w:rPr>
                <w:rFonts w:hint="eastAsia" w:eastAsia="宋体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</w:t>
            </w:r>
            <w:r>
              <w:rPr>
                <w:rFonts w:hint="default" w:eastAsia="DejaVu Sans" w:cs="DejaVu Sans" w:asciiTheme="minorAscii" w:hAnsiTheme="minorAscii"/>
                <w:b/>
                <w:i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5C53C5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  <w:tcBorders>
              <w:top w:val="single" w:color="auto" w:sz="6" w:space="0"/>
              <w:tl2br w:val="nil"/>
              <w:tr2bl w:val="nil"/>
            </w:tcBorders>
          </w:tcPr>
          <w:p w14:paraId="5F12F205">
            <w:pPr>
              <w:ind w:firstLine="240" w:firstLineChars="100"/>
              <w:rPr>
                <w:rFonts w:hint="default" w:asciiTheme="minorAscii" w:hAnsiTheme="minorAscii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Leiomyoma</w:t>
            </w:r>
            <w:r>
              <w:rPr>
                <w:rFonts w:hint="default" w:eastAsia="DejaVu Sans" w:cs="DejaVu Sans" w:asciiTheme="minorAscii" w:hAnsiTheme="minorAscii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3543" w:type="dxa"/>
            <w:tcBorders>
              <w:top w:val="single" w:color="auto" w:sz="6" w:space="0"/>
              <w:tl2br w:val="nil"/>
              <w:tr2bl w:val="nil"/>
            </w:tcBorders>
          </w:tcPr>
          <w:p w14:paraId="2668D059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195 (52.7%)</w:t>
            </w:r>
          </w:p>
        </w:tc>
        <w:tc>
          <w:tcPr>
            <w:tcW w:w="3544" w:type="dxa"/>
            <w:tcBorders>
              <w:top w:val="single" w:color="auto" w:sz="6" w:space="0"/>
              <w:tl2br w:val="nil"/>
              <w:tr2bl w:val="nil"/>
            </w:tcBorders>
          </w:tcPr>
          <w:p w14:paraId="6675C2D9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 (49.1%)</w:t>
            </w:r>
          </w:p>
        </w:tc>
        <w:tc>
          <w:tcPr>
            <w:tcW w:w="3544" w:type="dxa"/>
            <w:tcBorders>
              <w:top w:val="single" w:color="auto" w:sz="6" w:space="0"/>
              <w:tl2br w:val="nil"/>
              <w:tr2bl w:val="nil"/>
            </w:tcBorders>
          </w:tcPr>
          <w:p w14:paraId="3E73AD6D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82 (51.3%)</w:t>
            </w:r>
          </w:p>
        </w:tc>
      </w:tr>
      <w:tr w14:paraId="6968E2E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  <w:tcBorders>
              <w:tl2br w:val="nil"/>
              <w:tr2bl w:val="nil"/>
            </w:tcBorders>
          </w:tcPr>
          <w:p w14:paraId="3D9F5E54">
            <w:pPr>
              <w:ind w:firstLine="240" w:firstLineChars="100"/>
              <w:rPr>
                <w:rFonts w:hint="default" w:asciiTheme="minorAscii" w:hAnsiTheme="minorAscii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Ectopic Pancreas</w:t>
            </w:r>
            <w:r>
              <w:rPr>
                <w:rFonts w:hint="default" w:eastAsia="DejaVu Sans" w:cs="DejaVu Sans" w:asciiTheme="minorAscii" w:hAnsiTheme="minorAscii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3543" w:type="dxa"/>
            <w:tcBorders>
              <w:tl2br w:val="nil"/>
              <w:tr2bl w:val="nil"/>
            </w:tcBorders>
          </w:tcPr>
          <w:p w14:paraId="455C1DF8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96 (25.9%)</w:t>
            </w:r>
          </w:p>
        </w:tc>
        <w:tc>
          <w:tcPr>
            <w:tcW w:w="3544" w:type="dxa"/>
            <w:tcBorders>
              <w:tl2br w:val="nil"/>
              <w:tr2bl w:val="nil"/>
            </w:tcBorders>
          </w:tcPr>
          <w:p w14:paraId="31C51233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 (29.6%)</w:t>
            </w:r>
          </w:p>
        </w:tc>
        <w:tc>
          <w:tcPr>
            <w:tcW w:w="3544" w:type="dxa"/>
            <w:tcBorders>
              <w:tl2br w:val="nil"/>
              <w:tr2bl w:val="nil"/>
            </w:tcBorders>
          </w:tcPr>
          <w:p w14:paraId="1DD32819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 (31.9%)</w:t>
            </w:r>
          </w:p>
        </w:tc>
      </w:tr>
      <w:tr w14:paraId="4F6A232D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  <w:tcBorders>
              <w:tl2br w:val="nil"/>
              <w:tr2bl w:val="nil"/>
            </w:tcBorders>
          </w:tcPr>
          <w:p w14:paraId="75CD5247">
            <w:pPr>
              <w:ind w:firstLine="240" w:firstLineChars="100"/>
              <w:rPr>
                <w:rFonts w:hint="default" w:asciiTheme="minorAscii" w:hAnsiTheme="minorAscii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Lipoma</w:t>
            </w:r>
            <w:r>
              <w:rPr>
                <w:rFonts w:hint="default" w:eastAsia="DejaVu Sans" w:cs="DejaVu Sans" w:asciiTheme="minorAscii" w:hAnsiTheme="minorAscii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3543" w:type="dxa"/>
            <w:tcBorders>
              <w:tl2br w:val="nil"/>
              <w:tr2bl w:val="nil"/>
            </w:tcBorders>
          </w:tcPr>
          <w:p w14:paraId="28AF6F87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 (17.6%)</w:t>
            </w:r>
          </w:p>
        </w:tc>
        <w:tc>
          <w:tcPr>
            <w:tcW w:w="3544" w:type="dxa"/>
            <w:tcBorders>
              <w:tl2br w:val="nil"/>
              <w:tr2bl w:val="nil"/>
            </w:tcBorders>
          </w:tcPr>
          <w:p w14:paraId="49577441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 (19.5%)</w:t>
            </w:r>
          </w:p>
        </w:tc>
        <w:tc>
          <w:tcPr>
            <w:tcW w:w="3544" w:type="dxa"/>
            <w:tcBorders>
              <w:tl2br w:val="nil"/>
              <w:tr2bl w:val="nil"/>
            </w:tcBorders>
          </w:tcPr>
          <w:p w14:paraId="4D66884A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 (15.0%)</w:t>
            </w:r>
          </w:p>
        </w:tc>
      </w:tr>
      <w:tr w14:paraId="1AC44BF8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  <w:tcBorders>
              <w:tl2br w:val="nil"/>
              <w:tr2bl w:val="nil"/>
            </w:tcBorders>
          </w:tcPr>
          <w:p w14:paraId="5C6F46E1">
            <w:pPr>
              <w:ind w:firstLine="240" w:firstLineChars="100"/>
              <w:rPr>
                <w:rFonts w:hint="default" w:asciiTheme="minorAscii" w:hAnsiTheme="minorAscii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eastAsia="宋体" w:cs="Segoe UI" w:asciiTheme="minorAscii" w:hAnsiTheme="minorAscii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Others</w:t>
            </w:r>
            <w:r>
              <w:rPr>
                <w:rFonts w:hint="default" w:eastAsia="DejaVu Sans" w:cs="DejaVu Sans" w:asciiTheme="minorAscii" w:hAnsiTheme="minorAscii"/>
                <w:b w:val="0"/>
                <w:bCs w:val="0"/>
                <w:i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  <w:t>, n (%)</w:t>
            </w:r>
          </w:p>
        </w:tc>
        <w:tc>
          <w:tcPr>
            <w:tcW w:w="3543" w:type="dxa"/>
            <w:tcBorders>
              <w:tl2br w:val="nil"/>
              <w:tr2bl w:val="nil"/>
            </w:tcBorders>
          </w:tcPr>
          <w:p w14:paraId="2F36B64F">
            <w:pPr>
              <w:jc w:val="center"/>
              <w:rPr>
                <w:rFonts w:hint="default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 (3.8%)</w:t>
            </w:r>
          </w:p>
        </w:tc>
        <w:tc>
          <w:tcPr>
            <w:tcW w:w="3544" w:type="dxa"/>
            <w:tcBorders>
              <w:tl2br w:val="nil"/>
              <w:tr2bl w:val="nil"/>
            </w:tcBorders>
          </w:tcPr>
          <w:p w14:paraId="6700C629">
            <w:pPr>
              <w:jc w:val="center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 (1.9%)</w:t>
            </w:r>
          </w:p>
        </w:tc>
        <w:tc>
          <w:tcPr>
            <w:tcW w:w="3544" w:type="dxa"/>
            <w:tcBorders>
              <w:tl2br w:val="nil"/>
              <w:tr2bl w:val="nil"/>
            </w:tcBorders>
          </w:tcPr>
          <w:p w14:paraId="45C867CA">
            <w:pPr>
              <w:jc w:val="center"/>
              <w:rPr>
                <w:rFonts w:hint="eastAsia" w:eastAsiaTheme="minor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 (1.9%)</w:t>
            </w:r>
          </w:p>
        </w:tc>
      </w:tr>
    </w:tbl>
    <w:p w14:paraId="628F5EF2">
      <w:pPr>
        <w:rPr>
          <w:rFonts w:hint="default" w:eastAsia="宋体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TC: training cohort; IVC: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internal validation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cohort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; EVC: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external validation</w:t>
      </w:r>
      <w:r>
        <w:rPr>
          <w:rFonts w:hint="default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cohort</w:t>
      </w:r>
      <w:r>
        <w:rPr>
          <w:rFonts w:hint="eastAsia" w:eastAsia="STIX-Regular" w:cs="STIX-Regular" w:asciiTheme="minorAscii" w:hAnsiTheme="minorAsci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; Others included schwannomas, </w:t>
      </w:r>
      <w:r>
        <w:rPr>
          <w:rStyle w:val="5"/>
          <w:rFonts w:hint="eastAsia" w:eastAsia="宋体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g</w:t>
      </w:r>
      <w:r>
        <w:rPr>
          <w:rStyle w:val="5"/>
          <w:rFonts w:hint="default" w:eastAsia="Segoe UI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lomus </w:t>
      </w:r>
      <w:r>
        <w:rPr>
          <w:rStyle w:val="5"/>
          <w:rFonts w:hint="eastAsia" w:eastAsia="宋体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Style w:val="5"/>
          <w:rFonts w:hint="default" w:eastAsia="Segoe UI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umor</w:t>
      </w:r>
      <w:r>
        <w:rPr>
          <w:rStyle w:val="5"/>
          <w:rFonts w:hint="eastAsia" w:eastAsia="宋体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, and g</w:t>
      </w:r>
      <w:r>
        <w:rPr>
          <w:rStyle w:val="5"/>
          <w:rFonts w:hint="default" w:eastAsia="Segoe UI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astric </w:t>
      </w:r>
      <w:r>
        <w:rPr>
          <w:rStyle w:val="5"/>
          <w:rFonts w:hint="eastAsia" w:eastAsia="宋体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Style w:val="5"/>
          <w:rFonts w:hint="default" w:eastAsia="Segoe UI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nverted </w:t>
      </w:r>
      <w:r>
        <w:rPr>
          <w:rStyle w:val="5"/>
          <w:rFonts w:hint="eastAsia" w:eastAsia="宋体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Style w:val="5"/>
          <w:rFonts w:hint="default" w:eastAsia="Segoe UI" w:cs="Segoe UI" w:asciiTheme="minorAscii" w:hAnsiTheme="minorAscii"/>
          <w:b w:val="0"/>
          <w:bCs w:val="0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olyp</w:t>
      </w:r>
    </w:p>
    <w:p w14:paraId="193AA209">
      <w:pPr>
        <w:rPr>
          <w:rFonts w:hint="defaul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bookmarkEnd w:id="0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TIX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03839"/>
    <w:rsid w:val="045B1761"/>
    <w:rsid w:val="15470545"/>
    <w:rsid w:val="1DAF3C6B"/>
    <w:rsid w:val="1EAA4A5F"/>
    <w:rsid w:val="404B13AC"/>
    <w:rsid w:val="469E6429"/>
    <w:rsid w:val="6378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699</Words>
  <Characters>3521</Characters>
  <Lines>0</Lines>
  <Paragraphs>0</Paragraphs>
  <TotalTime>7</TotalTime>
  <ScaleCrop>false</ScaleCrop>
  <LinksUpToDate>false</LinksUpToDate>
  <CharactersWithSpaces>3926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2025-08-29T11:37:00Z</dcterms:created>
  <dc:creator>luoji</dc:creator>
  <cp:lastModifiedBy>刘罗杰</cp:lastModifiedBy>
  <dcterms:modified xsi:type="dcterms:W3CDTF">2026-02-18T13:46:37Z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eyJoZGlkIjoiMzEwNTM5NzYwMDRjMzkwZTVkZjY2ODkwMGIxNGU0OTUiLCJ1c2VySWQiOiIzODE2NTgwNzUifQ==</vt:lpwstr>
  </property>
  <property fmtid="{D5CDD505-2E9C-101B-9397-08002B2CF9AE}" pid="4" name="ICV">
    <vt:lpwstr>FFE5EFDF16A1442A97F3BB24DA61BA4D_12</vt:lpwstr>
  </property>
</Properties>
</file>