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eastAsiaTheme="minorEastAsia"/>
          <w:lang w:eastAsia="zh-CN"/>
        </w:rPr>
      </w:pPr>
      <w:r>
        <w:rPr>
          <w:rFonts w:hint="default" w:ascii="Times New Roman" w:hAnsi="Times New Roman" w:cs="Times New Roman" w:eastAsiaTheme="minorEastAsia"/>
          <w:lang w:eastAsia="zh-CN"/>
        </w:rPr>
        <w:drawing>
          <wp:inline distT="0" distB="0" distL="114300" distR="114300">
            <wp:extent cx="5273040" cy="5116195"/>
            <wp:effectExtent l="0" t="0" r="0" b="4445"/>
            <wp:docPr id="1" name="图片 1" descr="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 S1"/>
                    <pic:cNvPicPr>
                      <a:picLocks noChangeAspect="1"/>
                    </pic:cNvPicPr>
                  </pic:nvPicPr>
                  <pic:blipFill>
                    <a:blip r:embed="rId4"/>
                    <a:stretch>
                      <a:fillRect/>
                    </a:stretch>
                  </pic:blipFill>
                  <pic:spPr>
                    <a:xfrm>
                      <a:off x="0" y="0"/>
                      <a:ext cx="5273040" cy="5116195"/>
                    </a:xfrm>
                    <a:prstGeom prst="rect">
                      <a:avLst/>
                    </a:prstGeom>
                  </pic:spPr>
                </pic:pic>
              </a:graphicData>
            </a:graphic>
          </wp:inline>
        </w:drawing>
      </w:r>
    </w:p>
    <w:p>
      <w:pPr>
        <w:jc w:val="center"/>
        <w:rPr>
          <w:rFonts w:hint="eastAsia"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rPr>
        <w:t>Figure S1. Subgroup analyses of the associations between TyG metrics and in-hospital mortality in the MIMIC and SWH cohorts.</w:t>
      </w:r>
      <w:r>
        <w:rPr>
          <w:rFonts w:hint="eastAsia" w:ascii="Times New Roman" w:hAnsi="Times New Roman" w:eastAsia="宋体" w:cs="Times New Roman"/>
          <w:b/>
          <w:bCs/>
          <w:sz w:val="24"/>
          <w:szCs w:val="24"/>
          <w:lang w:val="en-US" w:eastAsia="zh-CN"/>
        </w:rPr>
        <w:t xml:space="preserve">  </w:t>
      </w:r>
    </w:p>
    <w:p>
      <w:pPr>
        <w:jc w:val="both"/>
        <w:rPr>
          <w:rFonts w:hint="eastAsia"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t>Forest plots showing the associations between triglyceride–glucose (TyG) metrics and in-hospital all-cause mortality across clinically relevant subgroups in the MIMIC (A) and SWH (B) cohorts. Odds ratios (ORs) and 95% confidence intervals (CIs) were estimated using multivariable logistic regression models. All estimates shown are from fully adjusted models (Model 3), further adjusted for clinical and laboratory covariates as specified in the Methods, including SOFA score (MIMIC only), hemoglobin, platelet count, red blood cell count, red cell distribution width (RDW; MIMIC only), white blood cell count, neutrophil-to-lymphocyte ratio (NLR), albumin, bicarbonate (MIMIC only), creatinine, sodium, calcium, potassium, prothrombin time (PT), activated partial thromboplastin time (aPTT), alanine aminotransferase (ALT), alkaline phosphatase (ALP), aspartate aminotransferase (AST), lactate dehydrogenase (LDH), and lipid parameters (LDL and HDL in SWH). TyG metrics include baseline TyG (TyG-BL), median TyG (TyG-Median), mean TyG (TyG-Average), standard deviation (TyG-STD), range (TyG-Range), and coefficient of variation (TyG-CV). Subgroup analyses were performed according to sex, age, diabetes status, and sepsis. The size of the squares is proportional to the weight of each subgroup, horizontal lines indicate 95% CIs, and the vertical dashed line represents the null value (OR = 1.0). P values are from two-sided Wald tests.</w:t>
      </w:r>
    </w:p>
    <w:p>
      <w:pPr>
        <w:jc w:val="both"/>
        <w:rPr>
          <w:rFonts w:hint="eastAsia" w:ascii="Times New Roman" w:hAnsi="Times New Roman" w:eastAsia="宋体" w:cs="Times New Roman"/>
          <w:b w:val="0"/>
          <w:bCs w:val="0"/>
          <w:sz w:val="24"/>
          <w:szCs w:val="24"/>
          <w:lang w:val="en-US" w:eastAsia="zh-CN"/>
        </w:rPr>
      </w:pPr>
    </w:p>
    <w:p>
      <w:pPr>
        <w:jc w:val="center"/>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rPr>
        <w:t>Table S1. Associations between TyG metrics and ICU, in-hospital, and post-discharge mortality in the MIMIC cohort</w:t>
      </w:r>
    </w:p>
    <w:tbl>
      <w:tblPr>
        <w:tblStyle w:val="2"/>
        <w:tblW w:w="14004" w:type="dxa"/>
        <w:tblInd w:w="96"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83"/>
        <w:gridCol w:w="2532"/>
        <w:gridCol w:w="966"/>
        <w:gridCol w:w="2532"/>
        <w:gridCol w:w="966"/>
        <w:gridCol w:w="2532"/>
        <w:gridCol w:w="967"/>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600"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ICU mortality</w:t>
            </w:r>
          </w:p>
        </w:tc>
        <w:tc>
          <w:tcPr>
            <w:tcW w:w="2544" w:type="dxa"/>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924" w:type="dxa"/>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2544" w:type="dxa"/>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924" w:type="dxa"/>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2544" w:type="dxa"/>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924" w:type="dxa"/>
            <w:shd w:val="clear" w:color="auto" w:fill="auto"/>
            <w:noWrap/>
            <w:vAlign w:val="center"/>
          </w:tcPr>
          <w:p>
            <w:pPr>
              <w:rPr>
                <w:rFonts w:hint="default" w:ascii="Times New Roman" w:hAnsi="Times New Roman" w:eastAsia="宋体" w:cs="Times New Roman"/>
                <w:i w:val="0"/>
                <w:iCs w:val="0"/>
                <w:color w:val="000000"/>
                <w:sz w:val="24"/>
                <w:szCs w:val="24"/>
                <w:u w:val="none"/>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600" w:type="dxa"/>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F1115"/>
                <w:sz w:val="24"/>
                <w:szCs w:val="24"/>
                <w:u w:val="none"/>
              </w:rPr>
            </w:pPr>
            <w:r>
              <w:rPr>
                <w:rFonts w:hint="default" w:ascii="Times New Roman" w:hAnsi="Times New Roman" w:eastAsia="宋体" w:cs="Times New Roman"/>
                <w:b/>
                <w:bCs/>
                <w:i w:val="0"/>
                <w:iCs w:val="0"/>
                <w:color w:val="0F1115"/>
                <w:kern w:val="0"/>
                <w:sz w:val="24"/>
                <w:szCs w:val="24"/>
                <w:u w:val="none"/>
                <w:lang w:val="en-US" w:eastAsia="zh-CN" w:bidi="ar"/>
              </w:rPr>
              <w:t>Variable</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Model 1 HR (95% CI)</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P value</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Model 2 HR (95% CI)</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P value</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Model 3 HR (95% CI)</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P value</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600" w:type="dxa"/>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TyG_BL</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1.21 (1.06, 1.38)</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0.005</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1.20 (1.05, 1.37)</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0.008</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1.19 (1.04, 1.36)</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4"/>
                <w:szCs w:val="24"/>
                <w:u w:val="none"/>
              </w:rPr>
            </w:pPr>
            <w:bookmarkStart w:id="0" w:name="_GoBack"/>
            <w:r>
              <w:rPr>
                <w:rFonts w:hint="default" w:ascii="Times New Roman" w:hAnsi="Times New Roman" w:eastAsia="宋体" w:cs="Times New Roman"/>
                <w:b w:val="0"/>
                <w:bCs w:val="0"/>
                <w:i w:val="0"/>
                <w:iCs w:val="0"/>
                <w:color w:val="000000"/>
                <w:kern w:val="0"/>
                <w:sz w:val="24"/>
                <w:szCs w:val="24"/>
                <w:u w:val="none"/>
                <w:lang w:val="en-US" w:eastAsia="zh-CN" w:bidi="ar"/>
              </w:rPr>
              <w:t>0.010</w:t>
            </w:r>
            <w:bookmarkEnd w:id="0"/>
            <w:r>
              <w:rPr>
                <w:rFonts w:hint="default" w:ascii="Times New Roman" w:hAnsi="Times New Roman" w:eastAsia="宋体" w:cs="Times New Roman"/>
                <w:b/>
                <w:bCs/>
                <w:i w:val="0"/>
                <w:iCs w:val="0"/>
                <w:color w:val="000000"/>
                <w:kern w:val="0"/>
                <w:sz w:val="24"/>
                <w:szCs w:val="24"/>
                <w:u w:val="none"/>
                <w:lang w:val="en-US" w:eastAsia="zh-CN" w:bidi="ar"/>
              </w:rPr>
              <w:t xml:space="preserve">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600" w:type="dxa"/>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TyG_Median</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0.95 (0.70, 1.30)</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0.768</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0.97 (0.71, 1.33)</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0.873</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1.03 (0.75, 1.41)</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0.853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600" w:type="dxa"/>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TyG_Average</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0.83 (0.60, 1.14)</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0.256</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0.82 (0.60, 1.13)</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0.236</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0.79 (0.57, 1.09)</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0.149</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600" w:type="dxa"/>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TyG_Range</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0.95 (0.72, 1.25)</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0.69</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0.94 (0.71, 1.24)</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0.642</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0.94 (0.71, 1.25)</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0.671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600" w:type="dxa"/>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TyG_STD</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0.99 (0.44, 2.20)</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0.971</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1.01 (0.45, 2.26)</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0.977</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1.05 (0.47, 2.35)</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0.908</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600" w:type="dxa"/>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TyG_CV</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1.00 (0.90, 1.12)</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0.935</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1.00 (0.90, 1.12)</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0.99</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1.00 (0.90, 1.12)</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0.993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In-hospital mortality</w:t>
            </w:r>
          </w:p>
        </w:tc>
        <w:tc>
          <w:tcPr>
            <w:tcW w:w="0" w:type="auto"/>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pPr>
              <w:rPr>
                <w:rFonts w:hint="default" w:ascii="Times New Roman" w:hAnsi="Times New Roman" w:eastAsia="宋体" w:cs="Times New Roman"/>
                <w:i w:val="0"/>
                <w:iCs w:val="0"/>
                <w:color w:val="000000"/>
                <w:sz w:val="24"/>
                <w:szCs w:val="24"/>
                <w:u w:val="none"/>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Variable</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Model 1 HR (95% CI)</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P value</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Model 2 HR (95% CI)</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P value</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Model 3 HR (95% CI)</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P value</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TyG_BL</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1.35 (1.18, 1.54)</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1.34 (1.18, 1.53)</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&lt;0.001</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1.37 (1.20, 1.57)</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&lt;0.001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TyG_Median</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0.92 (0.67, 1.25)</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0.58</w:t>
            </w:r>
            <w:r>
              <w:rPr>
                <w:rFonts w:hint="eastAsia" w:ascii="Times New Roman" w:hAnsi="Times New Roman" w:eastAsia="宋体" w:cs="Times New Roman"/>
                <w:i w:val="0"/>
                <w:iCs w:val="0"/>
                <w:color w:val="000000"/>
                <w:kern w:val="0"/>
                <w:sz w:val="24"/>
                <w:szCs w:val="24"/>
                <w:u w:val="none"/>
                <w:lang w:val="en-US" w:eastAsia="zh-CN" w:bidi="ar"/>
              </w:rPr>
              <w:t>0</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0.92 (0.67, 1.25)</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0.585</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0.94 (0.69, 1.28)</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0.695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TyG_Average</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0.76 (0.55, 1.06)</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0.102</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0.75 (0.55, 1.04)</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0.087</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0.72 (0.52, 1.0</w:t>
            </w:r>
            <w:r>
              <w:rPr>
                <w:rFonts w:hint="eastAsia" w:ascii="Times New Roman" w:hAnsi="Times New Roman" w:eastAsia="宋体" w:cs="Times New Roman"/>
                <w:i w:val="0"/>
                <w:iCs w:val="0"/>
                <w:color w:val="000000"/>
                <w:kern w:val="0"/>
                <w:sz w:val="24"/>
                <w:szCs w:val="24"/>
                <w:u w:val="none"/>
                <w:lang w:val="en-US" w:eastAsia="zh-CN" w:bidi="ar"/>
              </w:rPr>
              <w:t>5</w:t>
            </w:r>
            <w:r>
              <w:rPr>
                <w:rFonts w:hint="default" w:ascii="Times New Roman" w:hAnsi="Times New Roman" w:eastAsia="宋体" w:cs="Times New Roman"/>
                <w:i w:val="0"/>
                <w:iCs w:val="0"/>
                <w:color w:val="000000"/>
                <w:kern w:val="0"/>
                <w:sz w:val="24"/>
                <w:szCs w:val="24"/>
                <w:u w:val="none"/>
                <w:lang w:val="en-US" w:eastAsia="zh-CN" w:bidi="ar"/>
              </w:rPr>
              <w:t>)</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0.05</w:t>
            </w:r>
            <w:r>
              <w:rPr>
                <w:rFonts w:hint="eastAsia" w:ascii="Times New Roman" w:hAnsi="Times New Roman" w:eastAsia="宋体" w:cs="Times New Roman"/>
                <w:b w:val="0"/>
                <w:bCs w:val="0"/>
                <w:i w:val="0"/>
                <w:iCs w:val="0"/>
                <w:color w:val="000000"/>
                <w:kern w:val="0"/>
                <w:sz w:val="24"/>
                <w:szCs w:val="24"/>
                <w:u w:val="none"/>
                <w:lang w:val="en-US" w:eastAsia="zh-CN" w:bidi="ar"/>
              </w:rPr>
              <w:t>6</w:t>
            </w:r>
            <w:r>
              <w:rPr>
                <w:rFonts w:hint="default" w:ascii="Times New Roman" w:hAnsi="Times New Roman" w:eastAsia="宋体" w:cs="Times New Roman"/>
                <w:b/>
                <w:bCs/>
                <w:i w:val="0"/>
                <w:iCs w:val="0"/>
                <w:color w:val="000000"/>
                <w:kern w:val="0"/>
                <w:sz w:val="24"/>
                <w:szCs w:val="24"/>
                <w:u w:val="none"/>
                <w:lang w:val="en-US" w:eastAsia="zh-CN" w:bidi="ar"/>
              </w:rPr>
              <w:t xml:space="preserve">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TyG_Range</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0.77 (0.58, 1.01)</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0.06</w:t>
            </w:r>
            <w:r>
              <w:rPr>
                <w:rFonts w:hint="eastAsia" w:ascii="Times New Roman" w:hAnsi="Times New Roman" w:eastAsia="宋体" w:cs="Times New Roman"/>
                <w:i w:val="0"/>
                <w:iCs w:val="0"/>
                <w:color w:val="000000"/>
                <w:kern w:val="0"/>
                <w:sz w:val="24"/>
                <w:szCs w:val="24"/>
                <w:u w:val="none"/>
                <w:lang w:val="en-US" w:eastAsia="zh-CN" w:bidi="ar"/>
              </w:rPr>
              <w:t>0</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0.75 (0.56, 0.98)</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0.038</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0.75 (0.57, 1.0</w:t>
            </w:r>
            <w:r>
              <w:rPr>
                <w:rFonts w:hint="eastAsia" w:ascii="Times New Roman" w:hAnsi="Times New Roman" w:eastAsia="宋体" w:cs="Times New Roman"/>
                <w:i w:val="0"/>
                <w:iCs w:val="0"/>
                <w:color w:val="000000"/>
                <w:kern w:val="0"/>
                <w:sz w:val="24"/>
                <w:szCs w:val="24"/>
                <w:u w:val="none"/>
                <w:lang w:val="en-US" w:eastAsia="zh-CN" w:bidi="ar"/>
              </w:rPr>
              <w:t>3</w:t>
            </w:r>
            <w:r>
              <w:rPr>
                <w:rFonts w:hint="default" w:ascii="Times New Roman" w:hAnsi="Times New Roman" w:eastAsia="宋体" w:cs="Times New Roman"/>
                <w:i w:val="0"/>
                <w:iCs w:val="0"/>
                <w:color w:val="000000"/>
                <w:kern w:val="0"/>
                <w:sz w:val="24"/>
                <w:szCs w:val="24"/>
                <w:u w:val="none"/>
                <w:lang w:val="en-US" w:eastAsia="zh-CN" w:bidi="ar"/>
              </w:rPr>
              <w:t>)</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0.0</w:t>
            </w:r>
            <w:r>
              <w:rPr>
                <w:rFonts w:hint="eastAsia" w:ascii="Times New Roman" w:hAnsi="Times New Roman" w:eastAsia="宋体" w:cs="Times New Roman"/>
                <w:b w:val="0"/>
                <w:bCs w:val="0"/>
                <w:i w:val="0"/>
                <w:iCs w:val="0"/>
                <w:color w:val="000000"/>
                <w:kern w:val="0"/>
                <w:sz w:val="24"/>
                <w:szCs w:val="24"/>
                <w:u w:val="none"/>
                <w:lang w:val="en-US" w:eastAsia="zh-CN" w:bidi="ar"/>
              </w:rPr>
              <w:t>5</w:t>
            </w:r>
            <w:r>
              <w:rPr>
                <w:rFonts w:hint="default" w:ascii="Times New Roman" w:hAnsi="Times New Roman" w:eastAsia="宋体" w:cs="Times New Roman"/>
                <w:b w:val="0"/>
                <w:bCs w:val="0"/>
                <w:i w:val="0"/>
                <w:iCs w:val="0"/>
                <w:color w:val="000000"/>
                <w:kern w:val="0"/>
                <w:sz w:val="24"/>
                <w:szCs w:val="24"/>
                <w:u w:val="none"/>
                <w:lang w:val="en-US" w:eastAsia="zh-CN" w:bidi="ar"/>
              </w:rPr>
              <w:t>8</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TyG_STD</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1.56 (0.69, 3.52)</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0.285</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1.66 (0.74, 3.77)</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0.222</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1.70 (0.75, 3.85)</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0.207</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TyG_CV</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1.01 (0.90, 1.12)</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0.9</w:t>
            </w:r>
            <w:r>
              <w:rPr>
                <w:rFonts w:hint="eastAsia" w:ascii="Times New Roman" w:hAnsi="Times New Roman" w:eastAsia="宋体" w:cs="Times New Roman"/>
                <w:i w:val="0"/>
                <w:iCs w:val="0"/>
                <w:color w:val="000000"/>
                <w:kern w:val="0"/>
                <w:sz w:val="24"/>
                <w:szCs w:val="24"/>
                <w:u w:val="none"/>
                <w:lang w:val="en-US" w:eastAsia="zh-CN" w:bidi="ar"/>
              </w:rPr>
              <w:t>00</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1.00 (0.90, 1.12)</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0.974</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1.01 (0.90, 1.12)</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0.888</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7-day post-discharge mortality</w:t>
            </w:r>
          </w:p>
        </w:tc>
        <w:tc>
          <w:tcPr>
            <w:tcW w:w="0" w:type="auto"/>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pPr>
              <w:rPr>
                <w:rFonts w:hint="default" w:ascii="Times New Roman" w:hAnsi="Times New Roman" w:eastAsia="宋体" w:cs="Times New Roman"/>
                <w:i w:val="0"/>
                <w:iCs w:val="0"/>
                <w:color w:val="000000"/>
                <w:sz w:val="24"/>
                <w:szCs w:val="24"/>
                <w:u w:val="none"/>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600" w:type="dxa"/>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Variable</w:t>
            </w:r>
          </w:p>
        </w:tc>
        <w:tc>
          <w:tcPr>
            <w:tcW w:w="2544" w:type="dxa"/>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F1115"/>
                <w:sz w:val="24"/>
                <w:szCs w:val="24"/>
                <w:u w:val="none"/>
              </w:rPr>
            </w:pPr>
            <w:r>
              <w:rPr>
                <w:rFonts w:hint="default" w:ascii="Times New Roman" w:hAnsi="Times New Roman" w:eastAsia="宋体" w:cs="Times New Roman"/>
                <w:b/>
                <w:bCs/>
                <w:i w:val="0"/>
                <w:iCs w:val="0"/>
                <w:color w:val="0F1115"/>
                <w:kern w:val="0"/>
                <w:sz w:val="24"/>
                <w:szCs w:val="24"/>
                <w:u w:val="none"/>
                <w:lang w:val="en-US" w:eastAsia="zh-CN" w:bidi="ar"/>
              </w:rPr>
              <w:t>Model 1 HR (95% CI)</w:t>
            </w:r>
          </w:p>
        </w:tc>
        <w:tc>
          <w:tcPr>
            <w:tcW w:w="924" w:type="dxa"/>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F1115"/>
                <w:sz w:val="24"/>
                <w:szCs w:val="24"/>
                <w:u w:val="none"/>
              </w:rPr>
            </w:pPr>
            <w:r>
              <w:rPr>
                <w:rFonts w:hint="default" w:ascii="Times New Roman" w:hAnsi="Times New Roman" w:eastAsia="宋体" w:cs="Times New Roman"/>
                <w:b/>
                <w:bCs/>
                <w:i w:val="0"/>
                <w:iCs w:val="0"/>
                <w:color w:val="0F1115"/>
                <w:kern w:val="0"/>
                <w:sz w:val="24"/>
                <w:szCs w:val="24"/>
                <w:u w:val="none"/>
                <w:lang w:val="en-US" w:eastAsia="zh-CN" w:bidi="ar"/>
              </w:rPr>
              <w:t>P value</w:t>
            </w:r>
          </w:p>
        </w:tc>
        <w:tc>
          <w:tcPr>
            <w:tcW w:w="2544" w:type="dxa"/>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F1115"/>
                <w:sz w:val="24"/>
                <w:szCs w:val="24"/>
                <w:u w:val="none"/>
              </w:rPr>
            </w:pPr>
            <w:r>
              <w:rPr>
                <w:rFonts w:hint="default" w:ascii="Times New Roman" w:hAnsi="Times New Roman" w:eastAsia="宋体" w:cs="Times New Roman"/>
                <w:b/>
                <w:bCs/>
                <w:i w:val="0"/>
                <w:iCs w:val="0"/>
                <w:color w:val="0F1115"/>
                <w:kern w:val="0"/>
                <w:sz w:val="24"/>
                <w:szCs w:val="24"/>
                <w:u w:val="none"/>
                <w:lang w:val="en-US" w:eastAsia="zh-CN" w:bidi="ar"/>
              </w:rPr>
              <w:t>Model 2 HR (95% CI)</w:t>
            </w:r>
          </w:p>
        </w:tc>
        <w:tc>
          <w:tcPr>
            <w:tcW w:w="924" w:type="dxa"/>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F1115"/>
                <w:sz w:val="24"/>
                <w:szCs w:val="24"/>
                <w:u w:val="none"/>
              </w:rPr>
            </w:pPr>
            <w:r>
              <w:rPr>
                <w:rFonts w:hint="default" w:ascii="Times New Roman" w:hAnsi="Times New Roman" w:eastAsia="宋体" w:cs="Times New Roman"/>
                <w:b/>
                <w:bCs/>
                <w:i w:val="0"/>
                <w:iCs w:val="0"/>
                <w:color w:val="0F1115"/>
                <w:kern w:val="0"/>
                <w:sz w:val="24"/>
                <w:szCs w:val="24"/>
                <w:u w:val="none"/>
                <w:lang w:val="en-US" w:eastAsia="zh-CN" w:bidi="ar"/>
              </w:rPr>
              <w:t>P value</w:t>
            </w:r>
          </w:p>
        </w:tc>
        <w:tc>
          <w:tcPr>
            <w:tcW w:w="2544" w:type="dxa"/>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F1115"/>
                <w:sz w:val="24"/>
                <w:szCs w:val="24"/>
                <w:u w:val="none"/>
              </w:rPr>
            </w:pPr>
            <w:r>
              <w:rPr>
                <w:rFonts w:hint="default" w:ascii="Times New Roman" w:hAnsi="Times New Roman" w:eastAsia="宋体" w:cs="Times New Roman"/>
                <w:b/>
                <w:bCs/>
                <w:i w:val="0"/>
                <w:iCs w:val="0"/>
                <w:color w:val="0F1115"/>
                <w:kern w:val="0"/>
                <w:sz w:val="24"/>
                <w:szCs w:val="24"/>
                <w:u w:val="none"/>
                <w:lang w:val="en-US" w:eastAsia="zh-CN" w:bidi="ar"/>
              </w:rPr>
              <w:t>Model 3 HR (95% CI)</w:t>
            </w:r>
          </w:p>
        </w:tc>
        <w:tc>
          <w:tcPr>
            <w:tcW w:w="924" w:type="dxa"/>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F1115"/>
                <w:sz w:val="24"/>
                <w:szCs w:val="24"/>
                <w:u w:val="none"/>
              </w:rPr>
            </w:pPr>
            <w:r>
              <w:rPr>
                <w:rFonts w:hint="default" w:ascii="Times New Roman" w:hAnsi="Times New Roman" w:eastAsia="宋体" w:cs="Times New Roman"/>
                <w:b/>
                <w:bCs/>
                <w:i w:val="0"/>
                <w:iCs w:val="0"/>
                <w:color w:val="0F1115"/>
                <w:kern w:val="0"/>
                <w:sz w:val="24"/>
                <w:szCs w:val="24"/>
                <w:u w:val="none"/>
                <w:lang w:val="en-US" w:eastAsia="zh-CN" w:bidi="ar"/>
              </w:rPr>
              <w:t>P value</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600" w:type="dxa"/>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TyG_BL</w:t>
            </w:r>
          </w:p>
        </w:tc>
        <w:tc>
          <w:tcPr>
            <w:tcW w:w="2544" w:type="dxa"/>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1.02 (0.90, 1.17)</w:t>
            </w:r>
          </w:p>
        </w:tc>
        <w:tc>
          <w:tcPr>
            <w:tcW w:w="924" w:type="dxa"/>
            <w:shd w:val="clear" w:color="auto" w:fill="FFFFFF"/>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0.733</w:t>
            </w:r>
          </w:p>
        </w:tc>
        <w:tc>
          <w:tcPr>
            <w:tcW w:w="2544" w:type="dxa"/>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1.02 (0.89, 1.16)</w:t>
            </w:r>
          </w:p>
        </w:tc>
        <w:tc>
          <w:tcPr>
            <w:tcW w:w="924" w:type="dxa"/>
            <w:shd w:val="clear" w:color="auto" w:fill="FFFFFF"/>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0.784</w:t>
            </w:r>
          </w:p>
        </w:tc>
        <w:tc>
          <w:tcPr>
            <w:tcW w:w="2544" w:type="dxa"/>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1.01 (0.89, 1.15)</w:t>
            </w:r>
          </w:p>
        </w:tc>
        <w:tc>
          <w:tcPr>
            <w:tcW w:w="924" w:type="dxa"/>
            <w:shd w:val="clear" w:color="auto" w:fill="FFFFFF"/>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0.882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600" w:type="dxa"/>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TyG_Median</w:t>
            </w:r>
          </w:p>
        </w:tc>
        <w:tc>
          <w:tcPr>
            <w:tcW w:w="2544" w:type="dxa"/>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0.92 (0.68, 1.25)</w:t>
            </w:r>
          </w:p>
        </w:tc>
        <w:tc>
          <w:tcPr>
            <w:tcW w:w="924" w:type="dxa"/>
            <w:shd w:val="clear" w:color="auto" w:fill="FFFFFF"/>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0.599</w:t>
            </w:r>
          </w:p>
        </w:tc>
        <w:tc>
          <w:tcPr>
            <w:tcW w:w="2544" w:type="dxa"/>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0.92 (0.68, 1.24)</w:t>
            </w:r>
          </w:p>
        </w:tc>
        <w:tc>
          <w:tcPr>
            <w:tcW w:w="924" w:type="dxa"/>
            <w:shd w:val="clear" w:color="auto" w:fill="FFFFFF"/>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0.575</w:t>
            </w:r>
          </w:p>
        </w:tc>
        <w:tc>
          <w:tcPr>
            <w:tcW w:w="2544" w:type="dxa"/>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0.94 (0.69, 1.27)</w:t>
            </w:r>
          </w:p>
        </w:tc>
        <w:tc>
          <w:tcPr>
            <w:tcW w:w="924" w:type="dxa"/>
            <w:shd w:val="clear" w:color="auto" w:fill="FFFFFF"/>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0.671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600" w:type="dxa"/>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TyG_Average</w:t>
            </w:r>
          </w:p>
        </w:tc>
        <w:tc>
          <w:tcPr>
            <w:tcW w:w="2544" w:type="dxa"/>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1.10 (0.80, 1.51)</w:t>
            </w:r>
          </w:p>
        </w:tc>
        <w:tc>
          <w:tcPr>
            <w:tcW w:w="924" w:type="dxa"/>
            <w:shd w:val="clear" w:color="auto" w:fill="FFFFFF"/>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0.544</w:t>
            </w:r>
          </w:p>
        </w:tc>
        <w:tc>
          <w:tcPr>
            <w:tcW w:w="2544" w:type="dxa"/>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1.09 (0.80, 1.50)</w:t>
            </w:r>
          </w:p>
        </w:tc>
        <w:tc>
          <w:tcPr>
            <w:tcW w:w="924" w:type="dxa"/>
            <w:shd w:val="clear" w:color="auto" w:fill="FFFFFF"/>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0.577</w:t>
            </w:r>
          </w:p>
        </w:tc>
        <w:tc>
          <w:tcPr>
            <w:tcW w:w="2544" w:type="dxa"/>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1.08 (0.79, 1.49)</w:t>
            </w:r>
          </w:p>
        </w:tc>
        <w:tc>
          <w:tcPr>
            <w:tcW w:w="924" w:type="dxa"/>
            <w:shd w:val="clear" w:color="auto" w:fill="FFFFFF"/>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 xml:space="preserve">0.630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600" w:type="dxa"/>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TyG_Range</w:t>
            </w:r>
          </w:p>
        </w:tc>
        <w:tc>
          <w:tcPr>
            <w:tcW w:w="2544" w:type="dxa"/>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0.88 (0.68, 1.15)</w:t>
            </w:r>
          </w:p>
        </w:tc>
        <w:tc>
          <w:tcPr>
            <w:tcW w:w="924" w:type="dxa"/>
            <w:shd w:val="clear" w:color="auto" w:fill="FFFFFF"/>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0.365</w:t>
            </w:r>
          </w:p>
        </w:tc>
        <w:tc>
          <w:tcPr>
            <w:tcW w:w="2544" w:type="dxa"/>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0.85 (0.65, 1.11)</w:t>
            </w:r>
          </w:p>
        </w:tc>
        <w:tc>
          <w:tcPr>
            <w:tcW w:w="924" w:type="dxa"/>
            <w:shd w:val="clear" w:color="auto" w:fill="FFFFFF"/>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0.232</w:t>
            </w:r>
          </w:p>
        </w:tc>
        <w:tc>
          <w:tcPr>
            <w:tcW w:w="2544" w:type="dxa"/>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0.86 (0.65, 1.13)</w:t>
            </w:r>
          </w:p>
        </w:tc>
        <w:tc>
          <w:tcPr>
            <w:tcW w:w="924" w:type="dxa"/>
            <w:shd w:val="clear" w:color="auto" w:fill="FFFFFF"/>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0.269</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600" w:type="dxa"/>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TyG_STD</w:t>
            </w:r>
          </w:p>
        </w:tc>
        <w:tc>
          <w:tcPr>
            <w:tcW w:w="2544" w:type="dxa"/>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1.24 (0.56, 2.73)</w:t>
            </w:r>
          </w:p>
        </w:tc>
        <w:tc>
          <w:tcPr>
            <w:tcW w:w="924" w:type="dxa"/>
            <w:shd w:val="clear" w:color="auto" w:fill="FFFFFF"/>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0.599</w:t>
            </w:r>
          </w:p>
        </w:tc>
        <w:tc>
          <w:tcPr>
            <w:tcW w:w="2544" w:type="dxa"/>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1.34 (0.61, 3.00)</w:t>
            </w:r>
          </w:p>
        </w:tc>
        <w:tc>
          <w:tcPr>
            <w:tcW w:w="924" w:type="dxa"/>
            <w:shd w:val="clear" w:color="auto" w:fill="FFFFFF"/>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0.466</w:t>
            </w:r>
          </w:p>
        </w:tc>
        <w:tc>
          <w:tcPr>
            <w:tcW w:w="2544" w:type="dxa"/>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1.32 (0.59, 2.94)</w:t>
            </w:r>
          </w:p>
        </w:tc>
        <w:tc>
          <w:tcPr>
            <w:tcW w:w="924" w:type="dxa"/>
            <w:shd w:val="clear" w:color="auto" w:fill="FFFFFF"/>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0.502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600" w:type="dxa"/>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TyG_CV</w:t>
            </w:r>
          </w:p>
        </w:tc>
        <w:tc>
          <w:tcPr>
            <w:tcW w:w="2544" w:type="dxa"/>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1.03 (0.92, 1.14)</w:t>
            </w:r>
          </w:p>
        </w:tc>
        <w:tc>
          <w:tcPr>
            <w:tcW w:w="924" w:type="dxa"/>
            <w:shd w:val="clear" w:color="auto" w:fill="FFFFFF"/>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0.612</w:t>
            </w:r>
          </w:p>
        </w:tc>
        <w:tc>
          <w:tcPr>
            <w:tcW w:w="2544" w:type="dxa"/>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1.03 (0.93, 1.15)</w:t>
            </w:r>
          </w:p>
        </w:tc>
        <w:tc>
          <w:tcPr>
            <w:tcW w:w="924" w:type="dxa"/>
            <w:shd w:val="clear" w:color="auto" w:fill="FFFFFF"/>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0.558</w:t>
            </w:r>
          </w:p>
        </w:tc>
        <w:tc>
          <w:tcPr>
            <w:tcW w:w="2544" w:type="dxa"/>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1.04 (0.93, 1.15)</w:t>
            </w:r>
          </w:p>
        </w:tc>
        <w:tc>
          <w:tcPr>
            <w:tcW w:w="924" w:type="dxa"/>
            <w:shd w:val="clear" w:color="auto" w:fill="FFFFFF"/>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0.514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1-year post-discharge mortality</w:t>
            </w:r>
          </w:p>
        </w:tc>
        <w:tc>
          <w:tcPr>
            <w:tcW w:w="0" w:type="auto"/>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pPr>
              <w:rPr>
                <w:rFonts w:hint="default" w:ascii="Times New Roman" w:hAnsi="Times New Roman" w:eastAsia="宋体" w:cs="Times New Roman"/>
                <w:i w:val="0"/>
                <w:iCs w:val="0"/>
                <w:color w:val="000000"/>
                <w:sz w:val="24"/>
                <w:szCs w:val="24"/>
                <w:u w:val="none"/>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600" w:type="dxa"/>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Variable</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Model 1 HR (95% CI)</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P value</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Model 2 HR (95% CI)</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P value</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Model 3 HR (95% CI)</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P value</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600" w:type="dxa"/>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TyG_BL</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1.03 (0.90, 1.18)</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0.638</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1.02 (0.89, 1.17)</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0.739</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1.01 (0.88, 1.16)</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0.865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600" w:type="dxa"/>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TyG_Median</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1.01 (0.75, 1.37)</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0.929</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0.99 (0.74, 1.34)</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0.955</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1.02 (0.76, 1.38)</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0.901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600" w:type="dxa"/>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TyG_Average</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1.09 (0.80, 1.48)</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0.581</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1.08 (0.80, 1.47)</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0.621</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1.07 (0.78, 1.45)</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0.683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600" w:type="dxa"/>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TyG_Range</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0.88 (0.67, 1.17)</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0.383</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0.81 (0.61, 1.07)</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0.135</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0.83 (0.63, 1.10)</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0.204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600" w:type="dxa"/>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TyG_STD</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1.20 (0.54, 2.64)</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0.656</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1.47 (0.67, 3.26)</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0.34</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1.39 (0.62, 3.10)</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0.422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600" w:type="dxa"/>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TyG_CV</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1.03 (0.93, 1.15)</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0.578</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1.05 (0.94, 1.17)</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0.41</w:t>
            </w:r>
          </w:p>
        </w:tc>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1.04 (0.93, 1.16)</w:t>
            </w:r>
          </w:p>
        </w:tc>
        <w:tc>
          <w:tcPr>
            <w:tcW w:w="0" w:type="auto"/>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0.464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2-year post-discharge mortality</w:t>
            </w:r>
          </w:p>
        </w:tc>
        <w:tc>
          <w:tcPr>
            <w:tcW w:w="0" w:type="auto"/>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0" w:type="auto"/>
            <w:shd w:val="clear" w:color="auto" w:fill="auto"/>
            <w:noWrap/>
            <w:vAlign w:val="center"/>
          </w:tcPr>
          <w:p>
            <w:pPr>
              <w:rPr>
                <w:rFonts w:hint="default" w:ascii="Times New Roman" w:hAnsi="Times New Roman" w:eastAsia="宋体" w:cs="Times New Roman"/>
                <w:i w:val="0"/>
                <w:iCs w:val="0"/>
                <w:color w:val="000000"/>
                <w:sz w:val="24"/>
                <w:szCs w:val="24"/>
                <w:u w:val="none"/>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600" w:type="dxa"/>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Variable</w:t>
            </w:r>
          </w:p>
        </w:tc>
        <w:tc>
          <w:tcPr>
            <w:tcW w:w="2544" w:type="dxa"/>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F1115"/>
                <w:sz w:val="24"/>
                <w:szCs w:val="24"/>
                <w:u w:val="none"/>
              </w:rPr>
            </w:pPr>
            <w:r>
              <w:rPr>
                <w:rFonts w:hint="default" w:ascii="Times New Roman" w:hAnsi="Times New Roman" w:eastAsia="宋体" w:cs="Times New Roman"/>
                <w:b/>
                <w:bCs/>
                <w:i w:val="0"/>
                <w:iCs w:val="0"/>
                <w:color w:val="0F1115"/>
                <w:kern w:val="0"/>
                <w:sz w:val="24"/>
                <w:szCs w:val="24"/>
                <w:u w:val="none"/>
                <w:lang w:val="en-US" w:eastAsia="zh-CN" w:bidi="ar"/>
              </w:rPr>
              <w:t>Model 1 HR (95% CI)</w:t>
            </w:r>
          </w:p>
        </w:tc>
        <w:tc>
          <w:tcPr>
            <w:tcW w:w="924" w:type="dxa"/>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F1115"/>
                <w:sz w:val="24"/>
                <w:szCs w:val="24"/>
                <w:u w:val="none"/>
              </w:rPr>
            </w:pPr>
            <w:r>
              <w:rPr>
                <w:rFonts w:hint="default" w:ascii="Times New Roman" w:hAnsi="Times New Roman" w:eastAsia="宋体" w:cs="Times New Roman"/>
                <w:b/>
                <w:bCs/>
                <w:i w:val="0"/>
                <w:iCs w:val="0"/>
                <w:color w:val="0F1115"/>
                <w:kern w:val="0"/>
                <w:sz w:val="24"/>
                <w:szCs w:val="24"/>
                <w:u w:val="none"/>
                <w:lang w:val="en-US" w:eastAsia="zh-CN" w:bidi="ar"/>
              </w:rPr>
              <w:t>P value</w:t>
            </w:r>
          </w:p>
        </w:tc>
        <w:tc>
          <w:tcPr>
            <w:tcW w:w="2544" w:type="dxa"/>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F1115"/>
                <w:sz w:val="24"/>
                <w:szCs w:val="24"/>
                <w:u w:val="none"/>
              </w:rPr>
            </w:pPr>
            <w:r>
              <w:rPr>
                <w:rFonts w:hint="default" w:ascii="Times New Roman" w:hAnsi="Times New Roman" w:eastAsia="宋体" w:cs="Times New Roman"/>
                <w:b/>
                <w:bCs/>
                <w:i w:val="0"/>
                <w:iCs w:val="0"/>
                <w:color w:val="0F1115"/>
                <w:kern w:val="0"/>
                <w:sz w:val="24"/>
                <w:szCs w:val="24"/>
                <w:u w:val="none"/>
                <w:lang w:val="en-US" w:eastAsia="zh-CN" w:bidi="ar"/>
              </w:rPr>
              <w:t>Model 2 HR (95% CI)</w:t>
            </w:r>
          </w:p>
        </w:tc>
        <w:tc>
          <w:tcPr>
            <w:tcW w:w="924" w:type="dxa"/>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F1115"/>
                <w:sz w:val="24"/>
                <w:szCs w:val="24"/>
                <w:u w:val="none"/>
              </w:rPr>
            </w:pPr>
            <w:r>
              <w:rPr>
                <w:rFonts w:hint="default" w:ascii="Times New Roman" w:hAnsi="Times New Roman" w:eastAsia="宋体" w:cs="Times New Roman"/>
                <w:b/>
                <w:bCs/>
                <w:i w:val="0"/>
                <w:iCs w:val="0"/>
                <w:color w:val="0F1115"/>
                <w:kern w:val="0"/>
                <w:sz w:val="24"/>
                <w:szCs w:val="24"/>
                <w:u w:val="none"/>
                <w:lang w:val="en-US" w:eastAsia="zh-CN" w:bidi="ar"/>
              </w:rPr>
              <w:t>P value</w:t>
            </w:r>
          </w:p>
        </w:tc>
        <w:tc>
          <w:tcPr>
            <w:tcW w:w="2544" w:type="dxa"/>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F1115"/>
                <w:sz w:val="24"/>
                <w:szCs w:val="24"/>
                <w:u w:val="none"/>
              </w:rPr>
            </w:pPr>
            <w:r>
              <w:rPr>
                <w:rFonts w:hint="default" w:ascii="Times New Roman" w:hAnsi="Times New Roman" w:eastAsia="宋体" w:cs="Times New Roman"/>
                <w:b/>
                <w:bCs/>
                <w:i w:val="0"/>
                <w:iCs w:val="0"/>
                <w:color w:val="0F1115"/>
                <w:kern w:val="0"/>
                <w:sz w:val="24"/>
                <w:szCs w:val="24"/>
                <w:u w:val="none"/>
                <w:lang w:val="en-US" w:eastAsia="zh-CN" w:bidi="ar"/>
              </w:rPr>
              <w:t>Model 3 HR (95% CI)</w:t>
            </w:r>
          </w:p>
        </w:tc>
        <w:tc>
          <w:tcPr>
            <w:tcW w:w="924" w:type="dxa"/>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F1115"/>
                <w:sz w:val="24"/>
                <w:szCs w:val="24"/>
                <w:u w:val="none"/>
              </w:rPr>
            </w:pPr>
            <w:r>
              <w:rPr>
                <w:rFonts w:hint="default" w:ascii="Times New Roman" w:hAnsi="Times New Roman" w:eastAsia="宋体" w:cs="Times New Roman"/>
                <w:b/>
                <w:bCs/>
                <w:i w:val="0"/>
                <w:iCs w:val="0"/>
                <w:color w:val="0F1115"/>
                <w:kern w:val="0"/>
                <w:sz w:val="24"/>
                <w:szCs w:val="24"/>
                <w:u w:val="none"/>
                <w:lang w:val="en-US" w:eastAsia="zh-CN" w:bidi="ar"/>
              </w:rPr>
              <w:t>P value</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600" w:type="dxa"/>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TyG_BL</w:t>
            </w:r>
          </w:p>
        </w:tc>
        <w:tc>
          <w:tcPr>
            <w:tcW w:w="2544" w:type="dxa"/>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1.03 (0.90, 1.18)</w:t>
            </w:r>
          </w:p>
        </w:tc>
        <w:tc>
          <w:tcPr>
            <w:tcW w:w="924" w:type="dxa"/>
            <w:shd w:val="clear" w:color="auto" w:fill="FFFFFF"/>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0.678</w:t>
            </w:r>
          </w:p>
        </w:tc>
        <w:tc>
          <w:tcPr>
            <w:tcW w:w="2544" w:type="dxa"/>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1.02 (0.89, 1.17)</w:t>
            </w:r>
          </w:p>
        </w:tc>
        <w:tc>
          <w:tcPr>
            <w:tcW w:w="924" w:type="dxa"/>
            <w:shd w:val="clear" w:color="auto" w:fill="FFFFFF"/>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0.775</w:t>
            </w:r>
          </w:p>
        </w:tc>
        <w:tc>
          <w:tcPr>
            <w:tcW w:w="2544" w:type="dxa"/>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1.01 (0.88, 1.16)</w:t>
            </w:r>
          </w:p>
        </w:tc>
        <w:tc>
          <w:tcPr>
            <w:tcW w:w="924" w:type="dxa"/>
            <w:shd w:val="clear" w:color="auto" w:fill="FFFFFF"/>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0.915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600" w:type="dxa"/>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TyG_Median</w:t>
            </w:r>
          </w:p>
        </w:tc>
        <w:tc>
          <w:tcPr>
            <w:tcW w:w="2544" w:type="dxa"/>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1.00 (0.74, 1.35)</w:t>
            </w:r>
          </w:p>
        </w:tc>
        <w:tc>
          <w:tcPr>
            <w:tcW w:w="924" w:type="dxa"/>
            <w:shd w:val="clear" w:color="auto" w:fill="FFFFFF"/>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0.981</w:t>
            </w:r>
          </w:p>
        </w:tc>
        <w:tc>
          <w:tcPr>
            <w:tcW w:w="2544" w:type="dxa"/>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0.97 (0.72, 1.31)</w:t>
            </w:r>
          </w:p>
        </w:tc>
        <w:tc>
          <w:tcPr>
            <w:tcW w:w="924" w:type="dxa"/>
            <w:shd w:val="clear" w:color="auto" w:fill="FFFFFF"/>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0.84</w:t>
            </w:r>
          </w:p>
        </w:tc>
        <w:tc>
          <w:tcPr>
            <w:tcW w:w="2544" w:type="dxa"/>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1.01 (0.74, 1.36)</w:t>
            </w:r>
          </w:p>
        </w:tc>
        <w:tc>
          <w:tcPr>
            <w:tcW w:w="924" w:type="dxa"/>
            <w:shd w:val="clear" w:color="auto" w:fill="FFFFFF"/>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 xml:space="preserve">0.970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600" w:type="dxa"/>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TyG_Average</w:t>
            </w:r>
          </w:p>
        </w:tc>
        <w:tc>
          <w:tcPr>
            <w:tcW w:w="2544" w:type="dxa"/>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1.11 (0.82, 1.51)</w:t>
            </w:r>
          </w:p>
        </w:tc>
        <w:tc>
          <w:tcPr>
            <w:tcW w:w="924" w:type="dxa"/>
            <w:shd w:val="clear" w:color="auto" w:fill="FFFFFF"/>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0.511</w:t>
            </w:r>
          </w:p>
        </w:tc>
        <w:tc>
          <w:tcPr>
            <w:tcW w:w="2544" w:type="dxa"/>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1.10 (0.81, 1.50)</w:t>
            </w:r>
          </w:p>
        </w:tc>
        <w:tc>
          <w:tcPr>
            <w:tcW w:w="924" w:type="dxa"/>
            <w:shd w:val="clear" w:color="auto" w:fill="FFFFFF"/>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0.533</w:t>
            </w:r>
          </w:p>
        </w:tc>
        <w:tc>
          <w:tcPr>
            <w:tcW w:w="2544" w:type="dxa"/>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1.07 (0.79, 1.47)</w:t>
            </w:r>
          </w:p>
        </w:tc>
        <w:tc>
          <w:tcPr>
            <w:tcW w:w="924" w:type="dxa"/>
            <w:shd w:val="clear" w:color="auto" w:fill="FFFFFF"/>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 xml:space="preserve">0.650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600" w:type="dxa"/>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TyG_Range</w:t>
            </w:r>
          </w:p>
        </w:tc>
        <w:tc>
          <w:tcPr>
            <w:tcW w:w="2544" w:type="dxa"/>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0.93 (0.70, 1.22)</w:t>
            </w:r>
          </w:p>
        </w:tc>
        <w:tc>
          <w:tcPr>
            <w:tcW w:w="924" w:type="dxa"/>
            <w:shd w:val="clear" w:color="auto" w:fill="FFFFFF"/>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0.585</w:t>
            </w:r>
          </w:p>
        </w:tc>
        <w:tc>
          <w:tcPr>
            <w:tcW w:w="2544" w:type="dxa"/>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0.83 (0.63, 1.10)</w:t>
            </w:r>
          </w:p>
        </w:tc>
        <w:tc>
          <w:tcPr>
            <w:tcW w:w="924" w:type="dxa"/>
            <w:shd w:val="clear" w:color="auto" w:fill="FFFFFF"/>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0.194</w:t>
            </w:r>
          </w:p>
        </w:tc>
        <w:tc>
          <w:tcPr>
            <w:tcW w:w="2544" w:type="dxa"/>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0.86 (0.65, 1.14)</w:t>
            </w:r>
          </w:p>
        </w:tc>
        <w:tc>
          <w:tcPr>
            <w:tcW w:w="924" w:type="dxa"/>
            <w:shd w:val="clear" w:color="auto" w:fill="FFFFFF"/>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0.285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600" w:type="dxa"/>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TyG_STD</w:t>
            </w:r>
          </w:p>
        </w:tc>
        <w:tc>
          <w:tcPr>
            <w:tcW w:w="2544" w:type="dxa"/>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1.06 (0.48, 2.36)</w:t>
            </w:r>
          </w:p>
        </w:tc>
        <w:tc>
          <w:tcPr>
            <w:tcW w:w="924" w:type="dxa"/>
            <w:shd w:val="clear" w:color="auto" w:fill="FFFFFF"/>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0.879</w:t>
            </w:r>
          </w:p>
        </w:tc>
        <w:tc>
          <w:tcPr>
            <w:tcW w:w="2544" w:type="dxa"/>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1.37 (0.61, 3.07)</w:t>
            </w:r>
          </w:p>
        </w:tc>
        <w:tc>
          <w:tcPr>
            <w:tcW w:w="924" w:type="dxa"/>
            <w:shd w:val="clear" w:color="auto" w:fill="FFFFFF"/>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0.439</w:t>
            </w:r>
          </w:p>
        </w:tc>
        <w:tc>
          <w:tcPr>
            <w:tcW w:w="2544" w:type="dxa"/>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1.30 (0.58, 2.92)</w:t>
            </w:r>
          </w:p>
        </w:tc>
        <w:tc>
          <w:tcPr>
            <w:tcW w:w="924" w:type="dxa"/>
            <w:shd w:val="clear" w:color="auto" w:fill="FFFFFF"/>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0.531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600" w:type="dxa"/>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TyG_CV</w:t>
            </w:r>
          </w:p>
        </w:tc>
        <w:tc>
          <w:tcPr>
            <w:tcW w:w="2544" w:type="dxa"/>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1.02 (0.92, 1.14)</w:t>
            </w:r>
          </w:p>
        </w:tc>
        <w:tc>
          <w:tcPr>
            <w:tcW w:w="924" w:type="dxa"/>
            <w:shd w:val="clear" w:color="auto" w:fill="FFFFFF"/>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0.659</w:t>
            </w:r>
          </w:p>
        </w:tc>
        <w:tc>
          <w:tcPr>
            <w:tcW w:w="2544" w:type="dxa"/>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1.04 (0.93, 1.16)</w:t>
            </w:r>
          </w:p>
        </w:tc>
        <w:tc>
          <w:tcPr>
            <w:tcW w:w="924" w:type="dxa"/>
            <w:shd w:val="clear" w:color="auto" w:fill="FFFFFF"/>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0.478</w:t>
            </w:r>
          </w:p>
        </w:tc>
        <w:tc>
          <w:tcPr>
            <w:tcW w:w="2544" w:type="dxa"/>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1.04 (0.93, 1.16)</w:t>
            </w:r>
          </w:p>
        </w:tc>
        <w:tc>
          <w:tcPr>
            <w:tcW w:w="924" w:type="dxa"/>
            <w:shd w:val="clear" w:color="auto" w:fill="FFFFFF"/>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0.514</w:t>
            </w:r>
          </w:p>
        </w:tc>
      </w:tr>
    </w:tbl>
    <w:p>
      <w:pPr>
        <w:jc w:val="both"/>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rPr>
        <w:t>Associations between triglyceride–glucose (TyG) metrics and ICU mortality, in-hospital mortality, and post-discharge mortality at 7 days, 1 year, and 2 years in the MIMIC cohort. Hazard ratios (HRs) and 95% confidence intervals (CIs) were estimated using Cox proportional hazards models.</w:t>
      </w:r>
      <w:r>
        <w:rPr>
          <w:rFonts w:hint="default" w:ascii="Times New Roman" w:hAnsi="Times New Roman" w:eastAsia="宋体" w:cs="Times New Roman"/>
          <w:b w:val="0"/>
          <w:bCs w:val="0"/>
          <w:sz w:val="24"/>
          <w:szCs w:val="24"/>
        </w:rPr>
        <w:br w:type="textWrapping"/>
      </w:r>
      <w:r>
        <w:rPr>
          <w:rFonts w:hint="default" w:ascii="Times New Roman" w:hAnsi="Times New Roman" w:eastAsia="宋体" w:cs="Times New Roman"/>
          <w:b w:val="0"/>
          <w:bCs w:val="0"/>
          <w:sz w:val="24"/>
          <w:szCs w:val="24"/>
        </w:rPr>
        <w:t>Model 1: unadjusted.</w:t>
      </w:r>
      <w:r>
        <w:rPr>
          <w:rFonts w:hint="default" w:ascii="Times New Roman" w:hAnsi="Times New Roman" w:eastAsia="宋体" w:cs="Times New Roman"/>
          <w:b w:val="0"/>
          <w:bCs w:val="0"/>
          <w:sz w:val="24"/>
          <w:szCs w:val="24"/>
        </w:rPr>
        <w:br w:type="textWrapping"/>
      </w:r>
      <w:r>
        <w:rPr>
          <w:rFonts w:hint="default" w:ascii="Times New Roman" w:hAnsi="Times New Roman" w:eastAsia="宋体" w:cs="Times New Roman"/>
          <w:b w:val="0"/>
          <w:bCs w:val="0"/>
          <w:sz w:val="24"/>
          <w:szCs w:val="24"/>
        </w:rPr>
        <w:t>Model 2: adjusted for age, sex, and body mass index (BMI).</w:t>
      </w:r>
      <w:r>
        <w:rPr>
          <w:rFonts w:hint="default" w:ascii="Times New Roman" w:hAnsi="Times New Roman" w:eastAsia="宋体" w:cs="Times New Roman"/>
          <w:b w:val="0"/>
          <w:bCs w:val="0"/>
          <w:sz w:val="24"/>
          <w:szCs w:val="24"/>
        </w:rPr>
        <w:br w:type="textWrapping"/>
      </w:r>
      <w:r>
        <w:rPr>
          <w:rFonts w:hint="default" w:ascii="Times New Roman" w:hAnsi="Times New Roman" w:eastAsia="宋体" w:cs="Times New Roman"/>
          <w:b w:val="0"/>
          <w:bCs w:val="0"/>
          <w:sz w:val="24"/>
          <w:szCs w:val="24"/>
        </w:rPr>
        <w:t>Model 3: further adjusted for clinical and laboratory covariates as specified in the Methods, including Sequential Organ Failure Assessment (SOFA) score, hemoglobin, platelet count, red blood cell count (RBC), red cell distribution width (RDW), white blood cell count (WBC), neutrophil-to-lymphocyte ratio (NLR), albumin, bicarbonate, creatinine, sodium, calcium, potassium, prothrombin time (PT), activated partial thromboplastin time (aPTT), alanine aminotransferase (ALT), alkaline phosphatase (ALP), aspartate aminotransferase (AST), lactate dehydrogenase (LDH), and lipid parameters. P values are from two-sided Wald tests.</w:t>
      </w:r>
    </w:p>
    <w:p>
      <w:pPr>
        <w:jc w:val="both"/>
        <w:rPr>
          <w:rFonts w:hint="eastAsia" w:ascii="Times New Roman" w:hAnsi="Times New Roman" w:eastAsia="宋体" w:cs="Times New Roman"/>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sz w:val="24"/>
          <w:szCs w:val="24"/>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bCs/>
          <w:sz w:val="24"/>
          <w:szCs w:val="24"/>
          <w:lang w:val="en-US" w:eastAsia="zh-CN"/>
        </w:rPr>
        <w:t>Table S</w:t>
      </w:r>
      <w:r>
        <w:rPr>
          <w:rFonts w:hint="eastAsia" w:ascii="Times New Roman" w:hAnsi="Times New Roman" w:eastAsia="宋体" w:cs="Times New Roman"/>
          <w:b/>
          <w:bCs/>
          <w:sz w:val="24"/>
          <w:szCs w:val="24"/>
          <w:lang w:val="en-US" w:eastAsia="zh-CN"/>
        </w:rPr>
        <w:t>2</w:t>
      </w:r>
      <w:r>
        <w:rPr>
          <w:rFonts w:hint="default" w:ascii="Times New Roman" w:hAnsi="Times New Roman" w:eastAsia="宋体" w:cs="Times New Roman"/>
          <w:b/>
          <w:bCs/>
          <w:sz w:val="24"/>
          <w:szCs w:val="24"/>
          <w:lang w:val="en-US" w:eastAsia="zh-CN"/>
        </w:rPr>
        <w:t xml:space="preserve">. </w:t>
      </w:r>
      <w:r>
        <w:rPr>
          <w:rFonts w:hint="default" w:ascii="Times New Roman" w:hAnsi="Times New Roman" w:eastAsia="宋体" w:cs="Times New Roman"/>
          <w:b/>
          <w:bCs/>
          <w:sz w:val="24"/>
          <w:szCs w:val="24"/>
        </w:rPr>
        <w:t>Associations between TyG metrics and ICU, in-hospital, and post-discharge mortality in the SWH cohort.</w:t>
      </w:r>
    </w:p>
    <w:tbl>
      <w:tblPr>
        <w:tblStyle w:val="2"/>
        <w:tblpPr w:leftFromText="180" w:rightFromText="180" w:vertAnchor="text" w:horzAnchor="page" w:tblpX="1544" w:tblpY="311"/>
        <w:tblOverlap w:val="never"/>
        <w:tblW w:w="13892" w:type="dxa"/>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442"/>
        <w:gridCol w:w="2496"/>
        <w:gridCol w:w="996"/>
        <w:gridCol w:w="2496"/>
        <w:gridCol w:w="996"/>
        <w:gridCol w:w="2496"/>
        <w:gridCol w:w="970"/>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442" w:type="dxa"/>
            <w:tcBorders>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ICU mortality</w:t>
            </w:r>
          </w:p>
        </w:tc>
        <w:tc>
          <w:tcPr>
            <w:tcW w:w="2496" w:type="dxa"/>
            <w:tcBorders>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996" w:type="dxa"/>
            <w:tcBorders>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2496" w:type="dxa"/>
            <w:tcBorders>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996" w:type="dxa"/>
            <w:tcBorders>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2496" w:type="dxa"/>
            <w:tcBorders>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970" w:type="dxa"/>
            <w:tcBorders>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442" w:type="dxa"/>
            <w:tcBorders>
              <w:top w:val="nil"/>
              <w:left w:val="nil"/>
              <w:bottom w:val="nil"/>
              <w:right w:val="nil"/>
            </w:tcBorders>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F1115"/>
                <w:sz w:val="24"/>
                <w:szCs w:val="24"/>
                <w:u w:val="none"/>
              </w:rPr>
            </w:pPr>
            <w:r>
              <w:rPr>
                <w:rFonts w:hint="default" w:ascii="Times New Roman" w:hAnsi="Times New Roman" w:eastAsia="宋体" w:cs="Times New Roman"/>
                <w:b/>
                <w:bCs/>
                <w:i w:val="0"/>
                <w:iCs w:val="0"/>
                <w:color w:val="0F1115"/>
                <w:kern w:val="0"/>
                <w:sz w:val="24"/>
                <w:szCs w:val="24"/>
                <w:u w:val="none"/>
                <w:lang w:val="en-US" w:eastAsia="zh-CN" w:bidi="ar"/>
              </w:rPr>
              <w:t>Variable</w:t>
            </w:r>
          </w:p>
        </w:tc>
        <w:tc>
          <w:tcPr>
            <w:tcW w:w="2496" w:type="dxa"/>
            <w:tcBorders>
              <w:top w:val="nil"/>
              <w:left w:val="nil"/>
              <w:bottom w:val="nil"/>
              <w:right w:val="nil"/>
            </w:tcBorders>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F1115"/>
                <w:sz w:val="24"/>
                <w:szCs w:val="24"/>
                <w:u w:val="none"/>
              </w:rPr>
            </w:pPr>
            <w:r>
              <w:rPr>
                <w:rFonts w:hint="default" w:ascii="Times New Roman" w:hAnsi="Times New Roman" w:eastAsia="宋体" w:cs="Times New Roman"/>
                <w:b/>
                <w:bCs/>
                <w:i w:val="0"/>
                <w:iCs w:val="0"/>
                <w:color w:val="0F1115"/>
                <w:kern w:val="0"/>
                <w:sz w:val="24"/>
                <w:szCs w:val="24"/>
                <w:u w:val="none"/>
                <w:lang w:val="en-US" w:eastAsia="zh-CN" w:bidi="ar"/>
              </w:rPr>
              <w:t>Model 1 HR (95% CI)</w:t>
            </w:r>
          </w:p>
        </w:tc>
        <w:tc>
          <w:tcPr>
            <w:tcW w:w="996" w:type="dxa"/>
            <w:tcBorders>
              <w:top w:val="nil"/>
              <w:left w:val="nil"/>
              <w:bottom w:val="nil"/>
              <w:right w:val="nil"/>
            </w:tcBorders>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F1115"/>
                <w:sz w:val="24"/>
                <w:szCs w:val="24"/>
                <w:u w:val="none"/>
              </w:rPr>
            </w:pPr>
            <w:r>
              <w:rPr>
                <w:rFonts w:hint="default" w:ascii="Times New Roman" w:hAnsi="Times New Roman" w:eastAsia="宋体" w:cs="Times New Roman"/>
                <w:b/>
                <w:bCs/>
                <w:i w:val="0"/>
                <w:iCs w:val="0"/>
                <w:color w:val="0F1115"/>
                <w:kern w:val="0"/>
                <w:sz w:val="24"/>
                <w:szCs w:val="24"/>
                <w:u w:val="none"/>
                <w:lang w:val="en-US" w:eastAsia="zh-CN" w:bidi="ar"/>
              </w:rPr>
              <w:t>P value</w:t>
            </w:r>
          </w:p>
        </w:tc>
        <w:tc>
          <w:tcPr>
            <w:tcW w:w="2496" w:type="dxa"/>
            <w:tcBorders>
              <w:top w:val="nil"/>
              <w:left w:val="nil"/>
              <w:bottom w:val="nil"/>
              <w:right w:val="nil"/>
            </w:tcBorders>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F1115"/>
                <w:sz w:val="24"/>
                <w:szCs w:val="24"/>
                <w:u w:val="none"/>
              </w:rPr>
            </w:pPr>
            <w:r>
              <w:rPr>
                <w:rFonts w:hint="default" w:ascii="Times New Roman" w:hAnsi="Times New Roman" w:eastAsia="宋体" w:cs="Times New Roman"/>
                <w:b/>
                <w:bCs/>
                <w:i w:val="0"/>
                <w:iCs w:val="0"/>
                <w:color w:val="0F1115"/>
                <w:kern w:val="0"/>
                <w:sz w:val="24"/>
                <w:szCs w:val="24"/>
                <w:u w:val="none"/>
                <w:lang w:val="en-US" w:eastAsia="zh-CN" w:bidi="ar"/>
              </w:rPr>
              <w:t>Model 2 HR (95% CI)</w:t>
            </w:r>
          </w:p>
        </w:tc>
        <w:tc>
          <w:tcPr>
            <w:tcW w:w="996" w:type="dxa"/>
            <w:tcBorders>
              <w:top w:val="nil"/>
              <w:left w:val="nil"/>
              <w:bottom w:val="nil"/>
              <w:right w:val="nil"/>
            </w:tcBorders>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F1115"/>
                <w:sz w:val="24"/>
                <w:szCs w:val="24"/>
                <w:u w:val="none"/>
              </w:rPr>
            </w:pPr>
            <w:r>
              <w:rPr>
                <w:rFonts w:hint="default" w:ascii="Times New Roman" w:hAnsi="Times New Roman" w:eastAsia="宋体" w:cs="Times New Roman"/>
                <w:b/>
                <w:bCs/>
                <w:i w:val="0"/>
                <w:iCs w:val="0"/>
                <w:color w:val="0F1115"/>
                <w:kern w:val="0"/>
                <w:sz w:val="24"/>
                <w:szCs w:val="24"/>
                <w:u w:val="none"/>
                <w:lang w:val="en-US" w:eastAsia="zh-CN" w:bidi="ar"/>
              </w:rPr>
              <w:t>P value</w:t>
            </w:r>
          </w:p>
        </w:tc>
        <w:tc>
          <w:tcPr>
            <w:tcW w:w="2496" w:type="dxa"/>
            <w:tcBorders>
              <w:top w:val="nil"/>
              <w:left w:val="nil"/>
              <w:bottom w:val="nil"/>
              <w:right w:val="nil"/>
            </w:tcBorders>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F1115"/>
                <w:sz w:val="24"/>
                <w:szCs w:val="24"/>
                <w:u w:val="none"/>
              </w:rPr>
            </w:pPr>
            <w:r>
              <w:rPr>
                <w:rFonts w:hint="default" w:ascii="Times New Roman" w:hAnsi="Times New Roman" w:eastAsia="宋体" w:cs="Times New Roman"/>
                <w:b/>
                <w:bCs/>
                <w:i w:val="0"/>
                <w:iCs w:val="0"/>
                <w:color w:val="0F1115"/>
                <w:kern w:val="0"/>
                <w:sz w:val="24"/>
                <w:szCs w:val="24"/>
                <w:u w:val="none"/>
                <w:lang w:val="en-US" w:eastAsia="zh-CN" w:bidi="ar"/>
              </w:rPr>
              <w:t>Model 3 HR (95% CI)</w:t>
            </w:r>
          </w:p>
        </w:tc>
        <w:tc>
          <w:tcPr>
            <w:tcW w:w="970" w:type="dxa"/>
            <w:tcBorders>
              <w:top w:val="nil"/>
              <w:left w:val="nil"/>
              <w:bottom w:val="nil"/>
              <w:right w:val="nil"/>
            </w:tcBorders>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F1115"/>
                <w:sz w:val="24"/>
                <w:szCs w:val="24"/>
                <w:u w:val="none"/>
              </w:rPr>
            </w:pPr>
            <w:r>
              <w:rPr>
                <w:rFonts w:hint="default" w:ascii="Times New Roman" w:hAnsi="Times New Roman" w:eastAsia="宋体" w:cs="Times New Roman"/>
                <w:b/>
                <w:bCs/>
                <w:i w:val="0"/>
                <w:iCs w:val="0"/>
                <w:color w:val="0F1115"/>
                <w:kern w:val="0"/>
                <w:sz w:val="24"/>
                <w:szCs w:val="24"/>
                <w:u w:val="none"/>
                <w:lang w:val="en-US" w:eastAsia="zh-CN" w:bidi="ar"/>
              </w:rPr>
              <w:t>P value</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442" w:type="dxa"/>
            <w:tcBorders>
              <w:top w:val="nil"/>
              <w:left w:val="nil"/>
              <w:bottom w:val="nil"/>
              <w:right w:val="nil"/>
            </w:tcBorders>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TyG_BL</w:t>
            </w:r>
          </w:p>
        </w:tc>
        <w:tc>
          <w:tcPr>
            <w:tcW w:w="2496" w:type="dxa"/>
            <w:tcBorders>
              <w:top w:val="nil"/>
              <w:left w:val="nil"/>
              <w:bottom w:val="nil"/>
              <w:right w:val="nil"/>
            </w:tcBorders>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1.03 (0.86, 1.24)</w:t>
            </w:r>
          </w:p>
        </w:tc>
        <w:tc>
          <w:tcPr>
            <w:tcW w:w="996" w:type="dxa"/>
            <w:tcBorders>
              <w:top w:val="nil"/>
              <w:left w:val="nil"/>
              <w:bottom w:val="nil"/>
              <w:right w:val="nil"/>
            </w:tcBorders>
            <w:shd w:val="clear" w:color="auto" w:fill="FFFFFF"/>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0.747</w:t>
            </w:r>
          </w:p>
        </w:tc>
        <w:tc>
          <w:tcPr>
            <w:tcW w:w="2496" w:type="dxa"/>
            <w:tcBorders>
              <w:top w:val="nil"/>
              <w:left w:val="nil"/>
              <w:bottom w:val="nil"/>
              <w:right w:val="nil"/>
            </w:tcBorders>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1.02 (0.85, 1.23)</w:t>
            </w:r>
          </w:p>
        </w:tc>
        <w:tc>
          <w:tcPr>
            <w:tcW w:w="996" w:type="dxa"/>
            <w:tcBorders>
              <w:top w:val="nil"/>
              <w:left w:val="nil"/>
              <w:bottom w:val="nil"/>
              <w:right w:val="nil"/>
            </w:tcBorders>
            <w:shd w:val="clear" w:color="auto" w:fill="FFFFFF"/>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0.811</w:t>
            </w:r>
          </w:p>
        </w:tc>
        <w:tc>
          <w:tcPr>
            <w:tcW w:w="2496" w:type="dxa"/>
            <w:tcBorders>
              <w:top w:val="nil"/>
              <w:left w:val="nil"/>
              <w:bottom w:val="nil"/>
              <w:right w:val="nil"/>
            </w:tcBorders>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1.01 (0.84, 1.22)</w:t>
            </w:r>
          </w:p>
        </w:tc>
        <w:tc>
          <w:tcPr>
            <w:tcW w:w="970" w:type="dxa"/>
            <w:tcBorders>
              <w:top w:val="nil"/>
              <w:left w:val="nil"/>
              <w:bottom w:val="nil"/>
              <w:right w:val="nil"/>
            </w:tcBorders>
            <w:shd w:val="clear" w:color="auto" w:fill="FFFFFF"/>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0.927</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442" w:type="dxa"/>
            <w:tcBorders>
              <w:top w:val="nil"/>
              <w:left w:val="nil"/>
              <w:bottom w:val="nil"/>
              <w:right w:val="nil"/>
            </w:tcBorders>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TyG_Median</w:t>
            </w:r>
          </w:p>
        </w:tc>
        <w:tc>
          <w:tcPr>
            <w:tcW w:w="2496" w:type="dxa"/>
            <w:tcBorders>
              <w:top w:val="nil"/>
              <w:left w:val="nil"/>
              <w:bottom w:val="nil"/>
              <w:right w:val="nil"/>
            </w:tcBorders>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0.80 (0.38, 1.67)</w:t>
            </w:r>
          </w:p>
        </w:tc>
        <w:tc>
          <w:tcPr>
            <w:tcW w:w="996" w:type="dxa"/>
            <w:tcBorders>
              <w:top w:val="nil"/>
              <w:left w:val="nil"/>
              <w:bottom w:val="nil"/>
              <w:right w:val="nil"/>
            </w:tcBorders>
            <w:shd w:val="clear" w:color="auto" w:fill="FFFFFF"/>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0.548</w:t>
            </w:r>
          </w:p>
        </w:tc>
        <w:tc>
          <w:tcPr>
            <w:tcW w:w="2496" w:type="dxa"/>
            <w:tcBorders>
              <w:top w:val="nil"/>
              <w:left w:val="nil"/>
              <w:bottom w:val="nil"/>
              <w:right w:val="nil"/>
            </w:tcBorders>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0.79 (0.38, 1.65)</w:t>
            </w:r>
          </w:p>
        </w:tc>
        <w:tc>
          <w:tcPr>
            <w:tcW w:w="996" w:type="dxa"/>
            <w:tcBorders>
              <w:top w:val="nil"/>
              <w:left w:val="nil"/>
              <w:bottom w:val="nil"/>
              <w:right w:val="nil"/>
            </w:tcBorders>
            <w:shd w:val="clear" w:color="auto" w:fill="FFFFFF"/>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0.534</w:t>
            </w:r>
          </w:p>
        </w:tc>
        <w:tc>
          <w:tcPr>
            <w:tcW w:w="2496" w:type="dxa"/>
            <w:tcBorders>
              <w:top w:val="nil"/>
              <w:left w:val="nil"/>
              <w:bottom w:val="nil"/>
              <w:right w:val="nil"/>
            </w:tcBorders>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0.77 (0.36, 1.62)</w:t>
            </w:r>
          </w:p>
        </w:tc>
        <w:tc>
          <w:tcPr>
            <w:tcW w:w="970" w:type="dxa"/>
            <w:tcBorders>
              <w:top w:val="nil"/>
              <w:left w:val="nil"/>
              <w:bottom w:val="nil"/>
              <w:right w:val="nil"/>
            </w:tcBorders>
            <w:shd w:val="clear" w:color="auto" w:fill="FFFFFF"/>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0.488</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442" w:type="dxa"/>
            <w:tcBorders>
              <w:top w:val="nil"/>
              <w:left w:val="nil"/>
              <w:bottom w:val="nil"/>
              <w:right w:val="nil"/>
            </w:tcBorders>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TyG_Average</w:t>
            </w:r>
          </w:p>
        </w:tc>
        <w:tc>
          <w:tcPr>
            <w:tcW w:w="2496" w:type="dxa"/>
            <w:tcBorders>
              <w:top w:val="nil"/>
              <w:left w:val="nil"/>
              <w:bottom w:val="nil"/>
              <w:right w:val="nil"/>
            </w:tcBorders>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1.17 (0.53, 2.60)</w:t>
            </w:r>
          </w:p>
        </w:tc>
        <w:tc>
          <w:tcPr>
            <w:tcW w:w="996" w:type="dxa"/>
            <w:tcBorders>
              <w:top w:val="nil"/>
              <w:left w:val="nil"/>
              <w:bottom w:val="nil"/>
              <w:right w:val="nil"/>
            </w:tcBorders>
            <w:shd w:val="clear" w:color="auto" w:fill="FFFFFF"/>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0.693</w:t>
            </w:r>
          </w:p>
        </w:tc>
        <w:tc>
          <w:tcPr>
            <w:tcW w:w="2496" w:type="dxa"/>
            <w:tcBorders>
              <w:top w:val="nil"/>
              <w:left w:val="nil"/>
              <w:bottom w:val="nil"/>
              <w:right w:val="nil"/>
            </w:tcBorders>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1.18 (0.53, 2.61)</w:t>
            </w:r>
          </w:p>
        </w:tc>
        <w:tc>
          <w:tcPr>
            <w:tcW w:w="996" w:type="dxa"/>
            <w:tcBorders>
              <w:top w:val="nil"/>
              <w:left w:val="nil"/>
              <w:bottom w:val="nil"/>
              <w:right w:val="nil"/>
            </w:tcBorders>
            <w:shd w:val="clear" w:color="auto" w:fill="FFFFFF"/>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0.685</w:t>
            </w:r>
          </w:p>
        </w:tc>
        <w:tc>
          <w:tcPr>
            <w:tcW w:w="2496" w:type="dxa"/>
            <w:tcBorders>
              <w:top w:val="nil"/>
              <w:left w:val="nil"/>
              <w:bottom w:val="nil"/>
              <w:right w:val="nil"/>
            </w:tcBorders>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1.22 (0.55, 2.73)</w:t>
            </w:r>
          </w:p>
        </w:tc>
        <w:tc>
          <w:tcPr>
            <w:tcW w:w="970" w:type="dxa"/>
            <w:tcBorders>
              <w:top w:val="nil"/>
              <w:left w:val="nil"/>
              <w:bottom w:val="nil"/>
              <w:right w:val="nil"/>
            </w:tcBorders>
            <w:shd w:val="clear" w:color="auto" w:fill="FFFFFF"/>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0.624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442" w:type="dxa"/>
            <w:tcBorders>
              <w:top w:val="nil"/>
              <w:left w:val="nil"/>
              <w:bottom w:val="nil"/>
              <w:right w:val="nil"/>
            </w:tcBorders>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TyG_Range</w:t>
            </w:r>
          </w:p>
        </w:tc>
        <w:tc>
          <w:tcPr>
            <w:tcW w:w="2496" w:type="dxa"/>
            <w:tcBorders>
              <w:top w:val="nil"/>
              <w:left w:val="nil"/>
              <w:bottom w:val="nil"/>
              <w:right w:val="nil"/>
            </w:tcBorders>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0.98 (0.63, 1.53)</w:t>
            </w:r>
          </w:p>
        </w:tc>
        <w:tc>
          <w:tcPr>
            <w:tcW w:w="996" w:type="dxa"/>
            <w:tcBorders>
              <w:top w:val="nil"/>
              <w:left w:val="nil"/>
              <w:bottom w:val="nil"/>
              <w:right w:val="nil"/>
            </w:tcBorders>
            <w:shd w:val="clear" w:color="auto" w:fill="FFFFFF"/>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0.942</w:t>
            </w:r>
          </w:p>
        </w:tc>
        <w:tc>
          <w:tcPr>
            <w:tcW w:w="2496" w:type="dxa"/>
            <w:tcBorders>
              <w:top w:val="nil"/>
              <w:left w:val="nil"/>
              <w:bottom w:val="nil"/>
              <w:right w:val="nil"/>
            </w:tcBorders>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0.96 (0.61, 1.49)</w:t>
            </w:r>
          </w:p>
        </w:tc>
        <w:tc>
          <w:tcPr>
            <w:tcW w:w="996" w:type="dxa"/>
            <w:tcBorders>
              <w:top w:val="nil"/>
              <w:left w:val="nil"/>
              <w:bottom w:val="nil"/>
              <w:right w:val="nil"/>
            </w:tcBorders>
            <w:shd w:val="clear" w:color="auto" w:fill="FFFFFF"/>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0.841</w:t>
            </w:r>
          </w:p>
        </w:tc>
        <w:tc>
          <w:tcPr>
            <w:tcW w:w="2496" w:type="dxa"/>
            <w:tcBorders>
              <w:top w:val="nil"/>
              <w:left w:val="nil"/>
              <w:bottom w:val="nil"/>
              <w:right w:val="nil"/>
            </w:tcBorders>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0.95 (0.59, 1.50)</w:t>
            </w:r>
          </w:p>
        </w:tc>
        <w:tc>
          <w:tcPr>
            <w:tcW w:w="970" w:type="dxa"/>
            <w:tcBorders>
              <w:top w:val="nil"/>
              <w:left w:val="nil"/>
              <w:bottom w:val="nil"/>
              <w:right w:val="nil"/>
            </w:tcBorders>
            <w:shd w:val="clear" w:color="auto" w:fill="FFFFFF"/>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0.811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442" w:type="dxa"/>
            <w:tcBorders>
              <w:top w:val="nil"/>
              <w:left w:val="nil"/>
              <w:bottom w:val="nil"/>
              <w:right w:val="nil"/>
            </w:tcBorders>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TyG_STD</w:t>
            </w:r>
          </w:p>
        </w:tc>
        <w:tc>
          <w:tcPr>
            <w:tcW w:w="2496" w:type="dxa"/>
            <w:tcBorders>
              <w:top w:val="nil"/>
              <w:left w:val="nil"/>
              <w:bottom w:val="nil"/>
              <w:right w:val="nil"/>
            </w:tcBorders>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1.04 (0.34, 3.17)</w:t>
            </w:r>
          </w:p>
        </w:tc>
        <w:tc>
          <w:tcPr>
            <w:tcW w:w="996" w:type="dxa"/>
            <w:tcBorders>
              <w:top w:val="nil"/>
              <w:left w:val="nil"/>
              <w:bottom w:val="nil"/>
              <w:right w:val="nil"/>
            </w:tcBorders>
            <w:shd w:val="clear" w:color="auto" w:fill="FFFFFF"/>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0.941</w:t>
            </w:r>
          </w:p>
        </w:tc>
        <w:tc>
          <w:tcPr>
            <w:tcW w:w="2496" w:type="dxa"/>
            <w:tcBorders>
              <w:top w:val="nil"/>
              <w:left w:val="nil"/>
              <w:bottom w:val="nil"/>
              <w:right w:val="nil"/>
            </w:tcBorders>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1.14 (0.37, 3.52)</w:t>
            </w:r>
          </w:p>
        </w:tc>
        <w:tc>
          <w:tcPr>
            <w:tcW w:w="996" w:type="dxa"/>
            <w:tcBorders>
              <w:top w:val="nil"/>
              <w:left w:val="nil"/>
              <w:bottom w:val="nil"/>
              <w:right w:val="nil"/>
            </w:tcBorders>
            <w:shd w:val="clear" w:color="auto" w:fill="FFFFFF"/>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0.816</w:t>
            </w:r>
          </w:p>
        </w:tc>
        <w:tc>
          <w:tcPr>
            <w:tcW w:w="2496" w:type="dxa"/>
            <w:tcBorders>
              <w:top w:val="nil"/>
              <w:left w:val="nil"/>
              <w:bottom w:val="nil"/>
              <w:right w:val="nil"/>
            </w:tcBorders>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1.39 (0.43, 4.48)</w:t>
            </w:r>
          </w:p>
        </w:tc>
        <w:tc>
          <w:tcPr>
            <w:tcW w:w="970" w:type="dxa"/>
            <w:tcBorders>
              <w:top w:val="nil"/>
              <w:left w:val="nil"/>
              <w:bottom w:val="nil"/>
              <w:right w:val="nil"/>
            </w:tcBorders>
            <w:shd w:val="clear" w:color="auto" w:fill="FFFFFF"/>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0.576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442" w:type="dxa"/>
            <w:tcBorders>
              <w:top w:val="nil"/>
              <w:left w:val="nil"/>
              <w:bottom w:val="nil"/>
              <w:right w:val="nil"/>
            </w:tcBorders>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TyG_CV</w:t>
            </w:r>
          </w:p>
        </w:tc>
        <w:tc>
          <w:tcPr>
            <w:tcW w:w="2496" w:type="dxa"/>
            <w:tcBorders>
              <w:top w:val="nil"/>
              <w:left w:val="nil"/>
              <w:bottom w:val="nil"/>
              <w:right w:val="nil"/>
            </w:tcBorders>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1.01 (0.86, 1.19)</w:t>
            </w:r>
          </w:p>
        </w:tc>
        <w:tc>
          <w:tcPr>
            <w:tcW w:w="996" w:type="dxa"/>
            <w:tcBorders>
              <w:top w:val="nil"/>
              <w:left w:val="nil"/>
              <w:bottom w:val="nil"/>
              <w:right w:val="nil"/>
            </w:tcBorders>
            <w:shd w:val="clear" w:color="auto" w:fill="FFFFFF"/>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0.858</w:t>
            </w:r>
          </w:p>
        </w:tc>
        <w:tc>
          <w:tcPr>
            <w:tcW w:w="2496" w:type="dxa"/>
            <w:tcBorders>
              <w:top w:val="nil"/>
              <w:left w:val="nil"/>
              <w:bottom w:val="nil"/>
              <w:right w:val="nil"/>
            </w:tcBorders>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1.01 (0.85, 1.19)</w:t>
            </w:r>
          </w:p>
        </w:tc>
        <w:tc>
          <w:tcPr>
            <w:tcW w:w="996" w:type="dxa"/>
            <w:tcBorders>
              <w:top w:val="nil"/>
              <w:left w:val="nil"/>
              <w:bottom w:val="nil"/>
              <w:right w:val="nil"/>
            </w:tcBorders>
            <w:shd w:val="clear" w:color="auto" w:fill="FFFFFF"/>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 xml:space="preserve">0.940 </w:t>
            </w:r>
          </w:p>
        </w:tc>
        <w:tc>
          <w:tcPr>
            <w:tcW w:w="2496" w:type="dxa"/>
            <w:tcBorders>
              <w:top w:val="nil"/>
              <w:left w:val="nil"/>
              <w:bottom w:val="nil"/>
              <w:right w:val="nil"/>
            </w:tcBorders>
            <w:shd w:val="clear" w:color="auto" w:fill="FFFFFF"/>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0.97 (0.82, 1.15)</w:t>
            </w:r>
          </w:p>
        </w:tc>
        <w:tc>
          <w:tcPr>
            <w:tcW w:w="970" w:type="dxa"/>
            <w:tcBorders>
              <w:top w:val="nil"/>
              <w:left w:val="nil"/>
              <w:bottom w:val="nil"/>
              <w:right w:val="nil"/>
            </w:tcBorders>
            <w:shd w:val="clear" w:color="auto" w:fill="FFFFFF"/>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F1115"/>
                <w:sz w:val="24"/>
                <w:szCs w:val="24"/>
                <w:u w:val="none"/>
              </w:rPr>
            </w:pPr>
            <w:r>
              <w:rPr>
                <w:rFonts w:hint="default" w:ascii="Times New Roman" w:hAnsi="Times New Roman" w:eastAsia="宋体" w:cs="Times New Roman"/>
                <w:i w:val="0"/>
                <w:iCs w:val="0"/>
                <w:color w:val="0F1115"/>
                <w:kern w:val="0"/>
                <w:sz w:val="24"/>
                <w:szCs w:val="24"/>
                <w:u w:val="none"/>
                <w:lang w:val="en-US" w:eastAsia="zh-CN" w:bidi="ar"/>
              </w:rPr>
              <w:t>0.731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442"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In-hospital mortality</w:t>
            </w:r>
          </w:p>
        </w:tc>
        <w:tc>
          <w:tcPr>
            <w:tcW w:w="2496"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996"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2496"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996"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2496"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97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442"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Variable</w:t>
            </w:r>
          </w:p>
        </w:tc>
        <w:tc>
          <w:tcPr>
            <w:tcW w:w="249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Model 1 HR (95% CI)</w:t>
            </w:r>
          </w:p>
        </w:tc>
        <w:tc>
          <w:tcPr>
            <w:tcW w:w="99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P value</w:t>
            </w:r>
          </w:p>
        </w:tc>
        <w:tc>
          <w:tcPr>
            <w:tcW w:w="249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Model 2 HR (95% CI)</w:t>
            </w:r>
          </w:p>
        </w:tc>
        <w:tc>
          <w:tcPr>
            <w:tcW w:w="99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P value</w:t>
            </w:r>
          </w:p>
        </w:tc>
        <w:tc>
          <w:tcPr>
            <w:tcW w:w="249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Model 3 HR (95% CI)</w:t>
            </w:r>
          </w:p>
        </w:tc>
        <w:tc>
          <w:tcPr>
            <w:tcW w:w="970"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P value</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442"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TyG_BL</w:t>
            </w:r>
          </w:p>
        </w:tc>
        <w:tc>
          <w:tcPr>
            <w:tcW w:w="249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1.17 (0.97, 1.40)</w:t>
            </w:r>
          </w:p>
        </w:tc>
        <w:tc>
          <w:tcPr>
            <w:tcW w:w="996"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0.095</w:t>
            </w:r>
          </w:p>
        </w:tc>
        <w:tc>
          <w:tcPr>
            <w:tcW w:w="249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1.16 (0.97, 1.40)</w:t>
            </w:r>
          </w:p>
        </w:tc>
        <w:tc>
          <w:tcPr>
            <w:tcW w:w="996"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0.111</w:t>
            </w:r>
          </w:p>
        </w:tc>
        <w:tc>
          <w:tcPr>
            <w:tcW w:w="249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1.12 (0.93, 1.35)</w:t>
            </w:r>
          </w:p>
        </w:tc>
        <w:tc>
          <w:tcPr>
            <w:tcW w:w="970"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0.232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442"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TyG_Median</w:t>
            </w:r>
          </w:p>
        </w:tc>
        <w:tc>
          <w:tcPr>
            <w:tcW w:w="249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1.14 (0.61, 2.13)</w:t>
            </w:r>
          </w:p>
        </w:tc>
        <w:tc>
          <w:tcPr>
            <w:tcW w:w="996"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0.680 </w:t>
            </w:r>
          </w:p>
        </w:tc>
        <w:tc>
          <w:tcPr>
            <w:tcW w:w="249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1.14 (0.61, 2.14)</w:t>
            </w:r>
          </w:p>
        </w:tc>
        <w:tc>
          <w:tcPr>
            <w:tcW w:w="996"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0.683</w:t>
            </w:r>
          </w:p>
        </w:tc>
        <w:tc>
          <w:tcPr>
            <w:tcW w:w="249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1.13 (0.60, 2.14)</w:t>
            </w:r>
          </w:p>
        </w:tc>
        <w:tc>
          <w:tcPr>
            <w:tcW w:w="970"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0.709</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442"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TyG_Average</w:t>
            </w:r>
          </w:p>
        </w:tc>
        <w:tc>
          <w:tcPr>
            <w:tcW w:w="249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0.78 (0.41, 1.51)</w:t>
            </w:r>
          </w:p>
        </w:tc>
        <w:tc>
          <w:tcPr>
            <w:tcW w:w="996"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0.465</w:t>
            </w:r>
          </w:p>
        </w:tc>
        <w:tc>
          <w:tcPr>
            <w:tcW w:w="249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0.77 (0.40, 1.48)</w:t>
            </w:r>
          </w:p>
        </w:tc>
        <w:tc>
          <w:tcPr>
            <w:tcW w:w="996"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0.434</w:t>
            </w:r>
          </w:p>
        </w:tc>
        <w:tc>
          <w:tcPr>
            <w:tcW w:w="249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0.82 (0.43, 1.59)</w:t>
            </w:r>
          </w:p>
        </w:tc>
        <w:tc>
          <w:tcPr>
            <w:tcW w:w="970"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0.560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442"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TyG_Range</w:t>
            </w:r>
          </w:p>
        </w:tc>
        <w:tc>
          <w:tcPr>
            <w:tcW w:w="249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1.17 (0.76, 1.83)</w:t>
            </w:r>
          </w:p>
        </w:tc>
        <w:tc>
          <w:tcPr>
            <w:tcW w:w="996"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0.476</w:t>
            </w:r>
          </w:p>
        </w:tc>
        <w:tc>
          <w:tcPr>
            <w:tcW w:w="249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1.17 (0.75, 1.83)</w:t>
            </w:r>
          </w:p>
        </w:tc>
        <w:tc>
          <w:tcPr>
            <w:tcW w:w="996"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0.479</w:t>
            </w:r>
          </w:p>
        </w:tc>
        <w:tc>
          <w:tcPr>
            <w:tcW w:w="249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1.16 (0.73, 1.86)</w:t>
            </w:r>
          </w:p>
        </w:tc>
        <w:tc>
          <w:tcPr>
            <w:tcW w:w="970"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0.526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442"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TyG_STD</w:t>
            </w:r>
          </w:p>
        </w:tc>
        <w:tc>
          <w:tcPr>
            <w:tcW w:w="249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0.50 (0.16, 1.55)</w:t>
            </w:r>
          </w:p>
        </w:tc>
        <w:tc>
          <w:tcPr>
            <w:tcW w:w="996"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0.230 </w:t>
            </w:r>
          </w:p>
        </w:tc>
        <w:tc>
          <w:tcPr>
            <w:tcW w:w="249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0.53 (0.17, 1.65)</w:t>
            </w:r>
          </w:p>
        </w:tc>
        <w:tc>
          <w:tcPr>
            <w:tcW w:w="996"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0.271</w:t>
            </w:r>
          </w:p>
        </w:tc>
        <w:tc>
          <w:tcPr>
            <w:tcW w:w="249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0.69 (0.20, 2.33)</w:t>
            </w:r>
          </w:p>
        </w:tc>
        <w:tc>
          <w:tcPr>
            <w:tcW w:w="970"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0.546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442"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TyG_CV</w:t>
            </w:r>
          </w:p>
        </w:tc>
        <w:tc>
          <w:tcPr>
            <w:tcW w:w="249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1.01 (0.84, 1.20)</w:t>
            </w:r>
          </w:p>
        </w:tc>
        <w:tc>
          <w:tcPr>
            <w:tcW w:w="996"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0.944</w:t>
            </w:r>
          </w:p>
        </w:tc>
        <w:tc>
          <w:tcPr>
            <w:tcW w:w="249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0.99 (0.83, 1.18)</w:t>
            </w:r>
          </w:p>
        </w:tc>
        <w:tc>
          <w:tcPr>
            <w:tcW w:w="996"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0.908</w:t>
            </w:r>
          </w:p>
        </w:tc>
        <w:tc>
          <w:tcPr>
            <w:tcW w:w="249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0.93 (0.77, 1.11)</w:t>
            </w:r>
          </w:p>
        </w:tc>
        <w:tc>
          <w:tcPr>
            <w:tcW w:w="970"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0.427</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442"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7-day post-discharge mortality</w:t>
            </w:r>
          </w:p>
        </w:tc>
        <w:tc>
          <w:tcPr>
            <w:tcW w:w="2496"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996"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2496"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996"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2496"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97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44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Variable</w:t>
            </w:r>
          </w:p>
        </w:tc>
        <w:tc>
          <w:tcPr>
            <w:tcW w:w="24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Model 1 HR (95% CI)</w:t>
            </w:r>
          </w:p>
        </w:tc>
        <w:tc>
          <w:tcPr>
            <w:tcW w:w="9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P value</w:t>
            </w:r>
          </w:p>
        </w:tc>
        <w:tc>
          <w:tcPr>
            <w:tcW w:w="24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Model 2 HR (95% CI)</w:t>
            </w:r>
          </w:p>
        </w:tc>
        <w:tc>
          <w:tcPr>
            <w:tcW w:w="9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P value</w:t>
            </w:r>
          </w:p>
        </w:tc>
        <w:tc>
          <w:tcPr>
            <w:tcW w:w="24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Model 3 HR (95% CI)</w:t>
            </w:r>
          </w:p>
        </w:tc>
        <w:tc>
          <w:tcPr>
            <w:tcW w:w="97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P value</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442"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TyG_BL</w:t>
            </w:r>
          </w:p>
        </w:tc>
        <w:tc>
          <w:tcPr>
            <w:tcW w:w="2496"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1.29 (1.08, 1.55)</w:t>
            </w:r>
          </w:p>
        </w:tc>
        <w:tc>
          <w:tcPr>
            <w:tcW w:w="996"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0.00492</w:t>
            </w:r>
          </w:p>
        </w:tc>
        <w:tc>
          <w:tcPr>
            <w:tcW w:w="2496"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1.28 (1.07, 1.53)</w:t>
            </w:r>
          </w:p>
        </w:tc>
        <w:tc>
          <w:tcPr>
            <w:tcW w:w="996"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0.00658</w:t>
            </w:r>
          </w:p>
        </w:tc>
        <w:tc>
          <w:tcPr>
            <w:tcW w:w="2496"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1.29 (1.07, 1.55)</w:t>
            </w:r>
          </w:p>
        </w:tc>
        <w:tc>
          <w:tcPr>
            <w:tcW w:w="970"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0.006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442"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TyG_Median</w:t>
            </w:r>
          </w:p>
        </w:tc>
        <w:tc>
          <w:tcPr>
            <w:tcW w:w="2496"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0.84 (0.40, 1.78)</w:t>
            </w:r>
          </w:p>
        </w:tc>
        <w:tc>
          <w:tcPr>
            <w:tcW w:w="996"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0.655</w:t>
            </w:r>
          </w:p>
        </w:tc>
        <w:tc>
          <w:tcPr>
            <w:tcW w:w="2496"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0.85 (0.40, 1.77)</w:t>
            </w:r>
          </w:p>
        </w:tc>
        <w:tc>
          <w:tcPr>
            <w:tcW w:w="996"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0.656</w:t>
            </w:r>
          </w:p>
        </w:tc>
        <w:tc>
          <w:tcPr>
            <w:tcW w:w="2496"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0.82 (0.39, 1.72)</w:t>
            </w:r>
          </w:p>
        </w:tc>
        <w:tc>
          <w:tcPr>
            <w:tcW w:w="970"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0.599</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442"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TyG_Average</w:t>
            </w:r>
          </w:p>
        </w:tc>
        <w:tc>
          <w:tcPr>
            <w:tcW w:w="2496"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0.81 (0.37, 1.76)</w:t>
            </w:r>
          </w:p>
        </w:tc>
        <w:tc>
          <w:tcPr>
            <w:tcW w:w="996"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0.589</w:t>
            </w:r>
          </w:p>
        </w:tc>
        <w:tc>
          <w:tcPr>
            <w:tcW w:w="2496"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0.78 (0.36, 1.69)</w:t>
            </w:r>
          </w:p>
        </w:tc>
        <w:tc>
          <w:tcPr>
            <w:tcW w:w="996"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0.528</w:t>
            </w:r>
          </w:p>
        </w:tc>
        <w:tc>
          <w:tcPr>
            <w:tcW w:w="2496"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0.80 (0.37, 1.72)</w:t>
            </w:r>
          </w:p>
        </w:tc>
        <w:tc>
          <w:tcPr>
            <w:tcW w:w="970"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0.561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442"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TyG_Range</w:t>
            </w:r>
          </w:p>
        </w:tc>
        <w:tc>
          <w:tcPr>
            <w:tcW w:w="2496"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1.03 (0.67, 1.59)</w:t>
            </w:r>
          </w:p>
        </w:tc>
        <w:tc>
          <w:tcPr>
            <w:tcW w:w="996"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0.897</w:t>
            </w:r>
          </w:p>
        </w:tc>
        <w:tc>
          <w:tcPr>
            <w:tcW w:w="2496"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0.97 (0.62, 1.50)</w:t>
            </w:r>
          </w:p>
        </w:tc>
        <w:tc>
          <w:tcPr>
            <w:tcW w:w="996"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0.881</w:t>
            </w:r>
          </w:p>
        </w:tc>
        <w:tc>
          <w:tcPr>
            <w:tcW w:w="2496"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0.88 (0.55, 1.39)</w:t>
            </w:r>
          </w:p>
        </w:tc>
        <w:tc>
          <w:tcPr>
            <w:tcW w:w="970"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0.570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442"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TyG_STD</w:t>
            </w:r>
          </w:p>
        </w:tc>
        <w:tc>
          <w:tcPr>
            <w:tcW w:w="2496"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0.82 (0.26, 2.60)</w:t>
            </w:r>
          </w:p>
        </w:tc>
        <w:tc>
          <w:tcPr>
            <w:tcW w:w="996"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0.738</w:t>
            </w:r>
          </w:p>
        </w:tc>
        <w:tc>
          <w:tcPr>
            <w:tcW w:w="2496"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1.00 (0.31, 3.21)</w:t>
            </w:r>
          </w:p>
        </w:tc>
        <w:tc>
          <w:tcPr>
            <w:tcW w:w="996"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0.997</w:t>
            </w:r>
          </w:p>
        </w:tc>
        <w:tc>
          <w:tcPr>
            <w:tcW w:w="2496"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1.43 (0.70, 4.81)</w:t>
            </w:r>
          </w:p>
        </w:tc>
        <w:tc>
          <w:tcPr>
            <w:tcW w:w="970"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0.565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442"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TyG_CV</w:t>
            </w:r>
          </w:p>
        </w:tc>
        <w:tc>
          <w:tcPr>
            <w:tcW w:w="2496"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1.07 (0.90, 1.26)</w:t>
            </w:r>
          </w:p>
        </w:tc>
        <w:tc>
          <w:tcPr>
            <w:tcW w:w="996"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0.444</w:t>
            </w:r>
          </w:p>
        </w:tc>
        <w:tc>
          <w:tcPr>
            <w:tcW w:w="2496"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1.05 (0.88, 1.24)</w:t>
            </w:r>
          </w:p>
        </w:tc>
        <w:tc>
          <w:tcPr>
            <w:tcW w:w="996"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0.593</w:t>
            </w:r>
          </w:p>
        </w:tc>
        <w:tc>
          <w:tcPr>
            <w:tcW w:w="2496"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1.01 (0.85, 1.12)</w:t>
            </w:r>
          </w:p>
        </w:tc>
        <w:tc>
          <w:tcPr>
            <w:tcW w:w="970"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0.919</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442"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1-year post-discharge mortality</w:t>
            </w:r>
          </w:p>
        </w:tc>
        <w:tc>
          <w:tcPr>
            <w:tcW w:w="2496"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996"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2496"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996"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2496"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97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44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Variable</w:t>
            </w:r>
          </w:p>
        </w:tc>
        <w:tc>
          <w:tcPr>
            <w:tcW w:w="24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Model 1 HR (95% CI)</w:t>
            </w:r>
          </w:p>
        </w:tc>
        <w:tc>
          <w:tcPr>
            <w:tcW w:w="9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P value</w:t>
            </w:r>
          </w:p>
        </w:tc>
        <w:tc>
          <w:tcPr>
            <w:tcW w:w="24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Model 2 HR (95% CI)</w:t>
            </w:r>
          </w:p>
        </w:tc>
        <w:tc>
          <w:tcPr>
            <w:tcW w:w="9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P value</w:t>
            </w:r>
          </w:p>
        </w:tc>
        <w:tc>
          <w:tcPr>
            <w:tcW w:w="24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Model 3 HR (95% CI)</w:t>
            </w:r>
          </w:p>
        </w:tc>
        <w:tc>
          <w:tcPr>
            <w:tcW w:w="97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P value</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442"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TyG_BL</w:t>
            </w:r>
          </w:p>
        </w:tc>
        <w:tc>
          <w:tcPr>
            <w:tcW w:w="2496"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1.00 (0.84, 1.20)</w:t>
            </w:r>
          </w:p>
        </w:tc>
        <w:tc>
          <w:tcPr>
            <w:tcW w:w="996"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0.998</w:t>
            </w:r>
          </w:p>
        </w:tc>
        <w:tc>
          <w:tcPr>
            <w:tcW w:w="2496"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0.99 (0.83, 1.20)</w:t>
            </w:r>
          </w:p>
        </w:tc>
        <w:tc>
          <w:tcPr>
            <w:tcW w:w="996"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0.993</w:t>
            </w:r>
          </w:p>
        </w:tc>
        <w:tc>
          <w:tcPr>
            <w:tcW w:w="2496"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0.99 (0.83, 1.20)</w:t>
            </w:r>
          </w:p>
        </w:tc>
        <w:tc>
          <w:tcPr>
            <w:tcW w:w="970"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0.884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442"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TyG_Median</w:t>
            </w:r>
          </w:p>
        </w:tc>
        <w:tc>
          <w:tcPr>
            <w:tcW w:w="2496"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1.26 (0.60, 2.66)</w:t>
            </w:r>
          </w:p>
        </w:tc>
        <w:tc>
          <w:tcPr>
            <w:tcW w:w="996"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0.548</w:t>
            </w:r>
          </w:p>
        </w:tc>
        <w:tc>
          <w:tcPr>
            <w:tcW w:w="2496"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1.19 (0.57, 2.51)</w:t>
            </w:r>
          </w:p>
        </w:tc>
        <w:tc>
          <w:tcPr>
            <w:tcW w:w="996"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0.641</w:t>
            </w:r>
          </w:p>
        </w:tc>
        <w:tc>
          <w:tcPr>
            <w:tcW w:w="2496"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1.09 (0.42, 3.66)</w:t>
            </w:r>
          </w:p>
        </w:tc>
        <w:tc>
          <w:tcPr>
            <w:tcW w:w="970"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0.833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442"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TyG_Average</w:t>
            </w:r>
          </w:p>
        </w:tc>
        <w:tc>
          <w:tcPr>
            <w:tcW w:w="2496"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0.83 (0.38, 1.82)</w:t>
            </w:r>
          </w:p>
        </w:tc>
        <w:tc>
          <w:tcPr>
            <w:tcW w:w="996"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0.647</w:t>
            </w:r>
          </w:p>
        </w:tc>
        <w:tc>
          <w:tcPr>
            <w:tcW w:w="2496"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0.82 (0.38, 1.69)</w:t>
            </w:r>
          </w:p>
        </w:tc>
        <w:tc>
          <w:tcPr>
            <w:tcW w:w="996"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0.619</w:t>
            </w:r>
          </w:p>
        </w:tc>
        <w:tc>
          <w:tcPr>
            <w:tcW w:w="2496"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0.93 (0.37, 2.06)</w:t>
            </w:r>
          </w:p>
        </w:tc>
        <w:tc>
          <w:tcPr>
            <w:tcW w:w="970"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0.867</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442"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TyG_Range</w:t>
            </w:r>
          </w:p>
        </w:tc>
        <w:tc>
          <w:tcPr>
            <w:tcW w:w="2496"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1.42 (0.93, 2.18)</w:t>
            </w:r>
          </w:p>
        </w:tc>
        <w:tc>
          <w:tcPr>
            <w:tcW w:w="996"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0.102</w:t>
            </w:r>
          </w:p>
        </w:tc>
        <w:tc>
          <w:tcPr>
            <w:tcW w:w="2496"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1.30 (0.85, 2.00)</w:t>
            </w:r>
          </w:p>
        </w:tc>
        <w:tc>
          <w:tcPr>
            <w:tcW w:w="996"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0.232</w:t>
            </w:r>
          </w:p>
        </w:tc>
        <w:tc>
          <w:tcPr>
            <w:tcW w:w="2496"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1.22 (0.78, 1.92)</w:t>
            </w:r>
          </w:p>
        </w:tc>
        <w:tc>
          <w:tcPr>
            <w:tcW w:w="970"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0.382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442"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TyG_STD</w:t>
            </w:r>
          </w:p>
        </w:tc>
        <w:tc>
          <w:tcPr>
            <w:tcW w:w="2496"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0.55 (0.19, 1.60)</w:t>
            </w:r>
          </w:p>
        </w:tc>
        <w:tc>
          <w:tcPr>
            <w:tcW w:w="996"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0.274</w:t>
            </w:r>
          </w:p>
        </w:tc>
        <w:tc>
          <w:tcPr>
            <w:tcW w:w="2496"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0.74 (0.25, 2.19)</w:t>
            </w:r>
          </w:p>
        </w:tc>
        <w:tc>
          <w:tcPr>
            <w:tcW w:w="996"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0.583</w:t>
            </w:r>
          </w:p>
        </w:tc>
        <w:tc>
          <w:tcPr>
            <w:tcW w:w="2496"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1.13 (0.42, 2.66)</w:t>
            </w:r>
          </w:p>
        </w:tc>
        <w:tc>
          <w:tcPr>
            <w:tcW w:w="970"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0.754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442"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TyG_CV</w:t>
            </w:r>
          </w:p>
        </w:tc>
        <w:tc>
          <w:tcPr>
            <w:tcW w:w="2496"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0.97 (0.81, 1.15)</w:t>
            </w:r>
          </w:p>
        </w:tc>
        <w:tc>
          <w:tcPr>
            <w:tcW w:w="996"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0.703</w:t>
            </w:r>
          </w:p>
        </w:tc>
        <w:tc>
          <w:tcPr>
            <w:tcW w:w="2496"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0.93 (0.78, 1.12)</w:t>
            </w:r>
          </w:p>
        </w:tc>
        <w:tc>
          <w:tcPr>
            <w:tcW w:w="996"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0.455</w:t>
            </w:r>
          </w:p>
        </w:tc>
        <w:tc>
          <w:tcPr>
            <w:tcW w:w="2496"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0.94 (0.85, 1.13)</w:t>
            </w:r>
          </w:p>
        </w:tc>
        <w:tc>
          <w:tcPr>
            <w:tcW w:w="970"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0.482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442"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2-year post-discharge mortality</w:t>
            </w:r>
          </w:p>
        </w:tc>
        <w:tc>
          <w:tcPr>
            <w:tcW w:w="2496"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996"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2496"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996"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2496"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c>
          <w:tcPr>
            <w:tcW w:w="970" w:type="dxa"/>
            <w:tcBorders>
              <w:top w:val="nil"/>
              <w:left w:val="nil"/>
              <w:bottom w:val="nil"/>
              <w:right w:val="nil"/>
            </w:tcBorders>
            <w:shd w:val="clear" w:color="auto" w:fill="auto"/>
            <w:noWrap/>
            <w:vAlign w:val="center"/>
          </w:tcPr>
          <w:p>
            <w:pPr>
              <w:rPr>
                <w:rFonts w:hint="default" w:ascii="Times New Roman" w:hAnsi="Times New Roman" w:eastAsia="宋体" w:cs="Times New Roman"/>
                <w:i w:val="0"/>
                <w:iCs w:val="0"/>
                <w:color w:val="000000"/>
                <w:sz w:val="24"/>
                <w:szCs w:val="24"/>
                <w:u w:val="none"/>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44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Variable</w:t>
            </w:r>
          </w:p>
        </w:tc>
        <w:tc>
          <w:tcPr>
            <w:tcW w:w="24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Model 1 HR (95% CI)</w:t>
            </w:r>
          </w:p>
        </w:tc>
        <w:tc>
          <w:tcPr>
            <w:tcW w:w="9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P value</w:t>
            </w:r>
          </w:p>
        </w:tc>
        <w:tc>
          <w:tcPr>
            <w:tcW w:w="24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Model 2 HR (95% CI)</w:t>
            </w:r>
          </w:p>
        </w:tc>
        <w:tc>
          <w:tcPr>
            <w:tcW w:w="9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P value</w:t>
            </w:r>
          </w:p>
        </w:tc>
        <w:tc>
          <w:tcPr>
            <w:tcW w:w="249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Model 3 HR (95% CI)</w:t>
            </w:r>
          </w:p>
        </w:tc>
        <w:tc>
          <w:tcPr>
            <w:tcW w:w="97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P value</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442"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TyG_BL</w:t>
            </w:r>
          </w:p>
        </w:tc>
        <w:tc>
          <w:tcPr>
            <w:tcW w:w="2496"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1.02 (0.81, 1.30)</w:t>
            </w:r>
          </w:p>
        </w:tc>
        <w:tc>
          <w:tcPr>
            <w:tcW w:w="996"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0.852</w:t>
            </w:r>
          </w:p>
        </w:tc>
        <w:tc>
          <w:tcPr>
            <w:tcW w:w="2496"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1.02 (0.81, 1.30)</w:t>
            </w:r>
          </w:p>
        </w:tc>
        <w:tc>
          <w:tcPr>
            <w:tcW w:w="996"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0.854</w:t>
            </w:r>
          </w:p>
        </w:tc>
        <w:tc>
          <w:tcPr>
            <w:tcW w:w="2496"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0.99 (0.78, 1.27)</w:t>
            </w:r>
          </w:p>
        </w:tc>
        <w:tc>
          <w:tcPr>
            <w:tcW w:w="970"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0.963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442"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TyG_Median</w:t>
            </w:r>
          </w:p>
        </w:tc>
        <w:tc>
          <w:tcPr>
            <w:tcW w:w="2496"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1.23 (0.40, 3.77)</w:t>
            </w:r>
          </w:p>
        </w:tc>
        <w:tc>
          <w:tcPr>
            <w:tcW w:w="996"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0.715</w:t>
            </w:r>
          </w:p>
        </w:tc>
        <w:tc>
          <w:tcPr>
            <w:tcW w:w="2496"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1.28 (0.42, 3.91)</w:t>
            </w:r>
          </w:p>
        </w:tc>
        <w:tc>
          <w:tcPr>
            <w:tcW w:w="996"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0.668</w:t>
            </w:r>
          </w:p>
        </w:tc>
        <w:tc>
          <w:tcPr>
            <w:tcW w:w="2496"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1.17 (0.37, 3.66)</w:t>
            </w:r>
          </w:p>
        </w:tc>
        <w:tc>
          <w:tcPr>
            <w:tcW w:w="970"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0.786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442"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TyG_Average</w:t>
            </w:r>
          </w:p>
        </w:tc>
        <w:tc>
          <w:tcPr>
            <w:tcW w:w="2496"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0.78 (0.23, 2.63)</w:t>
            </w:r>
          </w:p>
        </w:tc>
        <w:tc>
          <w:tcPr>
            <w:tcW w:w="996"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0.692</w:t>
            </w:r>
          </w:p>
        </w:tc>
        <w:tc>
          <w:tcPr>
            <w:tcW w:w="2496"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0.75 (0.22, 2.53)</w:t>
            </w:r>
          </w:p>
        </w:tc>
        <w:tc>
          <w:tcPr>
            <w:tcW w:w="996"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0.647</w:t>
            </w:r>
          </w:p>
        </w:tc>
        <w:tc>
          <w:tcPr>
            <w:tcW w:w="2496"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0.86 (0.25, 2.94)</w:t>
            </w:r>
          </w:p>
        </w:tc>
        <w:tc>
          <w:tcPr>
            <w:tcW w:w="970"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0.807</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442"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TyG_Range</w:t>
            </w:r>
          </w:p>
        </w:tc>
        <w:tc>
          <w:tcPr>
            <w:tcW w:w="2496"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0.94 (0.56, 1.56)</w:t>
            </w:r>
          </w:p>
        </w:tc>
        <w:tc>
          <w:tcPr>
            <w:tcW w:w="996"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0.803</w:t>
            </w:r>
          </w:p>
        </w:tc>
        <w:tc>
          <w:tcPr>
            <w:tcW w:w="2496"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0.94 (0.56, 1.56)</w:t>
            </w:r>
          </w:p>
        </w:tc>
        <w:tc>
          <w:tcPr>
            <w:tcW w:w="996"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0.807</w:t>
            </w:r>
          </w:p>
        </w:tc>
        <w:tc>
          <w:tcPr>
            <w:tcW w:w="2496"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0.95 (0.56, 1.64)</w:t>
            </w:r>
          </w:p>
        </w:tc>
        <w:tc>
          <w:tcPr>
            <w:tcW w:w="970"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0.862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442"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TyG_STD</w:t>
            </w:r>
          </w:p>
        </w:tc>
        <w:tc>
          <w:tcPr>
            <w:tcW w:w="2496"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1.21 (0.28, 5.22)</w:t>
            </w:r>
          </w:p>
        </w:tc>
        <w:tc>
          <w:tcPr>
            <w:tcW w:w="996"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0.803</w:t>
            </w:r>
          </w:p>
        </w:tc>
        <w:tc>
          <w:tcPr>
            <w:tcW w:w="2496"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1.20 (0.27, 5.32)</w:t>
            </w:r>
          </w:p>
        </w:tc>
        <w:tc>
          <w:tcPr>
            <w:tcW w:w="996"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0.810 </w:t>
            </w:r>
          </w:p>
        </w:tc>
        <w:tc>
          <w:tcPr>
            <w:tcW w:w="2496"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1.13 (0.23, 5.44)</w:t>
            </w:r>
          </w:p>
        </w:tc>
        <w:tc>
          <w:tcPr>
            <w:tcW w:w="970"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0.882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442" w:type="dxa"/>
            <w:tcBorders>
              <w:top w:val="nil"/>
              <w:left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TyG_CV</w:t>
            </w:r>
          </w:p>
        </w:tc>
        <w:tc>
          <w:tcPr>
            <w:tcW w:w="2496" w:type="dxa"/>
            <w:tcBorders>
              <w:top w:val="nil"/>
              <w:left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1.06 (0.85, 1.32)</w:t>
            </w:r>
          </w:p>
        </w:tc>
        <w:tc>
          <w:tcPr>
            <w:tcW w:w="996" w:type="dxa"/>
            <w:tcBorders>
              <w:top w:val="nil"/>
              <w:left w:val="nil"/>
              <w:right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0.604</w:t>
            </w:r>
          </w:p>
        </w:tc>
        <w:tc>
          <w:tcPr>
            <w:tcW w:w="2496" w:type="dxa"/>
            <w:tcBorders>
              <w:top w:val="nil"/>
              <w:left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1.06 (0.85, 1.32)</w:t>
            </w:r>
          </w:p>
        </w:tc>
        <w:tc>
          <w:tcPr>
            <w:tcW w:w="996" w:type="dxa"/>
            <w:tcBorders>
              <w:top w:val="nil"/>
              <w:left w:val="nil"/>
              <w:right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0.615</w:t>
            </w:r>
          </w:p>
        </w:tc>
        <w:tc>
          <w:tcPr>
            <w:tcW w:w="2496" w:type="dxa"/>
            <w:tcBorders>
              <w:top w:val="nil"/>
              <w:left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1.06 (0.85, 1.33)</w:t>
            </w:r>
          </w:p>
        </w:tc>
        <w:tc>
          <w:tcPr>
            <w:tcW w:w="970" w:type="dxa"/>
            <w:tcBorders>
              <w:top w:val="nil"/>
              <w:left w:val="nil"/>
              <w:right w:val="nil"/>
            </w:tcBorders>
            <w:shd w:val="clear" w:color="auto" w:fill="auto"/>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0.612</w:t>
            </w:r>
          </w:p>
        </w:tc>
      </w:tr>
    </w:tbl>
    <w:p>
      <w:pPr>
        <w:jc w:val="both"/>
        <w:rPr>
          <w:rFonts w:hint="default" w:ascii="Times New Roman" w:hAnsi="Times New Roman" w:eastAsia="宋体" w:cs="Times New Roman"/>
          <w:sz w:val="24"/>
          <w:szCs w:val="24"/>
        </w:rPr>
      </w:pPr>
      <w:r>
        <w:rPr>
          <w:rFonts w:hint="eastAsia" w:ascii="Times New Roman" w:hAnsi="Times New Roman" w:eastAsia="宋体" w:cs="Times New Roman"/>
          <w:b w:val="0"/>
          <w:bCs w:val="0"/>
          <w:sz w:val="24"/>
          <w:szCs w:val="24"/>
          <w:lang w:val="en-US" w:eastAsia="zh-CN"/>
        </w:rPr>
        <w:t xml:space="preserve"> </w:t>
      </w:r>
      <w:r>
        <w:rPr>
          <w:rFonts w:hint="default" w:ascii="Times New Roman" w:hAnsi="Times New Roman" w:eastAsia="宋体" w:cs="Times New Roman"/>
          <w:sz w:val="24"/>
          <w:szCs w:val="24"/>
        </w:rPr>
        <w:t>Associations between triglyceride–glucose (TyG) metrics and ICU mortality, in-hospital mortality, and post-discharge mortality at 7 days, 1 year, and 2 years in the SWH cohort. Hazard ratios (HRs) and 95% confidence intervals (CIs) were estimated using Cox proportional hazards models.</w:t>
      </w:r>
      <w:r>
        <w:rPr>
          <w:rFonts w:hint="default" w:ascii="Times New Roman" w:hAnsi="Times New Roman" w:eastAsia="宋体" w:cs="Times New Roman"/>
          <w:sz w:val="24"/>
          <w:szCs w:val="24"/>
        </w:rPr>
        <w:br w:type="textWrapping"/>
      </w:r>
      <w:r>
        <w:rPr>
          <w:rFonts w:hint="default" w:ascii="Times New Roman" w:hAnsi="Times New Roman" w:eastAsia="宋体" w:cs="Times New Roman"/>
          <w:sz w:val="24"/>
          <w:szCs w:val="24"/>
        </w:rPr>
        <w:t>Model 1: unadjusted.</w:t>
      </w:r>
      <w:r>
        <w:rPr>
          <w:rFonts w:hint="default" w:ascii="Times New Roman" w:hAnsi="Times New Roman" w:eastAsia="宋体" w:cs="Times New Roman"/>
          <w:sz w:val="24"/>
          <w:szCs w:val="24"/>
        </w:rPr>
        <w:br w:type="textWrapping"/>
      </w:r>
      <w:r>
        <w:rPr>
          <w:rFonts w:hint="default" w:ascii="Times New Roman" w:hAnsi="Times New Roman" w:eastAsia="宋体" w:cs="Times New Roman"/>
          <w:sz w:val="24"/>
          <w:szCs w:val="24"/>
        </w:rPr>
        <w:t>Model 2: adjusted for age, sex, and body mass index (BMI).</w:t>
      </w:r>
      <w:r>
        <w:rPr>
          <w:rFonts w:hint="default" w:ascii="Times New Roman" w:hAnsi="Times New Roman" w:eastAsia="宋体" w:cs="Times New Roman"/>
          <w:sz w:val="24"/>
          <w:szCs w:val="24"/>
        </w:rPr>
        <w:br w:type="textWrapping"/>
      </w:r>
      <w:r>
        <w:rPr>
          <w:rFonts w:hint="default" w:ascii="Times New Roman" w:hAnsi="Times New Roman" w:eastAsia="宋体" w:cs="Times New Roman"/>
          <w:sz w:val="24"/>
          <w:szCs w:val="24"/>
        </w:rPr>
        <w:t>Model 3: further adjusted for clinical and laboratory covariates as specified in the Methods, including hemoglobin, platelet count, red blood cell count (RBC), white blood cell count (WBC), neutrophil-to-lymphocyte ratio (NLR), albumin, creatinine, sodium, calcium, potassium, prothrombin time (PT), activated partial thromboplastin time (aPTT), alanine aminotransferase (ALT), alkaline phosphatase (ALP), aspartate aminotransferase (AST), lactate dehydrogenase (LDH), and lipid parameters (LDL and HDL). P values are from two-sided Wald tests.</w:t>
      </w:r>
    </w:p>
    <w:p>
      <w:pPr>
        <w:jc w:val="both"/>
        <w:rPr>
          <w:rFonts w:hint="default" w:ascii="Times New Roman" w:hAnsi="Times New Roman" w:eastAsia="宋体" w:cs="Times New Roman"/>
          <w:sz w:val="24"/>
          <w:szCs w:val="24"/>
        </w:rPr>
      </w:pPr>
    </w:p>
    <w:p>
      <w:pPr>
        <w:jc w:val="both"/>
        <w:rPr>
          <w:rFonts w:hint="default" w:ascii="Times New Roman" w:hAnsi="Times New Roman" w:eastAsia="宋体" w:cs="Times New Roman"/>
          <w:sz w:val="24"/>
          <w:szCs w:val="24"/>
        </w:rPr>
      </w:pPr>
    </w:p>
    <w:p>
      <w:pPr>
        <w:jc w:val="both"/>
        <w:rPr>
          <w:rFonts w:hint="default" w:ascii="Times New Roman" w:hAnsi="Times New Roman" w:eastAsia="宋体" w:cs="Times New Roman"/>
          <w:sz w:val="24"/>
          <w:szCs w:val="24"/>
        </w:rPr>
      </w:pPr>
    </w:p>
    <w:p>
      <w:pPr>
        <w:jc w:val="both"/>
        <w:rPr>
          <w:rFonts w:hint="default" w:ascii="Times New Roman" w:hAnsi="Times New Roman" w:eastAsia="宋体" w:cs="Times New Roman"/>
          <w:sz w:val="24"/>
          <w:szCs w:val="24"/>
          <w:lang w:val="en-US" w:eastAsia="zh-CN"/>
        </w:rPr>
        <w:sectPr>
          <w:pgSz w:w="16838" w:h="11906" w:orient="landscape"/>
          <w:pgMar w:top="1800" w:right="1440" w:bottom="1800" w:left="1440" w:header="851" w:footer="992" w:gutter="0"/>
          <w:cols w:space="425" w:num="1"/>
          <w:docGrid w:type="lines" w:linePitch="312" w:charSpace="0"/>
        </w:sectPr>
      </w:pPr>
    </w:p>
    <w:p>
      <w:pPr>
        <w:jc w:val="both"/>
        <w:rPr>
          <w:rFonts w:hint="eastAsia" w:ascii="Times New Roman" w:hAnsi="Times New Roman" w:eastAsia="宋体" w:cs="Times New Roman"/>
          <w:b w:val="0"/>
          <w:bCs w:val="0"/>
          <w:sz w:val="24"/>
          <w:szCs w:val="24"/>
          <w:lang w:val="en-US" w:eastAsia="zh-CN"/>
        </w:rPr>
        <w:sectPr>
          <w:pgSz w:w="16838" w:h="11906" w:orient="landscape"/>
          <w:pgMar w:top="1803" w:right="1440" w:bottom="1803" w:left="1440" w:header="851" w:footer="992" w:gutter="0"/>
          <w:cols w:space="0" w:num="1"/>
          <w:rtlGutter w:val="0"/>
          <w:docGrid w:type="lines" w:linePitch="319" w:charSpace="0"/>
        </w:sectPr>
      </w:pPr>
    </w:p>
    <w:p>
      <w:pPr>
        <w:jc w:val="both"/>
        <w:rPr>
          <w:rFonts w:hint="eastAsia" w:ascii="Times New Roman" w:hAnsi="Times New Roman" w:eastAsia="宋体" w:cs="Times New Roman"/>
          <w:b w:val="0"/>
          <w:bCs w:val="0"/>
          <w:sz w:val="24"/>
          <w:szCs w:val="24"/>
          <w:lang w:val="en-US" w:eastAsia="zh-CN"/>
        </w:rPr>
        <w:sectPr>
          <w:pgSz w:w="16838" w:h="11906" w:orient="landscape"/>
          <w:pgMar w:top="1803" w:right="1440" w:bottom="1803" w:left="1440" w:header="851" w:footer="992" w:gutter="0"/>
          <w:cols w:space="0" w:num="1"/>
          <w:rtlGutter w:val="0"/>
          <w:docGrid w:type="lines" w:linePitch="319" w:charSpace="0"/>
        </w:sectPr>
      </w:pPr>
    </w:p>
    <w:p>
      <w:pPr>
        <w:jc w:val="both"/>
        <w:rPr>
          <w:rFonts w:hint="eastAsia" w:ascii="Times New Roman" w:hAnsi="Times New Roman" w:eastAsia="宋体" w:cs="Times New Roman"/>
          <w:b w:val="0"/>
          <w:bCs w:val="0"/>
          <w:sz w:val="24"/>
          <w:szCs w:val="24"/>
          <w:lang w:val="en-US" w:eastAsia="zh-CN"/>
        </w:rPr>
      </w:pPr>
    </w:p>
    <w:sectPr>
      <w:pgSz w:w="16838" w:h="11906" w:orient="landscape"/>
      <w:pgMar w:top="1803" w:right="1440" w:bottom="1803" w:left="144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iY2JkMjU3NGYzZTEwMzZmMGFkZWViYmNkYWU3NDIifQ=="/>
  </w:docVars>
  <w:rsids>
    <w:rsidRoot w:val="00000000"/>
    <w:rsid w:val="0EBC450B"/>
    <w:rsid w:val="2BEF4F3F"/>
    <w:rsid w:val="3E7A39AB"/>
    <w:rsid w:val="54BF69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2026-01-06T16:21:00Z</dcterms:created>
  <dc:creator>z'l'n</dc:creator>
  <cp:lastModifiedBy>oof</cp:lastModifiedBy>
  <dcterms:modified xsi:type="dcterms:W3CDTF">2026-01-07T15:19:20Z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957656F2D46F4A858A95617DA9AB157D_12</vt:lpwstr>
  </property>
</Properties>
</file>