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BAE" w:rsidRPr="00985BAE" w:rsidRDefault="00985BAE" w:rsidP="00985BAE">
      <w:pPr>
        <w:spacing w:before="0" w:after="0" w:line="360" w:lineRule="auto"/>
        <w:ind w:left="785" w:hanging="720"/>
        <w:rPr>
          <w:sz w:val="18"/>
        </w:rPr>
      </w:pPr>
      <w:r w:rsidRPr="00985BAE">
        <w:rPr>
          <w:rFonts w:ascii="Times New Roman" w:hAnsi="Times New Roman"/>
          <w:b/>
          <w:iCs/>
          <w:sz w:val="24"/>
          <w:szCs w:val="24"/>
        </w:rPr>
        <w:t>APPENDIX2: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145813">
        <w:rPr>
          <w:rFonts w:ascii="Times New Roman" w:eastAsia="Times New Roman" w:hAnsi="Times New Roman"/>
          <w:b/>
          <w:bCs/>
          <w:color w:val="0F0F0F"/>
          <w:kern w:val="36"/>
          <w:sz w:val="24"/>
          <w:szCs w:val="48"/>
        </w:rPr>
        <w:t>Multicollinearity Diagnostic Test</w:t>
      </w:r>
    </w:p>
    <w:p w:rsidR="00985BAE" w:rsidRPr="00145813" w:rsidRDefault="00985BAE" w:rsidP="00985BAE">
      <w:pPr>
        <w:spacing w:before="0" w:after="0" w:line="360" w:lineRule="auto"/>
        <w:rPr>
          <w:sz w:val="18"/>
        </w:rPr>
      </w:pPr>
      <w:r w:rsidRPr="00145813">
        <w:rPr>
          <w:rFonts w:ascii="Times New Roman" w:eastAsia="Times New Roman" w:hAnsi="Times New Roman"/>
          <w:b/>
          <w:bCs/>
          <w:color w:val="0F0F0F"/>
          <w:kern w:val="36"/>
          <w:sz w:val="24"/>
          <w:szCs w:val="48"/>
        </w:rPr>
        <w:t>Multicollinearity Diagnostic Test</w:t>
      </w:r>
    </w:p>
    <w:p w:rsidR="00985BAE" w:rsidRPr="00145813" w:rsidRDefault="00985BAE" w:rsidP="00985BAE">
      <w:pPr>
        <w:spacing w:before="0" w:after="0"/>
        <w:ind w:left="785" w:hanging="810"/>
        <w:jc w:val="both"/>
        <w:rPr>
          <w:rFonts w:ascii="Times New Roman" w:hAnsi="Times New Roman"/>
          <w:sz w:val="24"/>
          <w:szCs w:val="24"/>
        </w:rPr>
      </w:pPr>
      <w:r w:rsidRPr="00145813">
        <w:rPr>
          <w:rFonts w:ascii="Times New Roman" w:hAnsi="Times New Roman"/>
          <w:b/>
          <w:sz w:val="24"/>
          <w:szCs w:val="24"/>
        </w:rPr>
        <w:t>Note:</w:t>
      </w:r>
      <w:r w:rsidRPr="00145813">
        <w:rPr>
          <w:rFonts w:ascii="Times New Roman" w:hAnsi="Times New Roman"/>
          <w:sz w:val="24"/>
          <w:szCs w:val="24"/>
        </w:rPr>
        <w:t xml:space="preserve"> </w:t>
      </w:r>
      <w:r w:rsidRPr="00145813">
        <w:rPr>
          <w:rFonts w:ascii="Times New Roman" w:hAnsi="Times New Roman"/>
          <w:b/>
          <w:sz w:val="24"/>
          <w:szCs w:val="24"/>
        </w:rPr>
        <w:t>Multi-Collinearity</w:t>
      </w:r>
      <w:r w:rsidRPr="00145813">
        <w:rPr>
          <w:rFonts w:ascii="Times New Roman" w:hAnsi="Times New Roman"/>
          <w:sz w:val="24"/>
          <w:szCs w:val="24"/>
        </w:rPr>
        <w:t>: Logistic model analysis indicated none of the variables resulted in a tolerance value of less than 0.1, which means there is no multi-collinearity.</w:t>
      </w:r>
    </w:p>
    <w:p w:rsidR="00985BAE" w:rsidRPr="00145813" w:rsidRDefault="00985BAE" w:rsidP="00985BAE">
      <w:pPr>
        <w:spacing w:before="0" w:after="0"/>
        <w:ind w:left="785" w:hanging="990"/>
        <w:jc w:val="both"/>
        <w:rPr>
          <w:rFonts w:ascii="Times New Roman" w:hAnsi="Times New Roman"/>
          <w:sz w:val="24"/>
          <w:szCs w:val="24"/>
        </w:rPr>
      </w:pPr>
      <w:r w:rsidRPr="00145813">
        <w:rPr>
          <w:rFonts w:ascii="Times New Roman" w:hAnsi="Times New Roman"/>
          <w:sz w:val="24"/>
          <w:szCs w:val="24"/>
        </w:rPr>
        <w:t xml:space="preserve">     </w:t>
      </w:r>
      <w:r w:rsidRPr="00145813">
        <w:rPr>
          <w:rFonts w:ascii="Times New Roman" w:hAnsi="Times New Roman"/>
          <w:b/>
          <w:sz w:val="24"/>
          <w:szCs w:val="24"/>
        </w:rPr>
        <w:t>Variance inflation factor (VIF):</w:t>
      </w:r>
      <w:r w:rsidRPr="00145813">
        <w:rPr>
          <w:rFonts w:ascii="Times New Roman" w:hAnsi="Times New Roman"/>
          <w:sz w:val="24"/>
          <w:szCs w:val="24"/>
        </w:rPr>
        <w:t xml:space="preserve"> The result of the variance inflation factor (VIF) is very </w:t>
      </w:r>
      <w:proofErr w:type="gramStart"/>
      <w:r w:rsidRPr="00145813">
        <w:rPr>
          <w:rFonts w:ascii="Times New Roman" w:hAnsi="Times New Roman"/>
          <w:sz w:val="24"/>
          <w:szCs w:val="24"/>
        </w:rPr>
        <w:t>small  (</w:t>
      </w:r>
      <w:proofErr w:type="gramEnd"/>
      <w:r w:rsidRPr="00145813">
        <w:rPr>
          <w:rFonts w:ascii="Times New Roman" w:hAnsi="Times New Roman"/>
          <w:sz w:val="24"/>
          <w:szCs w:val="24"/>
        </w:rPr>
        <w:t>much less than 10), and variables are less than 10 in value.</w:t>
      </w:r>
    </w:p>
    <w:tbl>
      <w:tblPr>
        <w:tblpPr w:leftFromText="180" w:rightFromText="180" w:vertAnchor="page" w:horzAnchor="margin" w:tblpXSpec="center" w:tblpY="4691"/>
        <w:tblW w:w="1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1170"/>
        <w:gridCol w:w="1800"/>
        <w:gridCol w:w="540"/>
        <w:gridCol w:w="630"/>
        <w:gridCol w:w="540"/>
        <w:gridCol w:w="540"/>
        <w:gridCol w:w="630"/>
        <w:gridCol w:w="630"/>
        <w:gridCol w:w="630"/>
        <w:gridCol w:w="540"/>
        <w:gridCol w:w="540"/>
        <w:gridCol w:w="630"/>
        <w:gridCol w:w="630"/>
        <w:gridCol w:w="610"/>
      </w:tblGrid>
      <w:tr w:rsidR="00985BAE" w:rsidRPr="00145813" w:rsidTr="00985BAE">
        <w:trPr>
          <w:cantSplit/>
        </w:trPr>
        <w:tc>
          <w:tcPr>
            <w:tcW w:w="1085" w:type="dxa"/>
            <w:vMerge w:val="restart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Dimension</w:t>
            </w:r>
          </w:p>
        </w:tc>
        <w:tc>
          <w:tcPr>
            <w:tcW w:w="1170" w:type="dxa"/>
            <w:vMerge w:val="restart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Eigenvalue</w:t>
            </w:r>
          </w:p>
        </w:tc>
        <w:tc>
          <w:tcPr>
            <w:tcW w:w="1800" w:type="dxa"/>
            <w:vMerge w:val="restart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Condition Index</w:t>
            </w:r>
          </w:p>
        </w:tc>
        <w:tc>
          <w:tcPr>
            <w:tcW w:w="7090" w:type="dxa"/>
            <w:gridSpan w:val="12"/>
            <w:shd w:val="clear" w:color="auto" w:fill="D9D9D9" w:themeFill="background1" w:themeFillShade="D9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Variance Proportions</w:t>
            </w:r>
          </w:p>
        </w:tc>
      </w:tr>
      <w:tr w:rsidR="00985BAE" w:rsidRPr="00145813" w:rsidTr="00985BAE">
        <w:trPr>
          <w:cantSplit/>
          <w:trHeight w:val="1853"/>
        </w:trPr>
        <w:tc>
          <w:tcPr>
            <w:tcW w:w="1085" w:type="dxa"/>
            <w:vMerge/>
            <w:shd w:val="clear" w:color="auto" w:fill="D9D9D9" w:themeFill="background1" w:themeFillShade="D9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D9D9D9" w:themeFill="background1" w:themeFillShade="D9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D9D9D9" w:themeFill="background1" w:themeFillShade="D9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(Constant)</w:t>
            </w:r>
          </w:p>
        </w:tc>
        <w:tc>
          <w:tcPr>
            <w:tcW w:w="63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Sex of  Household Head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Age of  Household Head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Education Level of Household</w:t>
            </w:r>
          </w:p>
        </w:tc>
        <w:tc>
          <w:tcPr>
            <w:tcW w:w="63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Marital Status of Household</w:t>
            </w:r>
          </w:p>
        </w:tc>
        <w:tc>
          <w:tcPr>
            <w:tcW w:w="63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Farm Experience of Household</w:t>
            </w:r>
          </w:p>
        </w:tc>
        <w:tc>
          <w:tcPr>
            <w:tcW w:w="63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Family Size of Household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Farm  Size 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Farm Slope </w:t>
            </w:r>
          </w:p>
        </w:tc>
        <w:tc>
          <w:tcPr>
            <w:tcW w:w="63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Farm Distance </w:t>
            </w:r>
          </w:p>
        </w:tc>
        <w:tc>
          <w:tcPr>
            <w:tcW w:w="63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Institutional Services</w:t>
            </w:r>
          </w:p>
        </w:tc>
        <w:tc>
          <w:tcPr>
            <w:tcW w:w="610" w:type="dxa"/>
            <w:shd w:val="clear" w:color="auto" w:fill="D9D9D9" w:themeFill="background1" w:themeFillShade="D9"/>
            <w:textDirection w:val="btL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Land Cover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9.811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3.533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5.254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5.849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6.662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7.818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8.877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10.810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11.172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13.137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0.21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17.662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0.07</w:t>
            </w:r>
          </w:p>
        </w:tc>
      </w:tr>
      <w:tr w:rsidR="00985BAE" w:rsidRPr="00145813" w:rsidTr="00985BAE">
        <w:trPr>
          <w:cantSplit/>
        </w:trPr>
        <w:tc>
          <w:tcPr>
            <w:tcW w:w="1085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52.495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10" w:type="dxa"/>
            <w:shd w:val="clear" w:color="auto" w:fill="FFFFFF"/>
            <w:vAlign w:val="center"/>
          </w:tcPr>
          <w:p w:rsidR="00985BAE" w:rsidRPr="00145813" w:rsidRDefault="00985BAE" w:rsidP="00985BAE">
            <w:pPr>
              <w:autoSpaceDE w:val="0"/>
              <w:autoSpaceDN w:val="0"/>
              <w:adjustRightInd w:val="0"/>
              <w:spacing w:before="0"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0.71</w:t>
            </w:r>
          </w:p>
        </w:tc>
      </w:tr>
      <w:tr w:rsidR="00985BAE" w:rsidRPr="00205530" w:rsidTr="00985BAE">
        <w:trPr>
          <w:cantSplit/>
        </w:trPr>
        <w:tc>
          <w:tcPr>
            <w:tcW w:w="11145" w:type="dxa"/>
            <w:gridSpan w:val="15"/>
            <w:shd w:val="clear" w:color="auto" w:fill="FFFFFF"/>
          </w:tcPr>
          <w:p w:rsidR="00985BAE" w:rsidRPr="00205530" w:rsidRDefault="00985BAE" w:rsidP="00985BAE">
            <w:pPr>
              <w:autoSpaceDE w:val="0"/>
              <w:autoSpaceDN w:val="0"/>
              <w:adjustRightInd w:val="0"/>
              <w:spacing w:before="0" w:after="0" w:line="320" w:lineRule="atLeast"/>
              <w:ind w:left="155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813">
              <w:rPr>
                <w:rFonts w:ascii="Times New Roman" w:hAnsi="Times New Roman"/>
                <w:color w:val="000000"/>
                <w:sz w:val="20"/>
                <w:szCs w:val="20"/>
              </w:rPr>
              <w:t>a. Dependent Variable: Do you adopted with SWCs on your plots?</w:t>
            </w:r>
          </w:p>
        </w:tc>
      </w:tr>
    </w:tbl>
    <w:p w:rsidR="00985BAE" w:rsidRPr="00145813" w:rsidRDefault="00985BAE" w:rsidP="00985BAE">
      <w:pPr>
        <w:spacing w:before="0" w:after="0"/>
        <w:ind w:left="810" w:hanging="810"/>
        <w:jc w:val="both"/>
        <w:rPr>
          <w:rFonts w:ascii="Times New Roman" w:hAnsi="Times New Roman"/>
          <w:sz w:val="24"/>
          <w:szCs w:val="24"/>
        </w:rPr>
      </w:pPr>
    </w:p>
    <w:p w:rsidR="00985BAE" w:rsidRDefault="00985BAE" w:rsidP="00985BAE">
      <w:pPr>
        <w:pStyle w:val="ListParagraph"/>
        <w:numPr>
          <w:ilvl w:val="0"/>
          <w:numId w:val="1"/>
        </w:numPr>
      </w:pPr>
      <w:r w:rsidRPr="00985BAE">
        <w:rPr>
          <w:rFonts w:ascii="Times New Roman" w:hAnsi="Times New Roman"/>
          <w:b/>
          <w:color w:val="000000"/>
          <w:sz w:val="24"/>
          <w:szCs w:val="18"/>
        </w:rPr>
        <w:t>Variance Proportions</w:t>
      </w:r>
    </w:p>
    <w:p w:rsidR="00985BAE" w:rsidRDefault="00985BAE" w:rsidP="00985BAE">
      <w:pPr>
        <w:rPr>
          <w:rFonts w:ascii="Times New Roman" w:hAnsi="Times New Roman"/>
          <w:b/>
          <w:sz w:val="24"/>
          <w:szCs w:val="24"/>
        </w:rPr>
      </w:pPr>
    </w:p>
    <w:p w:rsidR="00985BAE" w:rsidRDefault="00985BAE" w:rsidP="00985BAE">
      <w:pPr>
        <w:rPr>
          <w:rFonts w:ascii="Times New Roman" w:hAnsi="Times New Roman"/>
          <w:b/>
          <w:sz w:val="24"/>
          <w:szCs w:val="24"/>
        </w:rPr>
      </w:pPr>
    </w:p>
    <w:p w:rsidR="00985BAE" w:rsidRDefault="00985BAE" w:rsidP="00985BAE">
      <w:pPr>
        <w:rPr>
          <w:rFonts w:ascii="Times New Roman" w:hAnsi="Times New Roman"/>
          <w:b/>
          <w:sz w:val="24"/>
          <w:szCs w:val="24"/>
        </w:rPr>
      </w:pPr>
    </w:p>
    <w:p w:rsidR="00985BAE" w:rsidRDefault="00985BAE" w:rsidP="00985BAE">
      <w:pPr>
        <w:rPr>
          <w:rFonts w:ascii="Times New Roman" w:hAnsi="Times New Roman"/>
          <w:b/>
          <w:sz w:val="24"/>
          <w:szCs w:val="24"/>
        </w:rPr>
      </w:pPr>
    </w:p>
    <w:p w:rsidR="00985BAE" w:rsidRDefault="00985BAE" w:rsidP="00985BAE">
      <w:pPr>
        <w:rPr>
          <w:rFonts w:ascii="Times New Roman" w:hAnsi="Times New Roman"/>
          <w:b/>
          <w:sz w:val="24"/>
          <w:szCs w:val="24"/>
        </w:rPr>
      </w:pPr>
    </w:p>
    <w:p w:rsidR="00985BAE" w:rsidRDefault="00985BAE" w:rsidP="00985BAE">
      <w:pPr>
        <w:rPr>
          <w:rFonts w:ascii="Times New Roman" w:hAnsi="Times New Roman"/>
          <w:b/>
          <w:sz w:val="24"/>
          <w:szCs w:val="24"/>
        </w:rPr>
      </w:pPr>
    </w:p>
    <w:p w:rsidR="00985BAE" w:rsidRDefault="00985BAE" w:rsidP="00985BAE">
      <w:pPr>
        <w:rPr>
          <w:rFonts w:ascii="Times New Roman" w:hAnsi="Times New Roman"/>
          <w:b/>
          <w:sz w:val="24"/>
          <w:szCs w:val="24"/>
        </w:rPr>
      </w:pPr>
    </w:p>
    <w:p w:rsidR="00985BAE" w:rsidRDefault="00985BAE" w:rsidP="00985BAE">
      <w:pPr>
        <w:rPr>
          <w:rFonts w:ascii="Times New Roman" w:hAnsi="Times New Roman"/>
          <w:b/>
          <w:sz w:val="24"/>
          <w:szCs w:val="24"/>
        </w:rPr>
      </w:pPr>
    </w:p>
    <w:p w:rsidR="00985BAE" w:rsidRPr="00985BAE" w:rsidRDefault="00985BAE" w:rsidP="00985BAE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bookmarkStart w:id="0" w:name="_GoBack"/>
      <w:r w:rsidRPr="00985BA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Collinearity </w:t>
      </w:r>
      <w:r w:rsidRPr="00985BAE">
        <w:rPr>
          <w:rFonts w:ascii="Times New Roman" w:hAnsi="Times New Roman"/>
          <w:b/>
          <w:color w:val="000000"/>
          <w:sz w:val="24"/>
          <w:szCs w:val="24"/>
        </w:rPr>
        <w:t>Statistics</w:t>
      </w:r>
      <w:r w:rsidRPr="00985BAE">
        <w:rPr>
          <w:rFonts w:ascii="Times New Roman" w:hAnsi="Times New Roman"/>
          <w:b/>
          <w:sz w:val="24"/>
          <w:szCs w:val="24"/>
        </w:rPr>
        <w:t xml:space="preserve"> for Variance inflation factor (VIF) and </w:t>
      </w:r>
      <w:r w:rsidRPr="00985BAE">
        <w:rPr>
          <w:rFonts w:ascii="Times New Roman" w:hAnsi="Times New Roman"/>
          <w:b/>
          <w:color w:val="000000"/>
          <w:sz w:val="24"/>
          <w:szCs w:val="24"/>
        </w:rPr>
        <w:t>Tolerance</w:t>
      </w:r>
      <w:r w:rsidRPr="00985BAE">
        <w:rPr>
          <w:rFonts w:ascii="Times New Roman" w:hAnsi="Times New Roman"/>
          <w:b/>
          <w:color w:val="000000"/>
          <w:sz w:val="24"/>
          <w:szCs w:val="24"/>
        </w:rPr>
        <w:t xml:space="preserve"> Value</w:t>
      </w:r>
    </w:p>
    <w:tbl>
      <w:tblPr>
        <w:tblStyle w:val="MediumShading1"/>
        <w:tblpPr w:leftFromText="180" w:rightFromText="180" w:vertAnchor="page" w:horzAnchor="margin" w:tblpY="2126"/>
        <w:tblW w:w="10355" w:type="dxa"/>
        <w:tblLayout w:type="fixed"/>
        <w:tblLook w:val="0000" w:firstRow="0" w:lastRow="0" w:firstColumn="0" w:lastColumn="0" w:noHBand="0" w:noVBand="0"/>
      </w:tblPr>
      <w:tblGrid>
        <w:gridCol w:w="6408"/>
        <w:gridCol w:w="1607"/>
        <w:gridCol w:w="2340"/>
      </w:tblGrid>
      <w:tr w:rsidR="00985BAE" w:rsidRPr="007D2ACA" w:rsidTr="0062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55" w:type="dxa"/>
            <w:gridSpan w:val="3"/>
            <w:tcBorders>
              <w:left w:val="nil"/>
              <w:right w:val="nil"/>
            </w:tcBorders>
            <w:shd w:val="clear" w:color="auto" w:fill="D9D9D9" w:themeFill="background1" w:themeFillShade="D9"/>
          </w:tcPr>
          <w:bookmarkEnd w:id="0"/>
          <w:p w:rsidR="00985BAE" w:rsidRPr="007D2ACA" w:rsidRDefault="00985BAE" w:rsidP="00624265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Coefficients</w:t>
            </w:r>
          </w:p>
        </w:tc>
      </w:tr>
      <w:tr w:rsidR="00985BAE" w:rsidRPr="007D2ACA" w:rsidTr="006242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vMerge w:val="restart"/>
            <w:tcBorders>
              <w:left w:val="nil"/>
            </w:tcBorders>
            <w:shd w:val="clear" w:color="auto" w:fill="D9D9D9" w:themeFill="background1" w:themeFillShade="D9"/>
          </w:tcPr>
          <w:p w:rsidR="00985BAE" w:rsidRPr="007D2ACA" w:rsidRDefault="00985BAE" w:rsidP="00624265">
            <w:pPr>
              <w:autoSpaceDE w:val="0"/>
              <w:autoSpaceDN w:val="0"/>
              <w:adjustRightInd w:val="0"/>
              <w:ind w:left="95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3947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Collinearity Statistics</w:t>
            </w:r>
          </w:p>
        </w:tc>
      </w:tr>
      <w:tr w:rsidR="00985BAE" w:rsidRPr="007D2ACA" w:rsidTr="0062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vMerge/>
            <w:tcBorders>
              <w:left w:val="nil"/>
            </w:tcBorders>
            <w:shd w:val="clear" w:color="auto" w:fill="D9D9D9" w:themeFill="background1" w:themeFillShade="D9"/>
          </w:tcPr>
          <w:p w:rsidR="00985BAE" w:rsidRPr="007D2ACA" w:rsidRDefault="00985BAE" w:rsidP="00624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D9D9D9" w:themeFill="background1" w:themeFillShade="D9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Tolerance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D9D9D9" w:themeFill="background1" w:themeFillShade="D9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VIF</w:t>
            </w:r>
          </w:p>
        </w:tc>
      </w:tr>
      <w:tr w:rsidR="00985BAE" w:rsidRPr="007D2ACA" w:rsidTr="006242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lef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Sex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of Household</w:t>
            </w:r>
          </w:p>
        </w:tc>
        <w:tc>
          <w:tcPr>
            <w:tcW w:w="1607" w:type="dxa"/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.936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1.069</w:t>
            </w:r>
          </w:p>
        </w:tc>
      </w:tr>
      <w:tr w:rsidR="00985BAE" w:rsidRPr="007D2ACA" w:rsidTr="0062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lef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Age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f Household Head</w:t>
            </w:r>
          </w:p>
        </w:tc>
        <w:tc>
          <w:tcPr>
            <w:tcW w:w="1607" w:type="dxa"/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.894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1.118</w:t>
            </w:r>
          </w:p>
        </w:tc>
      </w:tr>
      <w:tr w:rsidR="00985BAE" w:rsidRPr="007D2ACA" w:rsidTr="006242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lef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Education Level o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f Household</w:t>
            </w:r>
          </w:p>
        </w:tc>
        <w:tc>
          <w:tcPr>
            <w:tcW w:w="1607" w:type="dxa"/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.685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1.460</w:t>
            </w:r>
          </w:p>
        </w:tc>
      </w:tr>
      <w:tr w:rsidR="00985BAE" w:rsidRPr="007D2ACA" w:rsidTr="0062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lef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Marital status of Household</w:t>
            </w:r>
          </w:p>
        </w:tc>
        <w:tc>
          <w:tcPr>
            <w:tcW w:w="1607" w:type="dxa"/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.951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1.051</w:t>
            </w:r>
          </w:p>
        </w:tc>
      </w:tr>
      <w:tr w:rsidR="00985BAE" w:rsidRPr="007D2ACA" w:rsidTr="006242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lef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Farm Experience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f Household</w:t>
            </w:r>
          </w:p>
        </w:tc>
        <w:tc>
          <w:tcPr>
            <w:tcW w:w="1607" w:type="dxa"/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.804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1.243</w:t>
            </w:r>
          </w:p>
        </w:tc>
      </w:tr>
      <w:tr w:rsidR="00985BAE" w:rsidRPr="007D2ACA" w:rsidTr="0062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lef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Family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Size o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f Household</w:t>
            </w:r>
          </w:p>
        </w:tc>
        <w:tc>
          <w:tcPr>
            <w:tcW w:w="1607" w:type="dxa"/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.975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1.025</w:t>
            </w:r>
          </w:p>
        </w:tc>
      </w:tr>
      <w:tr w:rsidR="00985BAE" w:rsidRPr="007D2ACA" w:rsidTr="006242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lef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Farm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Size </w:t>
            </w:r>
          </w:p>
        </w:tc>
        <w:tc>
          <w:tcPr>
            <w:tcW w:w="1607" w:type="dxa"/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.666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1.502</w:t>
            </w:r>
          </w:p>
        </w:tc>
      </w:tr>
      <w:tr w:rsidR="00985BAE" w:rsidRPr="007D2ACA" w:rsidTr="0062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lef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Farm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slopes </w:t>
            </w:r>
          </w:p>
        </w:tc>
        <w:tc>
          <w:tcPr>
            <w:tcW w:w="1607" w:type="dxa"/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.644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1.554</w:t>
            </w:r>
          </w:p>
        </w:tc>
      </w:tr>
      <w:tr w:rsidR="00985BAE" w:rsidRPr="007D2ACA" w:rsidTr="006242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lef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Farm Distance</w:t>
            </w:r>
          </w:p>
        </w:tc>
        <w:tc>
          <w:tcPr>
            <w:tcW w:w="1607" w:type="dxa"/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.945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1.058</w:t>
            </w:r>
          </w:p>
        </w:tc>
      </w:tr>
      <w:tr w:rsidR="00985BAE" w:rsidRPr="007D2ACA" w:rsidTr="0062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lef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Land Cover</w:t>
            </w:r>
          </w:p>
        </w:tc>
        <w:tc>
          <w:tcPr>
            <w:tcW w:w="1607" w:type="dxa"/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.228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4.392</w:t>
            </w:r>
          </w:p>
        </w:tc>
      </w:tr>
      <w:tr w:rsidR="00985BAE" w:rsidRPr="007D2ACA" w:rsidTr="006242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lef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Institution Services </w:t>
            </w:r>
          </w:p>
        </w:tc>
        <w:tc>
          <w:tcPr>
            <w:tcW w:w="1607" w:type="dxa"/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AC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.180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right w:val="nil"/>
            </w:tcBorders>
            <w:shd w:val="clear" w:color="auto" w:fill="auto"/>
          </w:tcPr>
          <w:p w:rsidR="00985BAE" w:rsidRPr="000B4D61" w:rsidRDefault="00985BAE" w:rsidP="00624265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5.564</w:t>
            </w:r>
          </w:p>
        </w:tc>
      </w:tr>
      <w:tr w:rsidR="00985BAE" w:rsidRPr="007D2ACA" w:rsidTr="0062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5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985BAE" w:rsidRPr="007D2ACA" w:rsidRDefault="00985BAE" w:rsidP="0062426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4D61">
              <w:rPr>
                <w:rFonts w:ascii="Times New Roman" w:hAnsi="Times New Roman"/>
                <w:color w:val="000000"/>
                <w:sz w:val="24"/>
                <w:szCs w:val="24"/>
              </w:rPr>
              <w:t>a. Dependent Variable: Do you adopted with SWCs on your plots?</w:t>
            </w:r>
          </w:p>
        </w:tc>
      </w:tr>
    </w:tbl>
    <w:p w:rsidR="00985BAE" w:rsidRPr="00985BAE" w:rsidRDefault="00985BAE" w:rsidP="00985BAE"/>
    <w:p w:rsidR="00985BAE" w:rsidRPr="00985BAE" w:rsidRDefault="00985BAE" w:rsidP="00985BAE"/>
    <w:p w:rsidR="00985BAE" w:rsidRPr="00985BAE" w:rsidRDefault="00985BAE" w:rsidP="00985BAE"/>
    <w:p w:rsidR="00985BAE" w:rsidRPr="00985BAE" w:rsidRDefault="00985BAE" w:rsidP="00985BAE"/>
    <w:p w:rsidR="00985BAE" w:rsidRPr="00985BAE" w:rsidRDefault="00985BAE" w:rsidP="00985BAE"/>
    <w:p w:rsidR="00985BAE" w:rsidRPr="00985BAE" w:rsidRDefault="00985BAE" w:rsidP="00985BAE"/>
    <w:p w:rsidR="00985BAE" w:rsidRPr="00985BAE" w:rsidRDefault="00985BAE" w:rsidP="00985BAE"/>
    <w:p w:rsidR="00985BAE" w:rsidRPr="00985BAE" w:rsidRDefault="00985BAE" w:rsidP="00985BAE"/>
    <w:p w:rsidR="00985BAE" w:rsidRPr="00985BAE" w:rsidRDefault="00985BAE" w:rsidP="00985BAE"/>
    <w:p w:rsidR="00985BAE" w:rsidRPr="00985BAE" w:rsidRDefault="00985BAE" w:rsidP="00985BAE"/>
    <w:p w:rsidR="00B85FC4" w:rsidRPr="00985BAE" w:rsidRDefault="00B85FC4" w:rsidP="00985BAE"/>
    <w:sectPr w:rsidR="00B85FC4" w:rsidRPr="00985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D2A93"/>
    <w:multiLevelType w:val="hybridMultilevel"/>
    <w:tmpl w:val="2DFEED6C"/>
    <w:lvl w:ilvl="0" w:tplc="64C2C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AE"/>
    <w:rsid w:val="00985BAE"/>
    <w:rsid w:val="00B8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3BBC4"/>
  <w15:chartTrackingRefBased/>
  <w15:docId w15:val="{374BAA88-D53D-4D74-B85D-498245CA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BAE"/>
    <w:pPr>
      <w:spacing w:before="24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">
    <w:name w:val="Medium Shading 1"/>
    <w:basedOn w:val="TableNormal"/>
    <w:uiPriority w:val="63"/>
    <w:rsid w:val="00985BA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85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2026-01-31T13:43:00Z</dcterms:created>
  <dcterms:modified xsi:type="dcterms:W3CDTF">2026-01-31T13:55:00Z</dcterms:modified>
</cp:coreProperties>
</file>