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EFBAB" w14:textId="77777777" w:rsidR="00AB7238" w:rsidRDefault="00AB7238" w:rsidP="00AB7238">
      <w:pPr>
        <w:spacing w:line="360" w:lineRule="auto"/>
        <w:ind w:left="283" w:hanging="283"/>
        <w:jc w:val="both"/>
        <w:rPr>
          <w:rFonts w:ascii="Arial Unicode MS" w:hAnsi="Arial Unicode MS" w:cs="Arial Unicode MS"/>
          <w:b/>
          <w:bCs/>
          <w:lang w:val="en-GB"/>
        </w:rPr>
      </w:pPr>
      <w:r>
        <w:rPr>
          <w:rFonts w:ascii="Arial Unicode MS" w:eastAsia="Arial Unicode MS" w:hAnsi="Arial" w:cs="Arial Unicode MS"/>
          <w:b/>
          <w:bCs/>
          <w:highlight w:val="yellow"/>
          <w:lang w:val="en-GB"/>
        </w:rPr>
        <w:t>Supplementary Figures captions.</w:t>
      </w:r>
    </w:p>
    <w:p w14:paraId="76A99121" w14:textId="77777777" w:rsidR="00AB7238" w:rsidRDefault="00AB7238" w:rsidP="00AB7238">
      <w:pPr>
        <w:spacing w:line="360" w:lineRule="auto"/>
        <w:ind w:left="283" w:hanging="283"/>
        <w:jc w:val="both"/>
        <w:rPr>
          <w:rFonts w:ascii="Arial Unicode MS" w:hAnsi="Arial Unicode MS" w:cs="Arial Unicode MS"/>
          <w:sz w:val="20"/>
          <w:szCs w:val="20"/>
          <w:lang w:val="en-GB"/>
        </w:rPr>
      </w:pPr>
      <w:r>
        <w:rPr>
          <w:rFonts w:ascii="Arial Unicode MS" w:eastAsia="Arial Unicode MS" w:hAnsi="Arial" w:cs="Arial Unicode MS"/>
          <w:b/>
          <w:bCs/>
          <w:sz w:val="20"/>
          <w:szCs w:val="20"/>
          <w:lang w:val="en-GB"/>
        </w:rPr>
        <w:t>Supplementary Fig.</w:t>
      </w:r>
      <w:r>
        <w:rPr>
          <w:rFonts w:ascii="Arial Unicode MS" w:eastAsia="Arial Unicode MS" w:hAnsi="Arial" w:cs="Arial Unicode MS"/>
          <w:b/>
          <w:bCs/>
          <w:sz w:val="20"/>
          <w:szCs w:val="20"/>
          <w:lang w:val="en-GB"/>
        </w:rPr>
        <w:t> </w:t>
      </w:r>
      <w:r>
        <w:rPr>
          <w:rFonts w:ascii="Arial Unicode MS" w:eastAsia="Arial Unicode MS" w:hAnsi="Arial" w:cs="Arial Unicode MS"/>
          <w:b/>
          <w:bCs/>
          <w:sz w:val="20"/>
          <w:szCs w:val="20"/>
          <w:lang w:val="en-GB"/>
        </w:rPr>
        <w:t>1</w:t>
      </w:r>
      <w:r>
        <w:rPr>
          <w:rFonts w:ascii="Arial Unicode MS" w:eastAsia="Arial Unicode MS" w:hAnsi="Arial" w:cs="Arial Unicode MS"/>
          <w:sz w:val="20"/>
          <w:szCs w:val="20"/>
          <w:lang w:val="en-GB"/>
        </w:rPr>
        <w:t>. Box and whisker plots representing FIB4 scores from the analysed patients. The median is represented by the horizontal line in each box. Boxes cover the 25th and 75th percentile quantiles, and bars show the 10 and 90% quantiles. Individual data is also shown by coloured dots. Group of subjects and colouring, see caption Fig.</w:t>
      </w:r>
      <w:r>
        <w:rPr>
          <w:rFonts w:ascii="Arial Unicode MS" w:eastAsia="Arial Unicode MS" w:hAnsi="Arial" w:cs="Arial Unicode MS"/>
          <w:sz w:val="20"/>
          <w:szCs w:val="20"/>
          <w:lang w:val="en-GB"/>
        </w:rPr>
        <w:t> </w:t>
      </w:r>
      <w:r>
        <w:rPr>
          <w:rFonts w:ascii="Arial Unicode MS" w:eastAsia="Arial Unicode MS" w:hAnsi="Arial" w:cs="Arial Unicode MS"/>
          <w:sz w:val="20"/>
          <w:szCs w:val="20"/>
          <w:lang w:val="en-GB"/>
        </w:rPr>
        <w:t>1.</w:t>
      </w:r>
    </w:p>
    <w:p w14:paraId="6231A02A" w14:textId="77777777" w:rsidR="00AB7238" w:rsidRDefault="00AB7238" w:rsidP="00AB7238">
      <w:pPr>
        <w:spacing w:line="360" w:lineRule="auto"/>
        <w:ind w:left="283" w:hanging="283"/>
        <w:jc w:val="both"/>
        <w:rPr>
          <w:rFonts w:ascii="Arial Unicode MS" w:hAnsi="Arial Unicode MS" w:cs="Arial Unicode MS"/>
          <w:sz w:val="20"/>
          <w:szCs w:val="20"/>
          <w:lang w:val="en-GB"/>
        </w:rPr>
      </w:pPr>
      <w:r>
        <w:rPr>
          <w:rFonts w:ascii="Arial Unicode MS" w:eastAsia="Arial Unicode MS" w:hAnsi="Arial" w:cs="Arial Unicode MS"/>
          <w:b/>
          <w:bCs/>
          <w:sz w:val="20"/>
          <w:szCs w:val="20"/>
          <w:lang w:val="en-GB"/>
        </w:rPr>
        <w:t>Supplementary Fig.</w:t>
      </w:r>
      <w:r>
        <w:rPr>
          <w:rFonts w:ascii="Arial Unicode MS" w:eastAsia="Arial Unicode MS" w:hAnsi="Arial" w:cs="Arial Unicode MS"/>
          <w:b/>
          <w:bCs/>
          <w:sz w:val="20"/>
          <w:szCs w:val="20"/>
          <w:lang w:val="en-GB"/>
        </w:rPr>
        <w:t> </w:t>
      </w:r>
      <w:r>
        <w:rPr>
          <w:rFonts w:ascii="Arial Unicode MS" w:eastAsia="Arial Unicode MS" w:hAnsi="Arial" w:cs="Arial Unicode MS"/>
          <w:b/>
          <w:bCs/>
          <w:sz w:val="20"/>
          <w:szCs w:val="20"/>
          <w:lang w:val="en-GB"/>
        </w:rPr>
        <w:t>2</w:t>
      </w:r>
      <w:r>
        <w:rPr>
          <w:rFonts w:ascii="Arial Unicode MS" w:eastAsia="Arial Unicode MS" w:hAnsi="Arial" w:cs="Arial Unicode MS"/>
          <w:sz w:val="20"/>
          <w:szCs w:val="20"/>
          <w:lang w:val="en-GB"/>
        </w:rPr>
        <w:t>. Box and whisker plots representing NALFD scores from the analysed patients. The median is represented by the horizontal line in each box. Boxes cover the 25th and 75th percentile quantiles, and bars show the 10 and 90% quantiles. Individual data is also shown by coloured dots. Group of subjects and colouring, see caption Fig.</w:t>
      </w:r>
      <w:r>
        <w:rPr>
          <w:rFonts w:ascii="Arial Unicode MS" w:eastAsia="Arial Unicode MS" w:hAnsi="Arial" w:cs="Arial Unicode MS"/>
          <w:sz w:val="20"/>
          <w:szCs w:val="20"/>
          <w:lang w:val="en-GB"/>
        </w:rPr>
        <w:t> </w:t>
      </w:r>
      <w:r>
        <w:rPr>
          <w:rFonts w:ascii="Arial Unicode MS" w:eastAsia="Arial Unicode MS" w:hAnsi="Arial" w:cs="Arial Unicode MS"/>
          <w:sz w:val="20"/>
          <w:szCs w:val="20"/>
          <w:lang w:val="en-GB"/>
        </w:rPr>
        <w:t>1.</w:t>
      </w:r>
    </w:p>
    <w:p w14:paraId="24DA4ACB" w14:textId="77777777" w:rsidR="00AB7238" w:rsidRDefault="00AB7238" w:rsidP="00AB7238">
      <w:pPr>
        <w:spacing w:line="360" w:lineRule="auto"/>
        <w:ind w:left="283" w:hanging="283"/>
        <w:jc w:val="both"/>
        <w:rPr>
          <w:rFonts w:ascii="Arial Unicode MS" w:hAnsi="Arial Unicode MS" w:cs="Arial Unicode MS"/>
          <w:sz w:val="20"/>
          <w:szCs w:val="20"/>
          <w:lang w:val="en-GB"/>
        </w:rPr>
      </w:pPr>
      <w:r>
        <w:rPr>
          <w:rFonts w:ascii="Arial Unicode MS" w:eastAsia="Arial Unicode MS" w:hAnsi="Arial" w:cs="Arial Unicode MS"/>
          <w:b/>
          <w:bCs/>
          <w:sz w:val="20"/>
          <w:szCs w:val="20"/>
          <w:lang w:val="en-GB"/>
        </w:rPr>
        <w:t>Supplementary Fig.</w:t>
      </w:r>
      <w:r>
        <w:rPr>
          <w:rFonts w:ascii="Arial Unicode MS" w:eastAsia="Arial Unicode MS" w:hAnsi="Arial" w:cs="Arial Unicode MS"/>
          <w:b/>
          <w:bCs/>
          <w:sz w:val="20"/>
          <w:szCs w:val="20"/>
          <w:lang w:val="en-GB"/>
        </w:rPr>
        <w:t> </w:t>
      </w:r>
      <w:r>
        <w:rPr>
          <w:rFonts w:ascii="Arial Unicode MS" w:eastAsia="Arial Unicode MS" w:hAnsi="Arial" w:cs="Arial Unicode MS"/>
          <w:b/>
          <w:bCs/>
          <w:sz w:val="20"/>
          <w:szCs w:val="20"/>
          <w:lang w:val="en-GB"/>
        </w:rPr>
        <w:t>3</w:t>
      </w:r>
      <w:r>
        <w:rPr>
          <w:rFonts w:ascii="Arial Unicode MS" w:eastAsia="Arial Unicode MS" w:hAnsi="Arial" w:cs="Arial Unicode MS"/>
          <w:sz w:val="20"/>
          <w:szCs w:val="20"/>
          <w:lang w:val="en-GB"/>
        </w:rPr>
        <w:t xml:space="preserve">. Box and whisker plots representing </w:t>
      </w:r>
      <w:proofErr w:type="spellStart"/>
      <w:r>
        <w:rPr>
          <w:rFonts w:ascii="Arial Unicode MS" w:eastAsia="Arial Unicode MS" w:hAnsi="Arial" w:cs="Arial Unicode MS"/>
          <w:sz w:val="20"/>
          <w:szCs w:val="20"/>
          <w:lang w:val="en-GB"/>
        </w:rPr>
        <w:t>Fibroscan</w:t>
      </w:r>
      <w:proofErr w:type="spellEnd"/>
      <w:r>
        <w:rPr>
          <w:rFonts w:ascii="Arial Unicode MS" w:eastAsia="Arial Unicode MS" w:hAnsi="Arial" w:cs="Arial Unicode MS"/>
          <w:sz w:val="20"/>
          <w:szCs w:val="20"/>
          <w:lang w:val="en-GB"/>
        </w:rPr>
        <w:t>®</w:t>
      </w:r>
      <w:r>
        <w:rPr>
          <w:rFonts w:ascii="Arial Unicode MS" w:eastAsia="Arial Unicode MS" w:hAnsi="Arial" w:cs="Arial Unicode MS"/>
          <w:sz w:val="20"/>
          <w:szCs w:val="20"/>
          <w:lang w:val="en-GB"/>
        </w:rPr>
        <w:t xml:space="preserve"> pressure values (kPa) from the analysed patients. The median is represented by the horizontal line in each box. Boxes cover the 25th and 75th percentile quantiles, and bars show the 10 and 90% quantiles. Individual data is also shown by coloured dots. Group of subjects and colouring, see caption Fig.</w:t>
      </w:r>
      <w:r>
        <w:rPr>
          <w:rFonts w:ascii="Arial Unicode MS" w:eastAsia="Arial Unicode MS" w:hAnsi="Arial" w:cs="Arial Unicode MS"/>
          <w:sz w:val="20"/>
          <w:szCs w:val="20"/>
          <w:lang w:val="en-GB"/>
        </w:rPr>
        <w:t> </w:t>
      </w:r>
      <w:r>
        <w:rPr>
          <w:rFonts w:ascii="Arial Unicode MS" w:eastAsia="Arial Unicode MS" w:hAnsi="Arial" w:cs="Arial Unicode MS"/>
          <w:sz w:val="20"/>
          <w:szCs w:val="20"/>
          <w:lang w:val="en-GB"/>
        </w:rPr>
        <w:t>1.</w:t>
      </w:r>
    </w:p>
    <w:p w14:paraId="657417EC" w14:textId="77777777" w:rsidR="00AB7238" w:rsidRDefault="00AB7238" w:rsidP="00AB7238">
      <w:pPr>
        <w:spacing w:line="360" w:lineRule="auto"/>
        <w:ind w:left="283" w:hanging="283"/>
        <w:jc w:val="both"/>
        <w:rPr>
          <w:rFonts w:ascii="Arial Unicode MS" w:hAnsi="Arial Unicode MS" w:cs="Arial Unicode MS"/>
          <w:sz w:val="20"/>
          <w:szCs w:val="20"/>
          <w:lang w:val="en-GB"/>
        </w:rPr>
      </w:pPr>
      <w:r>
        <w:rPr>
          <w:rFonts w:ascii="Arial Unicode MS" w:eastAsia="Arial Unicode MS" w:hAnsi="Arial" w:cs="Arial Unicode MS"/>
          <w:b/>
          <w:bCs/>
          <w:sz w:val="20"/>
          <w:szCs w:val="20"/>
          <w:lang w:val="en-GB"/>
        </w:rPr>
        <w:t>Supplementary Fig.</w:t>
      </w:r>
      <w:r>
        <w:rPr>
          <w:rFonts w:ascii="Arial Unicode MS" w:eastAsia="Arial Unicode MS" w:hAnsi="Arial" w:cs="Arial Unicode MS"/>
          <w:b/>
          <w:bCs/>
          <w:sz w:val="20"/>
          <w:szCs w:val="20"/>
          <w:lang w:val="en-GB"/>
        </w:rPr>
        <w:t> </w:t>
      </w:r>
      <w:r>
        <w:rPr>
          <w:rFonts w:ascii="Arial Unicode MS" w:eastAsia="Arial Unicode MS" w:hAnsi="Arial" w:cs="Arial Unicode MS"/>
          <w:b/>
          <w:bCs/>
          <w:sz w:val="20"/>
          <w:szCs w:val="20"/>
          <w:lang w:val="en-GB"/>
        </w:rPr>
        <w:t>4</w:t>
      </w:r>
      <w:r>
        <w:rPr>
          <w:rFonts w:ascii="Arial Unicode MS" w:eastAsia="Arial Unicode MS" w:hAnsi="Arial" w:cs="Arial Unicode MS"/>
          <w:sz w:val="20"/>
          <w:szCs w:val="20"/>
          <w:lang w:val="en-GB"/>
        </w:rPr>
        <w:t>. Rarefaction curves of species richness showing the sequencing depth from the analysed patients. The 0X-axis represents the sequencing depth in number of reads, and the 0Y-axis the estimation of the species (ASV) richness detected.</w:t>
      </w:r>
    </w:p>
    <w:p w14:paraId="31C6B232" w14:textId="77777777" w:rsidR="00AB7238" w:rsidRDefault="00AB7238" w:rsidP="00AB7238">
      <w:pPr>
        <w:spacing w:line="360" w:lineRule="auto"/>
        <w:ind w:left="283" w:hanging="283"/>
        <w:jc w:val="both"/>
        <w:rPr>
          <w:rFonts w:ascii="Arial Unicode MS" w:hAnsi="Arial Unicode MS" w:cs="Arial Unicode MS"/>
          <w:b/>
          <w:bCs/>
          <w:lang w:val="en-GB"/>
        </w:rPr>
      </w:pPr>
      <w:r>
        <w:rPr>
          <w:rFonts w:ascii="Arial Unicode MS" w:eastAsia="Arial Unicode MS" w:hAnsi="Arial" w:cs="Arial Unicode MS"/>
          <w:b/>
          <w:bCs/>
          <w:highlight w:val="yellow"/>
          <w:lang w:val="en-GB"/>
        </w:rPr>
        <w:t>Supplementary Tables.</w:t>
      </w:r>
    </w:p>
    <w:p w14:paraId="2EAEEC80" w14:textId="77777777" w:rsidR="00AB7238" w:rsidRDefault="00AB7238" w:rsidP="00AB7238">
      <w:pPr>
        <w:pBdr>
          <w:top w:val="nil"/>
          <w:left w:val="nil"/>
          <w:bottom w:val="nil"/>
          <w:right w:val="nil"/>
          <w:between w:val="nil"/>
          <w:bar w:val="nil"/>
        </w:pBdr>
        <w:suppressAutoHyphens/>
        <w:spacing w:line="360" w:lineRule="auto"/>
        <w:ind w:left="283" w:hanging="283"/>
        <w:jc w:val="both"/>
        <w:rPr>
          <w:rFonts w:ascii="Arial" w:eastAsia="Arial Narrow" w:hAnsi="Arial" w:cs="Arial"/>
          <w:lang w:val="en-GB"/>
        </w:rPr>
      </w:pPr>
      <w:r>
        <w:rPr>
          <w:rFonts w:ascii="Arial Unicode MS" w:eastAsia="Arial Unicode MS" w:hAnsi="Arial" w:cs="Arial Unicode MS"/>
          <w:b/>
          <w:bCs/>
          <w:color w:val="000000"/>
          <w:sz w:val="24"/>
          <w:szCs w:val="24"/>
          <w:u w:color="FFFFFF"/>
          <w:bdr w:val="nil"/>
          <w:lang w:eastAsia="en-GB"/>
        </w:rPr>
        <w:t>Supplementary Table</w:t>
      </w:r>
      <w:r>
        <w:rPr>
          <w:rFonts w:ascii="Arial Unicode MS" w:eastAsia="Arial Unicode MS" w:hAnsi="Arial" w:cs="Arial Unicode MS"/>
          <w:b/>
          <w:bCs/>
          <w:color w:val="000000"/>
          <w:sz w:val="24"/>
          <w:szCs w:val="24"/>
          <w:u w:color="FFFFFF"/>
          <w:bdr w:val="nil"/>
          <w:lang w:eastAsia="en-GB"/>
        </w:rPr>
        <w:t> </w:t>
      </w:r>
      <w:r>
        <w:rPr>
          <w:rFonts w:ascii="Arial Unicode MS" w:eastAsia="Arial Unicode MS" w:hAnsi="Arial" w:cs="Arial Unicode MS"/>
          <w:b/>
          <w:bCs/>
          <w:color w:val="000000"/>
          <w:sz w:val="24"/>
          <w:szCs w:val="24"/>
          <w:u w:color="FFFFFF"/>
          <w:bdr w:val="nil"/>
          <w:lang w:eastAsia="en-GB"/>
        </w:rPr>
        <w:t>1.</w:t>
      </w:r>
      <w:r>
        <w:rPr>
          <w:rFonts w:ascii="Arial Unicode MS" w:eastAsia="Arial Unicode MS" w:hAnsi="Arial" w:cs="Arial Unicode MS"/>
          <w:color w:val="000000"/>
          <w:sz w:val="24"/>
          <w:szCs w:val="24"/>
          <w:u w:color="FFFFFF"/>
          <w:bdr w:val="nil"/>
          <w:lang w:eastAsia="en-GB"/>
        </w:rPr>
        <w:t xml:space="preserve"> Sample size and demographic and clinical characteristics of subjects into study.</w:t>
      </w:r>
    </w:p>
    <w:p w14:paraId="07B3B728" w14:textId="77777777" w:rsidR="00AB7238" w:rsidRDefault="00AB7238" w:rsidP="00AB7238">
      <w:pPr>
        <w:spacing w:line="360" w:lineRule="auto"/>
        <w:ind w:left="283" w:hanging="283"/>
        <w:jc w:val="both"/>
        <w:rPr>
          <w:rFonts w:ascii="Arial Unicode MS" w:hAnsi="Arial Unicode MS" w:cs="Arial Unicode MS"/>
          <w:lang w:val="en-GB"/>
        </w:rPr>
      </w:pPr>
      <w:r>
        <w:rPr>
          <w:rFonts w:ascii="Arial Unicode MS" w:eastAsia="Arial Unicode MS" w:hAnsi="Arial" w:cs="Arial Unicode MS"/>
          <w:b/>
          <w:bCs/>
          <w:lang w:val="en-GB"/>
        </w:rPr>
        <w:t>Supplementary Table</w:t>
      </w:r>
      <w:r>
        <w:rPr>
          <w:rFonts w:ascii="Arial Unicode MS" w:eastAsia="Arial Unicode MS" w:hAnsi="Arial" w:cs="Arial Unicode MS"/>
          <w:b/>
          <w:bCs/>
          <w:lang w:val="en-GB"/>
        </w:rPr>
        <w:t> </w:t>
      </w:r>
      <w:r>
        <w:rPr>
          <w:rFonts w:ascii="Arial Unicode MS" w:eastAsia="Arial Unicode MS" w:hAnsi="Arial" w:cs="Arial Unicode MS"/>
          <w:b/>
          <w:bCs/>
          <w:lang w:val="en-GB"/>
        </w:rPr>
        <w:t xml:space="preserve">2. </w:t>
      </w:r>
      <w:r>
        <w:rPr>
          <w:rFonts w:ascii="Arial Unicode MS" w:eastAsia="Arial Unicode MS" w:hAnsi="Arial" w:cs="Arial Unicode MS"/>
          <w:lang w:val="en-GB"/>
        </w:rPr>
        <w:t>Top 20 most abundant ASV retrieved from the analysed set of individuals and their abundance in each analysed group of subjects.</w:t>
      </w:r>
    </w:p>
    <w:p w14:paraId="1486260B" w14:textId="77777777" w:rsidR="00AB7238" w:rsidRDefault="00AB7238" w:rsidP="00AB7238">
      <w:pPr>
        <w:spacing w:line="360" w:lineRule="auto"/>
        <w:ind w:left="283" w:hanging="283"/>
        <w:jc w:val="both"/>
        <w:rPr>
          <w:rFonts w:ascii="Arial Unicode MS" w:hAnsi="Arial Unicode MS" w:cs="Arial Unicode MS"/>
          <w:lang w:val="en-GB"/>
        </w:rPr>
      </w:pPr>
      <w:r>
        <w:rPr>
          <w:rFonts w:ascii="Arial Unicode MS" w:eastAsia="Arial Unicode MS" w:hAnsi="Arial" w:cs="Arial Unicode MS"/>
          <w:b/>
          <w:bCs/>
          <w:lang w:val="en-GB"/>
        </w:rPr>
        <w:t>Supplementary Table</w:t>
      </w:r>
      <w:r>
        <w:rPr>
          <w:rFonts w:ascii="Arial Unicode MS" w:eastAsia="Arial Unicode MS" w:hAnsi="Arial" w:cs="Arial Unicode MS"/>
          <w:b/>
          <w:bCs/>
          <w:lang w:val="en-GB"/>
        </w:rPr>
        <w:t> </w:t>
      </w:r>
      <w:r>
        <w:rPr>
          <w:rFonts w:ascii="Arial Unicode MS" w:eastAsia="Arial Unicode MS" w:hAnsi="Arial" w:cs="Arial Unicode MS"/>
          <w:b/>
          <w:bCs/>
          <w:lang w:val="en-GB"/>
        </w:rPr>
        <w:t xml:space="preserve">3. </w:t>
      </w:r>
      <w:r>
        <w:rPr>
          <w:rFonts w:ascii="Arial Unicode MS" w:eastAsia="Arial Unicode MS" w:hAnsi="Arial" w:cs="Arial Unicode MS"/>
          <w:lang w:val="en-GB"/>
        </w:rPr>
        <w:t>Taxonomy and total counts for each ASV and sample analysed.</w:t>
      </w:r>
    </w:p>
    <w:p w14:paraId="38D5538B" w14:textId="77777777" w:rsidR="00306BB7" w:rsidRDefault="00306BB7"/>
    <w:sectPr w:rsidR="00306B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238"/>
    <w:rsid w:val="000145A9"/>
    <w:rsid w:val="000A11BB"/>
    <w:rsid w:val="0021038C"/>
    <w:rsid w:val="00283B71"/>
    <w:rsid w:val="00306BB7"/>
    <w:rsid w:val="00343B21"/>
    <w:rsid w:val="004109FF"/>
    <w:rsid w:val="004277BD"/>
    <w:rsid w:val="00466892"/>
    <w:rsid w:val="005703F6"/>
    <w:rsid w:val="0072383A"/>
    <w:rsid w:val="007F5176"/>
    <w:rsid w:val="008D5665"/>
    <w:rsid w:val="00940FB4"/>
    <w:rsid w:val="00A12951"/>
    <w:rsid w:val="00AB7238"/>
    <w:rsid w:val="00C07F9A"/>
    <w:rsid w:val="00C16463"/>
    <w:rsid w:val="00CD3FFB"/>
    <w:rsid w:val="00CD5A43"/>
    <w:rsid w:val="00E46972"/>
    <w:rsid w:val="00ED5D4F"/>
    <w:rsid w:val="00F01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2DB5"/>
  <w15:chartTrackingRefBased/>
  <w15:docId w15:val="{5E2EAEE2-5C05-4139-B3B9-0B635948D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1467</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Navaneethakrishnan M Mookan A</dc:creator>
  <cp:keywords/>
  <dc:description/>
  <cp:lastModifiedBy>Navaneethakrishnan M Mookan A</cp:lastModifiedBy>
  <cp:revision>2</cp:revision>
  <dcterms:created xsi:type="dcterms:W3CDTF">2026-02-28T09:19:00Z</dcterms:created>
  <dcterms:modified xsi:type="dcterms:W3CDTF">2026-02-28T09:19:00Z</dcterms:modified>
</cp:coreProperties>
</file>