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C5D36"/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3682"/>
        <w:gridCol w:w="2410"/>
        <w:gridCol w:w="2430"/>
      </w:tblGrid>
      <w:tr w14:paraId="5547B702">
        <w:trPr>
          <w:jc w:val="center"/>
        </w:trPr>
        <w:tc>
          <w:tcPr>
            <w:tcW w:w="5000" w:type="pct"/>
            <w:gridSpan w:val="3"/>
            <w:tcBorders>
              <w:bottom w:val="single" w:color="auto" w:sz="12" w:space="0"/>
            </w:tcBorders>
          </w:tcPr>
          <w:p w14:paraId="7413445A">
            <w:pPr>
              <w:spacing w:line="240" w:lineRule="auto"/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 xml:space="preserve">Table S1. Missing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data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.</w:t>
            </w:r>
          </w:p>
        </w:tc>
      </w:tr>
      <w:tr w14:paraId="3A0B1E7F">
        <w:trPr>
          <w:jc w:val="center"/>
        </w:trPr>
        <w:tc>
          <w:tcPr>
            <w:tcW w:w="216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B04C17">
            <w:pPr>
              <w:spacing w:line="240" w:lineRule="auto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Variables</w:t>
            </w:r>
          </w:p>
        </w:tc>
        <w:tc>
          <w:tcPr>
            <w:tcW w:w="141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D6AA68">
            <w:pPr>
              <w:spacing w:line="240" w:lineRule="auto"/>
              <w:jc w:val="center"/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Training cohort</w:t>
            </w:r>
          </w:p>
          <w:p w14:paraId="6DB287B8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(n=2368)</w:t>
            </w:r>
          </w:p>
        </w:tc>
        <w:tc>
          <w:tcPr>
            <w:tcW w:w="142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25A6E14">
            <w:pPr>
              <w:spacing w:line="240" w:lineRule="auto"/>
              <w:jc w:val="center"/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Validation cohort</w:t>
            </w:r>
          </w:p>
          <w:p w14:paraId="45FECC41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(n=1041)</w:t>
            </w:r>
          </w:p>
        </w:tc>
      </w:tr>
      <w:tr w14:paraId="3F7836E8">
        <w:trPr>
          <w:jc w:val="center"/>
        </w:trPr>
        <w:tc>
          <w:tcPr>
            <w:tcW w:w="2160" w:type="pct"/>
            <w:tcBorders>
              <w:top w:val="single" w:color="auto" w:sz="12" w:space="0"/>
            </w:tcBorders>
          </w:tcPr>
          <w:p w14:paraId="547FE9D1">
            <w:pPr>
              <w:spacing w:line="240" w:lineRule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Weight, kg</w:t>
            </w:r>
          </w:p>
        </w:tc>
        <w:tc>
          <w:tcPr>
            <w:tcW w:w="1414" w:type="pct"/>
            <w:tcBorders>
              <w:top w:val="single" w:color="auto" w:sz="12" w:space="0"/>
            </w:tcBorders>
            <w:vAlign w:val="center"/>
          </w:tcPr>
          <w:p w14:paraId="79619BDC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0 (0%)</w:t>
            </w:r>
          </w:p>
        </w:tc>
        <w:tc>
          <w:tcPr>
            <w:tcW w:w="1425" w:type="pct"/>
            <w:tcBorders>
              <w:top w:val="single" w:color="auto" w:sz="12" w:space="0"/>
            </w:tcBorders>
            <w:vAlign w:val="center"/>
          </w:tcPr>
          <w:p w14:paraId="1BAA1BA9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893 (85.78%)</w:t>
            </w:r>
          </w:p>
        </w:tc>
      </w:tr>
      <w:tr w14:paraId="78861D56">
        <w:trPr>
          <w:jc w:val="center"/>
        </w:trPr>
        <w:tc>
          <w:tcPr>
            <w:tcW w:w="2160" w:type="pct"/>
          </w:tcPr>
          <w:p w14:paraId="4B0372D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Preoperative creatinine, umol/L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 xml:space="preserve"> </w:t>
            </w:r>
          </w:p>
        </w:tc>
        <w:tc>
          <w:tcPr>
            <w:tcW w:w="1414" w:type="pct"/>
            <w:vAlign w:val="center"/>
          </w:tcPr>
          <w:p w14:paraId="64172C3E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0 (0%)</w:t>
            </w:r>
          </w:p>
        </w:tc>
        <w:tc>
          <w:tcPr>
            <w:tcW w:w="1425" w:type="pct"/>
            <w:vAlign w:val="center"/>
          </w:tcPr>
          <w:p w14:paraId="2F63E08F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93 (8.93%)</w:t>
            </w:r>
          </w:p>
        </w:tc>
      </w:tr>
      <w:tr w14:paraId="4A6BA791">
        <w:trPr>
          <w:jc w:val="center"/>
        </w:trPr>
        <w:tc>
          <w:tcPr>
            <w:tcW w:w="2160" w:type="pct"/>
            <w:shd w:val="clear"/>
            <w:vAlign w:val="top"/>
          </w:tcPr>
          <w:p w14:paraId="266483A4">
            <w:pPr>
              <w:spacing w:line="240" w:lineRule="auto"/>
              <w:rPr>
                <w:rFonts w:hint="default" w:ascii="Times New Roman Regular" w:hAnsi="Times New Roman Regular" w:eastAsia="Times New Roman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Preoperative total protein, g/L</w:t>
            </w:r>
          </w:p>
        </w:tc>
        <w:tc>
          <w:tcPr>
            <w:tcW w:w="1414" w:type="pct"/>
            <w:vAlign w:val="center"/>
          </w:tcPr>
          <w:p w14:paraId="39EA7563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0 (0%)</w:t>
            </w:r>
          </w:p>
        </w:tc>
        <w:tc>
          <w:tcPr>
            <w:tcW w:w="1425" w:type="pct"/>
            <w:vAlign w:val="center"/>
          </w:tcPr>
          <w:p w14:paraId="4307F7A8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97 (9.32%)</w:t>
            </w:r>
          </w:p>
        </w:tc>
      </w:tr>
      <w:tr w14:paraId="59935883">
        <w:trPr>
          <w:jc w:val="center"/>
        </w:trPr>
        <w:tc>
          <w:tcPr>
            <w:tcW w:w="2160" w:type="pct"/>
            <w:shd w:val="clear"/>
            <w:vAlign w:val="top"/>
          </w:tcPr>
          <w:p w14:paraId="15226504">
            <w:pPr>
              <w:spacing w:line="240" w:lineRule="auto"/>
              <w:rPr>
                <w:rFonts w:hint="default" w:ascii="Times New Roman Regular" w:hAnsi="Times New Roman Regular" w:eastAsia="Times New Roman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Preoperative glucose, mmol/L</w:t>
            </w:r>
          </w:p>
        </w:tc>
        <w:tc>
          <w:tcPr>
            <w:tcW w:w="1414" w:type="pct"/>
            <w:vAlign w:val="center"/>
          </w:tcPr>
          <w:p w14:paraId="465C8EF3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0 (0%)</w:t>
            </w:r>
          </w:p>
        </w:tc>
        <w:tc>
          <w:tcPr>
            <w:tcW w:w="1425" w:type="pct"/>
            <w:vAlign w:val="center"/>
          </w:tcPr>
          <w:p w14:paraId="36D50F3E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17 (1.63%)</w:t>
            </w:r>
          </w:p>
        </w:tc>
      </w:tr>
      <w:tr w14:paraId="2EFA1C50">
        <w:trPr>
          <w:jc w:val="center"/>
        </w:trPr>
        <w:tc>
          <w:tcPr>
            <w:tcW w:w="2160" w:type="pct"/>
            <w:shd w:val="clear"/>
            <w:vAlign w:val="top"/>
          </w:tcPr>
          <w:p w14:paraId="78554D3B">
            <w:pPr>
              <w:spacing w:line="240" w:lineRule="auto"/>
              <w:rPr>
                <w:rFonts w:hint="default" w:ascii="Times New Roman Regular" w:hAnsi="Times New Roman Regular" w:eastAsia="Times New Roman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Preoperative triglyceride, mmol/L</w:t>
            </w:r>
          </w:p>
        </w:tc>
        <w:tc>
          <w:tcPr>
            <w:tcW w:w="1414" w:type="pct"/>
            <w:vAlign w:val="center"/>
          </w:tcPr>
          <w:p w14:paraId="2858FEF4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0 (0%)</w:t>
            </w:r>
          </w:p>
        </w:tc>
        <w:tc>
          <w:tcPr>
            <w:tcW w:w="1425" w:type="pct"/>
            <w:vAlign w:val="center"/>
          </w:tcPr>
          <w:p w14:paraId="0E47FFC9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100 (9.61%)</w:t>
            </w:r>
          </w:p>
        </w:tc>
      </w:tr>
      <w:tr w14:paraId="5F2364D4">
        <w:trPr>
          <w:jc w:val="center"/>
        </w:trPr>
        <w:tc>
          <w:tcPr>
            <w:tcW w:w="2160" w:type="pct"/>
            <w:shd w:val="clear"/>
            <w:vAlign w:val="top"/>
          </w:tcPr>
          <w:p w14:paraId="6738BEB6">
            <w:pPr>
              <w:spacing w:line="240" w:lineRule="auto"/>
              <w:rPr>
                <w:rFonts w:hint="default" w:ascii="Times New Roman Regular" w:hAnsi="Times New Roman Regular" w:eastAsia="Times New Roman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Postoperative lactate, mmol/L</w:t>
            </w:r>
          </w:p>
        </w:tc>
        <w:tc>
          <w:tcPr>
            <w:tcW w:w="1414" w:type="pct"/>
            <w:vAlign w:val="center"/>
          </w:tcPr>
          <w:p w14:paraId="33F42C44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0 (0%)</w:t>
            </w:r>
          </w:p>
        </w:tc>
        <w:tc>
          <w:tcPr>
            <w:tcW w:w="1425" w:type="pct"/>
            <w:vAlign w:val="center"/>
          </w:tcPr>
          <w:p w14:paraId="3B1F8394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15 (1.44%)</w:t>
            </w:r>
          </w:p>
        </w:tc>
      </w:tr>
      <w:tr w14:paraId="4889DD19">
        <w:trPr>
          <w:jc w:val="center"/>
        </w:trPr>
        <w:tc>
          <w:tcPr>
            <w:tcW w:w="2160" w:type="pct"/>
            <w:tcBorders>
              <w:bottom w:val="single" w:color="auto" w:sz="12" w:space="0"/>
            </w:tcBorders>
            <w:shd w:val="clear"/>
            <w:vAlign w:val="top"/>
          </w:tcPr>
          <w:p w14:paraId="411B6FAA">
            <w:pPr>
              <w:spacing w:line="240" w:lineRule="auto"/>
              <w:rPr>
                <w:rFonts w:hint="default" w:ascii="Times New Roman Regular" w:hAnsi="Times New Roman Regular" w:eastAsia="Times New Roman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Postoperative cystatin-C, mg/L</w:t>
            </w:r>
          </w:p>
        </w:tc>
        <w:tc>
          <w:tcPr>
            <w:tcW w:w="1414" w:type="pct"/>
            <w:tcBorders>
              <w:bottom w:val="single" w:color="auto" w:sz="12" w:space="0"/>
            </w:tcBorders>
            <w:vAlign w:val="center"/>
          </w:tcPr>
          <w:p w14:paraId="1D3AE001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0 (0%)</w:t>
            </w:r>
          </w:p>
        </w:tc>
        <w:tc>
          <w:tcPr>
            <w:tcW w:w="1425" w:type="pct"/>
            <w:tcBorders>
              <w:bottom w:val="single" w:color="auto" w:sz="12" w:space="0"/>
            </w:tcBorders>
            <w:vAlign w:val="center"/>
          </w:tcPr>
          <w:p w14:paraId="15FB2B16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49 (4.71%)</w:t>
            </w:r>
          </w:p>
        </w:tc>
      </w:tr>
    </w:tbl>
    <w:p w14:paraId="4099B4B5"/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2556"/>
        <w:gridCol w:w="2350"/>
        <w:gridCol w:w="1044"/>
      </w:tblGrid>
      <w:tr w14:paraId="1764AF54">
        <w:trPr>
          <w:trHeight w:val="471" w:hRule="atLeast"/>
        </w:trPr>
        <w:tc>
          <w:tcPr>
            <w:tcW w:w="5000" w:type="pct"/>
            <w:gridSpan w:val="4"/>
            <w:tcBorders>
              <w:bottom w:val="single" w:color="auto" w:sz="12" w:space="0"/>
            </w:tcBorders>
            <w:vAlign w:val="center"/>
          </w:tcPr>
          <w:p w14:paraId="4E6B1AF7">
            <w:pPr>
              <w:spacing w:line="240" w:lineRule="auto"/>
              <w:jc w:val="left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 xml:space="preserve">Table S2.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Comparative analysis of data between training and validation cohorts.</w:t>
            </w:r>
          </w:p>
        </w:tc>
      </w:tr>
      <w:tr w14:paraId="287AF056">
        <w:trPr>
          <w:trHeight w:val="471" w:hRule="atLeast"/>
        </w:trPr>
        <w:tc>
          <w:tcPr>
            <w:tcW w:w="1508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679B67">
            <w:pPr>
              <w:spacing w:line="240" w:lineRule="auto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Variables</w:t>
            </w:r>
          </w:p>
        </w:tc>
        <w:tc>
          <w:tcPr>
            <w:tcW w:w="150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C7DDA3">
            <w:pPr>
              <w:spacing w:line="240" w:lineRule="auto"/>
              <w:jc w:val="center"/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Training cohort</w:t>
            </w:r>
          </w:p>
          <w:p w14:paraId="1387FFC1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(n=2368)</w:t>
            </w:r>
          </w:p>
        </w:tc>
        <w:tc>
          <w:tcPr>
            <w:tcW w:w="137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ABE1DEF">
            <w:pPr>
              <w:spacing w:line="240" w:lineRule="auto"/>
              <w:jc w:val="center"/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Validation cohort</w:t>
            </w:r>
          </w:p>
          <w:p w14:paraId="422446E8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(n=1041)</w:t>
            </w:r>
          </w:p>
        </w:tc>
        <w:tc>
          <w:tcPr>
            <w:tcW w:w="612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3DF7FE6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P value</w:t>
            </w:r>
          </w:p>
        </w:tc>
      </w:tr>
      <w:tr w14:paraId="40807448">
        <w:trPr>
          <w:trHeight w:val="471" w:hRule="atLeast"/>
        </w:trPr>
        <w:tc>
          <w:tcPr>
            <w:tcW w:w="1508" w:type="pct"/>
            <w:tcBorders>
              <w:top w:val="single" w:color="auto" w:sz="12" w:space="0"/>
            </w:tcBorders>
            <w:vAlign w:val="center"/>
          </w:tcPr>
          <w:p w14:paraId="512EB0FD">
            <w:pPr>
              <w:spacing w:line="240" w:lineRule="auto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Age, days</w:t>
            </w:r>
          </w:p>
        </w:tc>
        <w:tc>
          <w:tcPr>
            <w:tcW w:w="1500" w:type="pct"/>
            <w:tcBorders>
              <w:top w:val="single" w:color="auto" w:sz="12" w:space="0"/>
            </w:tcBorders>
            <w:vAlign w:val="center"/>
          </w:tcPr>
          <w:p w14:paraId="1364F8EC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348.00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163.00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663.50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)</w:t>
            </w:r>
          </w:p>
        </w:tc>
        <w:tc>
          <w:tcPr>
            <w:tcW w:w="1379" w:type="pct"/>
            <w:tcBorders>
              <w:top w:val="single" w:color="auto" w:sz="12" w:space="0"/>
            </w:tcBorders>
            <w:vAlign w:val="center"/>
          </w:tcPr>
          <w:p w14:paraId="0820B1FC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215.49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68.59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444.39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)</w:t>
            </w:r>
          </w:p>
        </w:tc>
        <w:tc>
          <w:tcPr>
            <w:tcW w:w="612" w:type="pct"/>
            <w:tcBorders>
              <w:top w:val="single" w:color="auto" w:sz="12" w:space="0"/>
            </w:tcBorders>
            <w:vAlign w:val="center"/>
          </w:tcPr>
          <w:p w14:paraId="1976BA67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0</w:t>
            </w:r>
          </w:p>
        </w:tc>
      </w:tr>
      <w:tr w14:paraId="53496E2D">
        <w:trPr>
          <w:trHeight w:val="471" w:hRule="atLeast"/>
        </w:trPr>
        <w:tc>
          <w:tcPr>
            <w:tcW w:w="1508" w:type="pct"/>
            <w:vAlign w:val="center"/>
          </w:tcPr>
          <w:p w14:paraId="3DA89CC8">
            <w:pPr>
              <w:spacing w:line="240" w:lineRule="auto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Sex, female</w:t>
            </w:r>
          </w:p>
        </w:tc>
        <w:tc>
          <w:tcPr>
            <w:tcW w:w="1500" w:type="pct"/>
            <w:vAlign w:val="center"/>
          </w:tcPr>
          <w:p w14:paraId="12635840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1205 (50.89%)</w:t>
            </w:r>
          </w:p>
        </w:tc>
        <w:tc>
          <w:tcPr>
            <w:tcW w:w="1379" w:type="pct"/>
            <w:vAlign w:val="center"/>
          </w:tcPr>
          <w:p w14:paraId="58A7EF79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532 (51.10%)</w:t>
            </w:r>
          </w:p>
        </w:tc>
        <w:tc>
          <w:tcPr>
            <w:tcW w:w="612" w:type="pct"/>
            <w:vAlign w:val="center"/>
          </w:tcPr>
          <w:p w14:paraId="5DEE2094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0.936</w:t>
            </w:r>
          </w:p>
        </w:tc>
      </w:tr>
      <w:tr w14:paraId="79B4E551">
        <w:trPr>
          <w:trHeight w:val="471" w:hRule="atLeast"/>
        </w:trPr>
        <w:tc>
          <w:tcPr>
            <w:tcW w:w="1508" w:type="pct"/>
            <w:vAlign w:val="center"/>
          </w:tcPr>
          <w:p w14:paraId="7ACE6663">
            <w:pPr>
              <w:spacing w:line="240" w:lineRule="auto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Surgery time, minutes</w:t>
            </w:r>
          </w:p>
        </w:tc>
        <w:tc>
          <w:tcPr>
            <w:tcW w:w="1500" w:type="pct"/>
            <w:vAlign w:val="center"/>
          </w:tcPr>
          <w:p w14:paraId="79E274CF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150.00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130.00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185.00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)</w:t>
            </w:r>
          </w:p>
        </w:tc>
        <w:tc>
          <w:tcPr>
            <w:tcW w:w="1379" w:type="pct"/>
            <w:vAlign w:val="center"/>
          </w:tcPr>
          <w:p w14:paraId="2AEBD1D0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124.00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97.19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148.47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)</w:t>
            </w:r>
          </w:p>
        </w:tc>
        <w:tc>
          <w:tcPr>
            <w:tcW w:w="612" w:type="pct"/>
            <w:vAlign w:val="center"/>
          </w:tcPr>
          <w:p w14:paraId="63D3BB95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 w14:paraId="00DCEFA0">
        <w:trPr>
          <w:trHeight w:val="471" w:hRule="atLeast"/>
        </w:trPr>
        <w:tc>
          <w:tcPr>
            <w:tcW w:w="1508" w:type="pct"/>
            <w:shd w:val="clear" w:color="auto" w:fill="auto"/>
            <w:vAlign w:val="center"/>
          </w:tcPr>
          <w:p w14:paraId="22E11C9E">
            <w:pPr>
              <w:spacing w:line="240" w:lineRule="auto"/>
              <w:jc w:val="left"/>
              <w:rPr>
                <w:rFonts w:hint="default" w:ascii="Times New Roman Regular" w:hAnsi="Times New Roman Regular" w:eastAsia="Times New Roman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RACHS-1</w:t>
            </w:r>
          </w:p>
        </w:tc>
        <w:tc>
          <w:tcPr>
            <w:tcW w:w="1500" w:type="pct"/>
            <w:vAlign w:val="center"/>
          </w:tcPr>
          <w:p w14:paraId="270611C9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  <w:tc>
          <w:tcPr>
            <w:tcW w:w="1379" w:type="pct"/>
            <w:vAlign w:val="center"/>
          </w:tcPr>
          <w:p w14:paraId="2EAB99AE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  <w:tc>
          <w:tcPr>
            <w:tcW w:w="612" w:type="pct"/>
            <w:vAlign w:val="center"/>
          </w:tcPr>
          <w:p w14:paraId="035F1838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0</w:t>
            </w:r>
          </w:p>
        </w:tc>
      </w:tr>
      <w:tr w14:paraId="3D4871E2">
        <w:trPr>
          <w:trHeight w:val="471" w:hRule="atLeast"/>
        </w:trPr>
        <w:tc>
          <w:tcPr>
            <w:tcW w:w="1508" w:type="pct"/>
            <w:shd w:val="clear" w:color="auto" w:fill="auto"/>
            <w:vAlign w:val="center"/>
          </w:tcPr>
          <w:p w14:paraId="06FC5DF6">
            <w:pPr>
              <w:spacing w:line="240" w:lineRule="auto"/>
              <w:jc w:val="center"/>
              <w:rPr>
                <w:rFonts w:hint="default" w:ascii="Times New Roman Regular" w:hAnsi="Times New Roman Regular" w:eastAsia="Times New Roman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1</w:t>
            </w:r>
          </w:p>
        </w:tc>
        <w:tc>
          <w:tcPr>
            <w:tcW w:w="1500" w:type="pct"/>
            <w:vAlign w:val="center"/>
          </w:tcPr>
          <w:p w14:paraId="619044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(0.51%)</w:t>
            </w:r>
          </w:p>
        </w:tc>
        <w:tc>
          <w:tcPr>
            <w:tcW w:w="1379" w:type="pct"/>
            <w:vAlign w:val="center"/>
          </w:tcPr>
          <w:p w14:paraId="2BC81D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 (4.32%)</w:t>
            </w:r>
          </w:p>
        </w:tc>
        <w:tc>
          <w:tcPr>
            <w:tcW w:w="612" w:type="pct"/>
            <w:vAlign w:val="center"/>
          </w:tcPr>
          <w:p w14:paraId="3028B6FA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</w:tr>
      <w:tr w14:paraId="5491F738">
        <w:trPr>
          <w:trHeight w:val="471" w:hRule="atLeast"/>
        </w:trPr>
        <w:tc>
          <w:tcPr>
            <w:tcW w:w="1508" w:type="pct"/>
            <w:shd w:val="clear" w:color="auto" w:fill="auto"/>
            <w:vAlign w:val="center"/>
          </w:tcPr>
          <w:p w14:paraId="07B04697">
            <w:pPr>
              <w:spacing w:line="240" w:lineRule="auto"/>
              <w:jc w:val="center"/>
              <w:rPr>
                <w:rFonts w:hint="default" w:ascii="Times New Roman Regular" w:hAnsi="Times New Roman Regular" w:eastAsia="Times New Roman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2</w:t>
            </w:r>
          </w:p>
        </w:tc>
        <w:tc>
          <w:tcPr>
            <w:tcW w:w="1500" w:type="pct"/>
            <w:vAlign w:val="center"/>
          </w:tcPr>
          <w:p w14:paraId="676B13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2277 (96.16%)</w:t>
            </w:r>
          </w:p>
        </w:tc>
        <w:tc>
          <w:tcPr>
            <w:tcW w:w="1379" w:type="pct"/>
            <w:vAlign w:val="center"/>
          </w:tcPr>
          <w:p w14:paraId="5D795C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 (87.51%)</w:t>
            </w:r>
          </w:p>
        </w:tc>
        <w:tc>
          <w:tcPr>
            <w:tcW w:w="612" w:type="pct"/>
            <w:vAlign w:val="center"/>
          </w:tcPr>
          <w:p w14:paraId="6583B9F0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</w:tr>
      <w:tr w14:paraId="612E0A6F">
        <w:trPr>
          <w:trHeight w:val="471" w:hRule="atLeast"/>
        </w:trPr>
        <w:tc>
          <w:tcPr>
            <w:tcW w:w="1508" w:type="pct"/>
            <w:shd w:val="clear" w:color="auto" w:fill="auto"/>
            <w:vAlign w:val="center"/>
          </w:tcPr>
          <w:p w14:paraId="75FA5170">
            <w:pPr>
              <w:spacing w:line="240" w:lineRule="auto"/>
              <w:jc w:val="center"/>
              <w:rPr>
                <w:rFonts w:hint="default" w:ascii="Times New Roman Regular" w:hAnsi="Times New Roman Regular" w:eastAsia="Times New Roman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3</w:t>
            </w:r>
          </w:p>
        </w:tc>
        <w:tc>
          <w:tcPr>
            <w:tcW w:w="1500" w:type="pct"/>
            <w:vAlign w:val="center"/>
          </w:tcPr>
          <w:p w14:paraId="3B1AE1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 (2.32%)</w:t>
            </w:r>
          </w:p>
        </w:tc>
        <w:tc>
          <w:tcPr>
            <w:tcW w:w="1379" w:type="pct"/>
            <w:vAlign w:val="center"/>
          </w:tcPr>
          <w:p w14:paraId="04DA10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 (6.24%)</w:t>
            </w:r>
          </w:p>
        </w:tc>
        <w:tc>
          <w:tcPr>
            <w:tcW w:w="612" w:type="pct"/>
            <w:vAlign w:val="center"/>
          </w:tcPr>
          <w:p w14:paraId="6C3BBA99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</w:tr>
      <w:tr w14:paraId="1B036372">
        <w:trPr>
          <w:trHeight w:val="471" w:hRule="atLeast"/>
        </w:trPr>
        <w:tc>
          <w:tcPr>
            <w:tcW w:w="1508" w:type="pct"/>
            <w:shd w:val="clear" w:color="auto" w:fill="auto"/>
            <w:vAlign w:val="center"/>
          </w:tcPr>
          <w:p w14:paraId="4609B166">
            <w:pPr>
              <w:spacing w:line="240" w:lineRule="auto"/>
              <w:jc w:val="center"/>
              <w:rPr>
                <w:rFonts w:hint="default" w:ascii="Times New Roman Regular" w:hAnsi="Times New Roman Regular" w:eastAsia="Times New Roman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4</w:t>
            </w:r>
          </w:p>
        </w:tc>
        <w:tc>
          <w:tcPr>
            <w:tcW w:w="1500" w:type="pct"/>
            <w:vAlign w:val="center"/>
          </w:tcPr>
          <w:p w14:paraId="2010F0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 (0.76%)</w:t>
            </w:r>
          </w:p>
        </w:tc>
        <w:tc>
          <w:tcPr>
            <w:tcW w:w="1379" w:type="pct"/>
            <w:vAlign w:val="center"/>
          </w:tcPr>
          <w:p w14:paraId="1FA8E7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(1.06%)</w:t>
            </w:r>
          </w:p>
        </w:tc>
        <w:tc>
          <w:tcPr>
            <w:tcW w:w="612" w:type="pct"/>
            <w:vAlign w:val="center"/>
          </w:tcPr>
          <w:p w14:paraId="50689ADC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</w:tr>
      <w:tr w14:paraId="10CCF024">
        <w:trPr>
          <w:trHeight w:val="471" w:hRule="atLeast"/>
        </w:trPr>
        <w:tc>
          <w:tcPr>
            <w:tcW w:w="1508" w:type="pct"/>
            <w:shd w:val="clear" w:color="auto" w:fill="auto"/>
            <w:vAlign w:val="center"/>
          </w:tcPr>
          <w:p w14:paraId="1F23E663">
            <w:pPr>
              <w:spacing w:line="240" w:lineRule="auto"/>
              <w:jc w:val="center"/>
              <w:rPr>
                <w:rFonts w:hint="default" w:ascii="Times New Roman Regular" w:hAnsi="Times New Roman Regular" w:eastAsia="Times New Roman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5</w:t>
            </w:r>
          </w:p>
        </w:tc>
        <w:tc>
          <w:tcPr>
            <w:tcW w:w="1500" w:type="pct"/>
            <w:vAlign w:val="center"/>
          </w:tcPr>
          <w:p w14:paraId="44C04D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(0.17%)</w:t>
            </w:r>
          </w:p>
        </w:tc>
        <w:tc>
          <w:tcPr>
            <w:tcW w:w="1379" w:type="pct"/>
            <w:vAlign w:val="center"/>
          </w:tcPr>
          <w:p w14:paraId="718256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(0.77%)</w:t>
            </w:r>
          </w:p>
        </w:tc>
        <w:tc>
          <w:tcPr>
            <w:tcW w:w="612" w:type="pct"/>
            <w:vAlign w:val="center"/>
          </w:tcPr>
          <w:p w14:paraId="4071A23E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</w:tr>
      <w:tr w14:paraId="2B643E87">
        <w:trPr>
          <w:trHeight w:val="471" w:hRule="atLeast"/>
        </w:trPr>
        <w:tc>
          <w:tcPr>
            <w:tcW w:w="1508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5F99880">
            <w:pPr>
              <w:spacing w:line="240" w:lineRule="auto"/>
              <w:jc w:val="center"/>
              <w:rPr>
                <w:rFonts w:hint="default" w:ascii="Times New Roman Regular" w:hAnsi="Times New Roman Regular" w:eastAsia="Times New Roman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4"/>
                <w:szCs w:val="24"/>
              </w:rPr>
              <w:t>6</w:t>
            </w:r>
          </w:p>
        </w:tc>
        <w:tc>
          <w:tcPr>
            <w:tcW w:w="1500" w:type="pct"/>
            <w:tcBorders>
              <w:bottom w:val="single" w:color="auto" w:sz="12" w:space="0"/>
            </w:tcBorders>
            <w:vAlign w:val="center"/>
          </w:tcPr>
          <w:p w14:paraId="303FB6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(0.08%)</w:t>
            </w:r>
          </w:p>
        </w:tc>
        <w:tc>
          <w:tcPr>
            <w:tcW w:w="1379" w:type="pct"/>
            <w:tcBorders>
              <w:bottom w:val="single" w:color="auto" w:sz="12" w:space="0"/>
            </w:tcBorders>
            <w:vAlign w:val="center"/>
          </w:tcPr>
          <w:p w14:paraId="606E70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(0.10%)</w:t>
            </w:r>
          </w:p>
        </w:tc>
        <w:tc>
          <w:tcPr>
            <w:tcW w:w="612" w:type="pct"/>
            <w:tcBorders>
              <w:bottom w:val="single" w:color="auto" w:sz="12" w:space="0"/>
            </w:tcBorders>
            <w:vAlign w:val="center"/>
          </w:tcPr>
          <w:p w14:paraId="31C12056"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</w:tr>
      <w:tr w14:paraId="159BA4D5">
        <w:trPr>
          <w:trHeight w:val="471" w:hRule="atLeast"/>
        </w:trPr>
        <w:tc>
          <w:tcPr>
            <w:tcW w:w="5000" w:type="pct"/>
            <w:gridSpan w:val="4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C69E894">
            <w:pPr>
              <w:spacing w:line="240" w:lineRule="auto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 xml:space="preserve">Continuous data 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>are presented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 xml:space="preserve"> as mean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 xml:space="preserve"> (standard deviation)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 xml:space="preserve"> or median (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>interquartile range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>)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 xml:space="preserve"> depending on their distribution.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>C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 xml:space="preserve">ategorical data 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>are expressed as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 xml:space="preserve"> number (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>percentage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 xml:space="preserve">). </w:t>
            </w:r>
            <w:r>
              <w:rPr>
                <w:rFonts w:hint="eastAsia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 xml:space="preserve">tatistical significance for comparisons between </w:t>
            </w:r>
            <w:r>
              <w:rPr>
                <w:rFonts w:hint="eastAsia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/>
              </w:rPr>
              <w:t>training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 xml:space="preserve"> and </w:t>
            </w:r>
            <w:r>
              <w:rPr>
                <w:rFonts w:hint="eastAsia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/>
              </w:rPr>
              <w:t>external validation cohorts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 xml:space="preserve"> was set at a two sided 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>P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 xml:space="preserve"> value 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>&lt;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>0.05</w:t>
            </w:r>
            <w:r>
              <w:rPr>
                <w:rFonts w:hint="eastAsia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>RACHS-1, t</w:t>
            </w: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4"/>
                <w:szCs w:val="24"/>
              </w:rPr>
              <w:t>he Risk Adjustment in Congenital Heart Surgery.</w:t>
            </w:r>
            <w:bookmarkStart w:id="0" w:name="_GoBack"/>
            <w:bookmarkEnd w:id="0"/>
          </w:p>
        </w:tc>
      </w:tr>
    </w:tbl>
    <w:p w14:paraId="375173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B6A1B"/>
    <w:rsid w:val="1B9B6A1B"/>
    <w:rsid w:val="57F7A153"/>
    <w:rsid w:val="C6FF615F"/>
    <w:rsid w:val="F77D9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2026-01-02T15:28:00Z</dcterms:created>
  <dc:creator>anjia</dc:creator>
  <cp:lastModifiedBy>anjia</cp:lastModifiedBy>
  <dcterms:modified xsi:type="dcterms:W3CDTF">2026-01-05T14:44:29Z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CD43BFEEE38D7099907357694E4BE8D0_41</vt:lpwstr>
  </property>
</Properties>
</file>