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 Regular" w:hAnsi="Times New Roman Regular" w:cs="Times New Roman Regular"/>
          <w:b/>
          <w:bCs/>
          <w:sz w:val="24"/>
          <w:highlight w:val="none"/>
        </w:rPr>
      </w:pPr>
      <w:r>
        <w:rPr>
          <w:rFonts w:hint="default" w:ascii="Times New Roman Regular" w:hAnsi="Times New Roman Regular" w:cs="Times New Roman Regular"/>
          <w:b/>
          <w:bCs/>
          <w:sz w:val="24"/>
          <w:highlight w:val="none"/>
        </w:rPr>
        <w:t>Supplementary Materials</w:t>
      </w:r>
    </w:p>
    <w:p>
      <w:pPr>
        <w:spacing w:line="480" w:lineRule="exact"/>
        <w:rPr>
          <w:rFonts w:hint="default" w:ascii="Times New Roman Regular" w:hAnsi="Times New Roman Regular" w:eastAsia="宋体" w:cs="Times New Roman Regular"/>
          <w:b/>
          <w:bCs/>
          <w:sz w:val="18"/>
          <w:szCs w:val="18"/>
          <w:highlight w:val="none"/>
        </w:rPr>
      </w:pPr>
    </w:p>
    <w:p>
      <w:pPr>
        <w:spacing w:line="480" w:lineRule="exact"/>
        <w:rPr>
          <w:rFonts w:hint="default" w:ascii="Times New Roman Regular" w:hAnsi="Times New Roman Regular" w:eastAsia="宋体" w:cs="Times New Roman Regular"/>
          <w:b/>
          <w:bCs/>
          <w:sz w:val="24"/>
          <w:szCs w:val="24"/>
          <w:highlight w:val="none"/>
        </w:rPr>
      </w:pPr>
      <w:r>
        <w:rPr>
          <w:rFonts w:hint="default" w:ascii="Times New Roman Regular" w:hAnsi="Times New Roman Regular" w:eastAsia="宋体" w:cs="Times New Roman Regular"/>
          <w:b/>
          <w:bCs/>
          <w:sz w:val="24"/>
          <w:szCs w:val="24"/>
          <w:highlight w:val="none"/>
        </w:rPr>
        <w:t>Supplementary Table 1:</w:t>
      </w:r>
      <w:r>
        <w:rPr>
          <w:rFonts w:hint="default" w:ascii="Times New Roman Regular" w:hAnsi="Times New Roman Regular" w:cs="Times New Roman Regular"/>
          <w:b/>
          <w:sz w:val="24"/>
          <w:szCs w:val="24"/>
          <w:highlight w:val="none"/>
        </w:rPr>
        <w:t xml:space="preserve"> RT-PCR primers.</w:t>
      </w:r>
    </w:p>
    <w:tbl>
      <w:tblPr>
        <w:tblStyle w:val="3"/>
        <w:tblW w:w="850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3544"/>
        <w:gridCol w:w="3543"/>
      </w:tblGrid>
      <w:tr>
        <w:tc>
          <w:tcPr>
            <w:tcW w:w="1418" w:type="dxa"/>
            <w:tcBorders>
              <w:top w:val="single" w:color="auto" w:sz="8" w:space="0"/>
              <w:bottom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auto"/>
                <w:sz w:val="18"/>
                <w:szCs w:val="18"/>
                <w:highlight w:val="none"/>
              </w:rPr>
              <w:t>Mouse</w:t>
            </w: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auto"/>
                <w:sz w:val="18"/>
                <w:szCs w:val="18"/>
                <w:highlight w:val="none"/>
                <w:lang w:val="en-US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auto"/>
                <w:sz w:val="18"/>
                <w:szCs w:val="18"/>
                <w:highlight w:val="none"/>
              </w:rPr>
              <w:t>(gene)</w:t>
            </w:r>
          </w:p>
        </w:tc>
        <w:tc>
          <w:tcPr>
            <w:tcW w:w="3544" w:type="dxa"/>
            <w:tcBorders>
              <w:top w:val="single" w:color="auto" w:sz="8" w:space="0"/>
              <w:bottom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auto"/>
                <w:sz w:val="18"/>
                <w:szCs w:val="18"/>
                <w:highlight w:val="none"/>
              </w:rPr>
              <w:t>Forward Primer</w:t>
            </w:r>
          </w:p>
        </w:tc>
        <w:tc>
          <w:tcPr>
            <w:tcW w:w="3543" w:type="dxa"/>
            <w:tcBorders>
              <w:top w:val="single" w:color="auto" w:sz="8" w:space="0"/>
              <w:bottom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auto"/>
                <w:sz w:val="18"/>
                <w:szCs w:val="18"/>
                <w:highlight w:val="none"/>
              </w:rPr>
              <w:t>Reverse Primer</w:t>
            </w:r>
          </w:p>
        </w:tc>
      </w:tr>
      <w:tr>
        <w:tc>
          <w:tcPr>
            <w:tcW w:w="1418" w:type="dxa"/>
            <w:tcBorders>
              <w:top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</w:rPr>
            </w:pPr>
            <w:r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</w:rPr>
              <w:t>DDR2</w:t>
            </w:r>
          </w:p>
        </w:tc>
        <w:tc>
          <w:tcPr>
            <w:tcW w:w="3544" w:type="dxa"/>
            <w:tcBorders>
              <w:top w:val="single" w:color="auto" w:sz="8" w:space="0"/>
            </w:tcBorders>
          </w:tcPr>
          <w:p>
            <w:pPr>
              <w:spacing w:line="480" w:lineRule="exact"/>
              <w:ind w:right="-250" w:rightChars="-119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5’GCTCTTGCTCATCCTGGGTT’3</w:t>
            </w:r>
          </w:p>
        </w:tc>
        <w:tc>
          <w:tcPr>
            <w:tcW w:w="3543" w:type="dxa"/>
            <w:tcBorders>
              <w:top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5’TCGGGTTGCACTGGAATCTC’3</w:t>
            </w:r>
          </w:p>
        </w:tc>
      </w:tr>
      <w:tr>
        <w:tc>
          <w:tcPr>
            <w:tcW w:w="1418" w:type="dxa"/>
          </w:tcPr>
          <w:p>
            <w:pPr>
              <w:spacing w:line="480" w:lineRule="exact"/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</w:rPr>
            </w:pPr>
            <w:r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</w:rPr>
              <w:t>S</w:t>
            </w:r>
            <w:r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  <w:lang w:val="en-US" w:eastAsia="zh-CN"/>
              </w:rPr>
              <w:t>rebp</w:t>
            </w:r>
            <w:r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</w:rPr>
              <w:t>1-c</w:t>
            </w:r>
          </w:p>
        </w:tc>
        <w:tc>
          <w:tcPr>
            <w:tcW w:w="3544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5’GGAGCCATGGATTGCACATT’3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5’GGCCCGGGAAGTCACTGT’3</w:t>
            </w:r>
          </w:p>
        </w:tc>
      </w:tr>
      <w:tr>
        <w:tc>
          <w:tcPr>
            <w:tcW w:w="1418" w:type="dxa"/>
          </w:tcPr>
          <w:p>
            <w:pPr>
              <w:spacing w:line="480" w:lineRule="exact"/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  <w:lang w:val="en-US"/>
              </w:rPr>
            </w:pPr>
            <w:r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</w:rPr>
              <w:t>F</w:t>
            </w:r>
            <w:r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  <w:lang w:val="en-US"/>
              </w:rPr>
              <w:t>asn</w:t>
            </w:r>
          </w:p>
        </w:tc>
        <w:tc>
          <w:tcPr>
            <w:tcW w:w="3544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5’GCTGCGGAAACTTCAGGAAAT’3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5’AGAGACGTGTCACTCCTGGACTT’3</w:t>
            </w:r>
          </w:p>
        </w:tc>
      </w:tr>
      <w:tr>
        <w:tc>
          <w:tcPr>
            <w:tcW w:w="1418" w:type="dxa"/>
          </w:tcPr>
          <w:p>
            <w:pPr>
              <w:spacing w:line="480" w:lineRule="exact"/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</w:rPr>
            </w:pPr>
            <w:r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</w:rPr>
              <w:t>S</w:t>
            </w:r>
            <w:r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  <w:lang w:val="en-US"/>
              </w:rPr>
              <w:t>cd</w:t>
            </w:r>
            <w:r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</w:rPr>
              <w:t>-1</w:t>
            </w:r>
          </w:p>
        </w:tc>
        <w:tc>
          <w:tcPr>
            <w:tcW w:w="3544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5’CTGCACCTCCCTCCGGAAAT’3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5’TCCTCCAGACGTACTCCAGC’3</w:t>
            </w:r>
          </w:p>
        </w:tc>
      </w:tr>
      <w:tr>
        <w:tc>
          <w:tcPr>
            <w:tcW w:w="1418" w:type="dxa"/>
          </w:tcPr>
          <w:p>
            <w:pPr>
              <w:spacing w:line="480" w:lineRule="exact"/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  <w:lang w:val="en-US"/>
              </w:rPr>
            </w:pPr>
            <w:r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</w:rPr>
              <w:t>A</w:t>
            </w:r>
            <w:r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  <w:lang w:val="en-US"/>
              </w:rPr>
              <w:t>cc</w:t>
            </w:r>
          </w:p>
        </w:tc>
        <w:tc>
          <w:tcPr>
            <w:tcW w:w="3544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5’AGGAAGATGGCGTCCGCTCTG’3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5’GGTGAGATGTGCTGGGTCAT’3</w:t>
            </w:r>
          </w:p>
        </w:tc>
      </w:tr>
      <w:tr>
        <w:tc>
          <w:tcPr>
            <w:tcW w:w="1418" w:type="dxa"/>
          </w:tcPr>
          <w:p>
            <w:pPr>
              <w:spacing w:line="480" w:lineRule="exact"/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</w:rPr>
            </w:pPr>
            <w:r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</w:rPr>
              <w:t>36B4</w:t>
            </w:r>
          </w:p>
        </w:tc>
        <w:tc>
          <w:tcPr>
            <w:tcW w:w="3544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5’ATCCCTGACGCACCGCCGTGA’3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5’TGCATCTGCTTGGAGCCCACGTT’3</w:t>
            </w:r>
          </w:p>
        </w:tc>
      </w:tr>
      <w:tr>
        <w:tc>
          <w:tcPr>
            <w:tcW w:w="1418" w:type="dxa"/>
            <w:tcBorders>
              <w:bottom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</w:rPr>
            </w:pPr>
            <w:r>
              <w:rPr>
                <w:rFonts w:hint="default" w:ascii="Times New Roman Bold Italic" w:hAnsi="Times New Roman Bold Italic" w:eastAsia="宋体" w:cs="Times New Roman Bold Italic"/>
                <w:b/>
                <w:bCs/>
                <w:i/>
                <w:iCs/>
                <w:sz w:val="18"/>
                <w:szCs w:val="18"/>
                <w:highlight w:val="none"/>
              </w:rPr>
              <w:t>shDDR2</w:t>
            </w:r>
          </w:p>
        </w:tc>
        <w:tc>
          <w:tcPr>
            <w:tcW w:w="3544" w:type="dxa"/>
            <w:tcBorders>
              <w:bottom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>5’GGCCACACGAAACTGTTTATT-3’</w:t>
            </w:r>
          </w:p>
        </w:tc>
        <w:tc>
          <w:tcPr>
            <w:tcW w:w="3543" w:type="dxa"/>
            <w:tcBorders>
              <w:bottom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>5’UAAACAGTTTCGTGTGGCCTT-3’</w:t>
            </w:r>
          </w:p>
        </w:tc>
      </w:tr>
    </w:tbl>
    <w:p>
      <w:pPr>
        <w:rPr>
          <w:rFonts w:hint="default" w:ascii="Times New Roman Regular" w:hAnsi="Times New Roman Regular" w:cs="Times New Roman Regular"/>
          <w:b/>
          <w:bCs/>
          <w:sz w:val="18"/>
          <w:szCs w:val="18"/>
          <w:highlight w:val="none"/>
        </w:rPr>
      </w:pPr>
    </w:p>
    <w:p>
      <w:pPr>
        <w:rPr>
          <w:rFonts w:hint="default" w:ascii="Times New Roman Regular" w:hAnsi="Times New Roman Regular" w:cs="Times New Roman Regular"/>
          <w:b/>
          <w:bCs/>
          <w:sz w:val="18"/>
          <w:szCs w:val="18"/>
          <w:highlight w:val="none"/>
        </w:rPr>
      </w:pPr>
    </w:p>
    <w:p>
      <w:pPr>
        <w:spacing w:line="480" w:lineRule="exact"/>
        <w:rPr>
          <w:rFonts w:hint="default" w:ascii="Times New Roman Regular" w:hAnsi="Times New Roman Regular" w:eastAsia="宋体" w:cs="Times New Roman Regular"/>
          <w:b/>
          <w:bCs/>
          <w:sz w:val="24"/>
          <w:szCs w:val="24"/>
          <w:highlight w:val="none"/>
        </w:rPr>
      </w:pPr>
      <w:r>
        <w:rPr>
          <w:rFonts w:hint="default" w:ascii="Times New Roman Regular" w:hAnsi="Times New Roman Regular" w:eastAsia="宋体" w:cs="Times New Roman Regular"/>
          <w:b/>
          <w:bCs/>
          <w:sz w:val="24"/>
          <w:szCs w:val="24"/>
          <w:highlight w:val="none"/>
        </w:rPr>
        <w:t>Supplementary Table 2</w:t>
      </w:r>
    </w:p>
    <w:tbl>
      <w:tblPr>
        <w:tblStyle w:val="3"/>
        <w:tblW w:w="850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2552"/>
        <w:gridCol w:w="3543"/>
      </w:tblGrid>
      <w:tr>
        <w:tc>
          <w:tcPr>
            <w:tcW w:w="2410" w:type="dxa"/>
            <w:tcBorders>
              <w:top w:val="single" w:color="auto" w:sz="8" w:space="0"/>
              <w:bottom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sz w:val="18"/>
                <w:szCs w:val="18"/>
                <w:highlight w:val="none"/>
              </w:rPr>
              <w:t>ANTIBODIES</w:t>
            </w:r>
          </w:p>
        </w:tc>
        <w:tc>
          <w:tcPr>
            <w:tcW w:w="2552" w:type="dxa"/>
            <w:tcBorders>
              <w:top w:val="single" w:color="auto" w:sz="8" w:space="0"/>
              <w:bottom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sz w:val="18"/>
                <w:szCs w:val="18"/>
                <w:highlight w:val="none"/>
              </w:rPr>
              <w:t>SOURCE</w:t>
            </w:r>
          </w:p>
        </w:tc>
        <w:tc>
          <w:tcPr>
            <w:tcW w:w="3543" w:type="dxa"/>
            <w:tcBorders>
              <w:top w:val="single" w:color="auto" w:sz="8" w:space="0"/>
              <w:bottom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sz w:val="18"/>
                <w:szCs w:val="18"/>
                <w:highlight w:val="none"/>
              </w:rPr>
              <w:t>IDENTIFIER</w:t>
            </w:r>
          </w:p>
        </w:tc>
      </w:tr>
      <w:tr>
        <w:tc>
          <w:tcPr>
            <w:tcW w:w="2410" w:type="dxa"/>
            <w:tcBorders>
              <w:top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anti-β-actin</w:t>
            </w:r>
          </w:p>
        </w:tc>
        <w:tc>
          <w:tcPr>
            <w:tcW w:w="2552" w:type="dxa"/>
            <w:tcBorders>
              <w:top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Cell Signaling Technology</w:t>
            </w:r>
          </w:p>
        </w:tc>
        <w:tc>
          <w:tcPr>
            <w:tcW w:w="3543" w:type="dxa"/>
            <w:tcBorders>
              <w:top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4970; RRID: AB_2223172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anti-p-ACC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Cell Signaling Technology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11818; 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AB_2687505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Mouse anti-ACC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Cell Signaling Technology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3676; 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AB_2219397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anti-p-AMPKα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Cell Signaling Technology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2535; 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AB_331250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anti-AMPKα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Cell Signaling Technology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5832; 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AB_10624867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anti-p-IRE1α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Cell Signaling Technology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AP0878; RRID: AB_2771207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anti-IRE1α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Cell Signaling Technology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3294; RRID: AB_823545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anti-p-eIF-2α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Cell Signaling Technology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3398; RRID: AB_2096481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anti-eIF-2α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Cell Signaling Technology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5324; RRID: AB_10692650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anti-p-SAPK/JNK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Cell Signaling Technology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4668; 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AB_823588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anti-SAPK/JNK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Cell Signaling Technology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9252; 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AB_2250373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anti-p-STAT3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Cell Signaling Technology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9131; 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AB_331586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anti-STAT3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Cell Signaling Technology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4904; 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AB_331269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anti-DDR2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ABclonal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A4296; 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AB_2863228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anti-S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  <w:lang w:val="en-US"/>
              </w:rPr>
              <w:t>cd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-1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ABclonal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A16429; RRID: AB_2772150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  <w:lang w:val="en-US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Mo</w:t>
            </w:r>
            <w:r>
              <w:rPr>
                <w:rFonts w:hint="default" w:ascii="Times New Roman Regular" w:hAnsi="Times New Roman Regular" w:eastAsia="宋体" w:cs="Times New Roman Regular"/>
                <w:sz w:val="18"/>
                <w:szCs w:val="18"/>
                <w:highlight w:val="none"/>
              </w:rPr>
              <w:t>use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 xml:space="preserve"> anti-F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  <w:lang w:val="en-US"/>
              </w:rPr>
              <w:t>asn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SANTA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sc-74540; 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AB_1121387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Mouse anti-S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  <w:lang w:val="en-US"/>
              </w:rPr>
              <w:t>rebp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-1c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SANTA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Cat#sc-13551; 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AB_628282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anti-PEPCK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Proteintech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Cat#16754-1-AP;RRID: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AB_2160031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Mouse anti-P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  <w:lang w:val="en-US"/>
              </w:rPr>
              <w:t>gc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-1α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Proteintech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Cat#66369-1; 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AB_2828002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anti-CHOP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Proteintech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Cat#15204-1-AP; 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AB_2292610</w:t>
            </w:r>
          </w:p>
        </w:tc>
      </w:tr>
      <w:tr>
        <w:tc>
          <w:tcPr>
            <w:tcW w:w="2410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Rabbit anti-F4/80</w:t>
            </w:r>
          </w:p>
        </w:tc>
        <w:tc>
          <w:tcPr>
            <w:tcW w:w="2552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Proteintech</w:t>
            </w:r>
          </w:p>
        </w:tc>
        <w:tc>
          <w:tcPr>
            <w:tcW w:w="3543" w:type="dxa"/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Cat#28463-1-AP; 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AB_2881149</w:t>
            </w:r>
          </w:p>
        </w:tc>
      </w:tr>
      <w:tr>
        <w:tc>
          <w:tcPr>
            <w:tcW w:w="2410" w:type="dxa"/>
            <w:tcBorders>
              <w:bottom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Mouse anti-Flag</w:t>
            </w:r>
          </w:p>
        </w:tc>
        <w:tc>
          <w:tcPr>
            <w:tcW w:w="2552" w:type="dxa"/>
            <w:tcBorders>
              <w:bottom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SIGMA-ALDRICH</w:t>
            </w:r>
          </w:p>
        </w:tc>
        <w:tc>
          <w:tcPr>
            <w:tcW w:w="3543" w:type="dxa"/>
            <w:tcBorders>
              <w:bottom w:val="single" w:color="auto" w:sz="8" w:space="0"/>
            </w:tcBorders>
          </w:tcPr>
          <w:p>
            <w:pPr>
              <w:spacing w:line="480" w:lineRule="exact"/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Cat# F3165; RRID:</w:t>
            </w:r>
            <w:r>
              <w:rPr>
                <w:rFonts w:hint="default" w:ascii="Times New Roman Regular" w:hAnsi="Times New Roman Regular" w:cs="Times New Roman Regular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bCs/>
                <w:sz w:val="18"/>
                <w:szCs w:val="18"/>
                <w:highlight w:val="none"/>
              </w:rPr>
              <w:t>AB_259529</w:t>
            </w:r>
          </w:p>
        </w:tc>
      </w:tr>
    </w:tbl>
    <w:p>
      <w:pPr>
        <w:rPr>
          <w:rFonts w:hint="default" w:ascii="Times New Roman Regular" w:hAnsi="Times New Roman Regular" w:cs="Times New Roman Regular"/>
          <w:b/>
          <w:bCs/>
          <w:sz w:val="18"/>
          <w:szCs w:val="18"/>
          <w:highlight w:val="none"/>
        </w:rPr>
      </w:pPr>
    </w:p>
    <w:p>
      <w:pPr>
        <w:spacing w:line="360" w:lineRule="auto"/>
        <w:rPr>
          <w:rFonts w:hint="default" w:ascii="Times New Roman Regular" w:hAnsi="Times New Roman Regular" w:cs="Times New Roman Regular"/>
          <w:b/>
          <w:bCs/>
          <w:sz w:val="18"/>
          <w:szCs w:val="18"/>
          <w:highlight w:val="none"/>
        </w:rPr>
      </w:pPr>
    </w:p>
    <w:p>
      <w:pPr>
        <w:spacing w:line="360" w:lineRule="auto"/>
        <w:rPr>
          <w:rFonts w:hint="default" w:ascii="Times New Roman Regular" w:hAnsi="Times New Roman Regular" w:cs="Times New Roman Regular"/>
          <w:b/>
          <w:bCs/>
          <w:sz w:val="18"/>
          <w:szCs w:val="18"/>
          <w:highlight w:val="none"/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  <w:t>Supplementary Fig. 1</w:t>
      </w:r>
    </w:p>
    <w:p>
      <w:pPr>
        <w:spacing w:line="360" w:lineRule="auto"/>
        <w:jc w:val="center"/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2822575" cy="1353185"/>
            <wp:effectExtent l="0" t="0" r="22225" b="18415"/>
            <wp:docPr id="2" name="图片 2" descr="S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F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22575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  <w:t>Effect of overexpression of DDR2 on gluconeogenesis-related genes</w:t>
      </w:r>
    </w:p>
    <w:p>
      <w:pPr>
        <w:spacing w:line="360" w:lineRule="auto"/>
        <w:jc w:val="center"/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Times New Roman Regular" w:hAnsi="Times New Roman Regular" w:eastAsia="宋体" w:cs="Times New Roman Regular"/>
          <w:b/>
          <w:bCs/>
          <w:color w:val="000000"/>
          <w:spacing w:val="3"/>
          <w:kern w:val="2"/>
          <w:sz w:val="24"/>
          <w:szCs w:val="24"/>
          <w:highlight w:val="none"/>
        </w:rPr>
      </w:pPr>
      <w:r>
        <w:rPr>
          <w:rFonts w:hint="default" w:ascii="Times New Roman Regular" w:hAnsi="Times New Roman Regular" w:eastAsia="宋体" w:cs="Times New Roman Regular"/>
          <w:b/>
          <w:bCs/>
          <w:color w:val="000000"/>
          <w:spacing w:val="3"/>
          <w:kern w:val="2"/>
          <w:sz w:val="24"/>
          <w:szCs w:val="24"/>
          <w:highlight w:val="none"/>
          <w:lang w:val="en-US" w:eastAsia="zh-CN" w:bidi="ar"/>
        </w:rPr>
        <w:t xml:space="preserve">Supplementary Fig. </w:t>
      </w:r>
      <w:r>
        <w:rPr>
          <w:rFonts w:hint="eastAsia" w:ascii="Times New Roman Regular" w:hAnsi="Times New Roman Regular" w:eastAsia="Times New Roman Regular" w:cs="Times New Roman Regular"/>
          <w:b/>
          <w:bCs/>
          <w:color w:val="000000"/>
          <w:spacing w:val="3"/>
          <w:kern w:val="2"/>
          <w:sz w:val="24"/>
          <w:szCs w:val="24"/>
          <w:highlight w:val="none"/>
          <w:lang w:val="en-US" w:eastAsia="zh-CN" w:bidi="ar"/>
        </w:rPr>
        <w:t>2</w:t>
      </w:r>
      <w:bookmarkStart w:id="1" w:name="_GoBack"/>
      <w:bookmarkEnd w:id="1"/>
    </w:p>
    <w:p>
      <w:pPr>
        <w:rPr>
          <w:rFonts w:hint="default" w:ascii="Times New Roman Regular" w:hAnsi="Times New Roman Regular" w:cs="Times New Roman Regular"/>
          <w:highlight w:val="none"/>
        </w:rPr>
      </w:pPr>
    </w:p>
    <w:p>
      <w:pPr>
        <w:jc w:val="center"/>
        <w:rPr>
          <w:rFonts w:hint="default" w:ascii="Times New Roman Regular" w:hAnsi="Times New Roman Regular" w:cs="Times New Roman Regular"/>
          <w:highlight w:val="none"/>
          <w:lang w:val="en-US"/>
        </w:rPr>
      </w:pPr>
      <w:r>
        <w:rPr>
          <w:rFonts w:hint="default" w:ascii="Times New Roman Regular" w:hAnsi="Times New Roman Regular" w:cs="Times New Roman Regular"/>
          <w:highlight w:val="none"/>
          <w:lang w:val="en-US"/>
        </w:rPr>
        <w:drawing>
          <wp:inline distT="0" distB="0" distL="114300" distR="114300">
            <wp:extent cx="3197225" cy="1405255"/>
            <wp:effectExtent l="0" t="0" r="3175" b="17145"/>
            <wp:docPr id="4" name="图片 4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未标题-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7225" cy="140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Times New Roman Bold" w:hAnsi="Times New Roman Bold" w:cs="Times New Roman Bold" w:eastAsia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default" w:ascii="Times New Roman Bold" w:hAnsi="Times New Roman Bold" w:cs="Times New Roman Bold"/>
          <w:b/>
          <w:bCs/>
          <w:sz w:val="24"/>
          <w:szCs w:val="24"/>
          <w:highlight w:val="none"/>
          <w:lang w:val="en-US" w:eastAsia="zh-CN"/>
        </w:rPr>
        <w:t>Overexpression of DDR2 on AMPK Upstream Kinases</w:t>
      </w:r>
    </w:p>
    <w:p>
      <w:pPr>
        <w:spacing w:line="360" w:lineRule="auto"/>
        <w:jc w:val="center"/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  <w:t>Supplementary Fig.</w:t>
      </w:r>
      <w:r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3</w:t>
      </w:r>
      <w:r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pacing w:line="360" w:lineRule="auto"/>
        <w:jc w:val="center"/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2520950" cy="1987550"/>
            <wp:effectExtent l="0" t="0" r="19050" b="19050"/>
            <wp:docPr id="3" name="图片 3" descr="未标题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未标题-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98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The effect of DDR2 overexpression on body weight and liver weight in </w:t>
      </w:r>
      <w:r>
        <w:rPr>
          <w:rFonts w:hint="default" w:ascii="Times New Roman Bold Italic" w:hAnsi="Times New Roman Bold Italic" w:eastAsia="宋体" w:cs="Times New Roman Bold Italic"/>
          <w:b/>
          <w:bCs/>
          <w:i/>
          <w:i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db/db</w:t>
      </w:r>
      <w:r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mice</w:t>
      </w:r>
    </w:p>
    <w:p>
      <w:pPr>
        <w:spacing w:line="360" w:lineRule="auto"/>
        <w:jc w:val="both"/>
        <w:rPr>
          <w:rFonts w:hint="eastAsia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(</w:t>
      </w:r>
      <w:r>
        <w:rPr>
          <w:rFonts w:hint="eastAsia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A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)</w:t>
      </w:r>
      <w:r>
        <w:rPr>
          <w:rFonts w:hint="eastAsia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Initial and final body weights of </w:t>
      </w:r>
      <w:r>
        <w:rPr>
          <w:rFonts w:hint="default" w:ascii="Times New Roman Italic" w:hAnsi="Times New Roman Italic" w:eastAsia="宋体" w:cs="Times New Roman Italic"/>
          <w:b w:val="0"/>
          <w:bCs w:val="0"/>
          <w:i/>
          <w:i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db/db</w:t>
      </w:r>
      <w:r>
        <w:rPr>
          <w:rFonts w:hint="default" w:ascii="Times New Roman Italic" w:hAnsi="Times New Roman Italic" w:eastAsia="宋体" w:cs="Times New Roman Italic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mice. 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(</w:t>
      </w:r>
      <w:r>
        <w:rPr>
          <w:rFonts w:hint="eastAsia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B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)</w:t>
      </w:r>
      <w:r>
        <w:rPr>
          <w:rFonts w:hint="eastAsia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Liver weights of </w:t>
      </w:r>
      <w:r>
        <w:rPr>
          <w:rFonts w:hint="default" w:ascii="Times New Roman Italic" w:hAnsi="Times New Roman Italic" w:eastAsia="宋体" w:cs="Times New Roman Italic"/>
          <w:b w:val="0"/>
          <w:bCs w:val="0"/>
          <w:i/>
          <w:i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db/db</w:t>
      </w:r>
      <w:r>
        <w:rPr>
          <w:rFonts w:hint="default" w:ascii="Times New Roman Bold Italic" w:hAnsi="Times New Roman Bold Italic" w:eastAsia="宋体" w:cs="Times New Roman Bold Italic"/>
          <w:b w:val="0"/>
          <w:bCs w:val="0"/>
          <w:i/>
          <w:i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mice.</w:t>
      </w:r>
    </w:p>
    <w:p>
      <w:pPr>
        <w:spacing w:line="360" w:lineRule="auto"/>
        <w:rPr>
          <w:rStyle w:val="5"/>
          <w:rFonts w:hint="default" w:ascii="Times New Roman Regular" w:hAnsi="Times New Roman Regular" w:cs="Times New Roman Regular"/>
          <w:sz w:val="24"/>
          <w:szCs w:val="24"/>
          <w:highlight w:val="none"/>
        </w:rPr>
      </w:pPr>
    </w:p>
    <w:p>
      <w:pPr>
        <w:spacing w:line="360" w:lineRule="auto"/>
        <w:rPr>
          <w:rStyle w:val="5"/>
          <w:rFonts w:hint="default" w:ascii="Times New Roman Regular" w:hAnsi="Times New Roman Regular" w:cs="Times New Roman Regular"/>
          <w:sz w:val="24"/>
          <w:szCs w:val="24"/>
          <w:highlight w:val="none"/>
        </w:rPr>
      </w:pPr>
    </w:p>
    <w:p>
      <w:pPr>
        <w:spacing w:line="360" w:lineRule="auto"/>
        <w:rPr>
          <w:rStyle w:val="5"/>
          <w:rFonts w:hint="default" w:ascii="Times New Roman Regular" w:hAnsi="Times New Roman Regular" w:cs="Times New Roman Regular"/>
          <w:sz w:val="24"/>
          <w:szCs w:val="24"/>
          <w:highlight w:val="none"/>
        </w:rPr>
      </w:pPr>
      <w:r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  <w:t>Supplementary Fig.</w:t>
      </w:r>
      <w:r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pacing w:line="360" w:lineRule="auto"/>
        <w:jc w:val="both"/>
        <w:rPr>
          <w:rStyle w:val="5"/>
          <w:rFonts w:hint="default" w:ascii="Times New Roman Regular" w:hAnsi="Times New Roman Regular" w:cs="Times New Roman Regular"/>
          <w:sz w:val="24"/>
          <w:szCs w:val="24"/>
          <w:highlight w:val="none"/>
          <w:lang w:val="en-US"/>
        </w:rPr>
      </w:pPr>
      <w:r>
        <w:rPr>
          <w:rStyle w:val="5"/>
          <w:rFonts w:hint="default" w:ascii="Times New Roman Regular" w:hAnsi="Times New Roman Regular" w:cs="Times New Roman Regular"/>
          <w:sz w:val="24"/>
          <w:szCs w:val="24"/>
          <w:highlight w:val="none"/>
          <w:lang w:val="en-US"/>
        </w:rPr>
        <w:drawing>
          <wp:inline distT="0" distB="0" distL="114300" distR="114300">
            <wp:extent cx="5271770" cy="6767195"/>
            <wp:effectExtent l="0" t="0" r="11430" b="14605"/>
            <wp:docPr id="5" name="图片 5" descr="未标题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未标题-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76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default" w:ascii="Times New Roman Regular" w:hAnsi="Times New Roman Regular" w:eastAsia="宋体" w:cs="Times New Roman Regular"/>
          <w:color w:val="000000" w:themeColor="text1"/>
          <w:spacing w:val="3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5"/>
          <w:rFonts w:hint="default" w:ascii="Times New Roman Regular" w:hAnsi="Times New Roman Regular" w:cs="Times New Roman Regular"/>
          <w:sz w:val="24"/>
          <w:szCs w:val="24"/>
          <w:highlight w:val="none"/>
        </w:rPr>
        <w:t xml:space="preserve">Overexpression of DDR2 in the hepatic of HFD-induced obese mice reduces gluconeogenesis and TG accumulation </w:t>
      </w:r>
    </w:p>
    <w:p>
      <w:pPr>
        <w:spacing w:line="360" w:lineRule="auto"/>
        <w:rPr>
          <w:rFonts w:hint="default" w:ascii="Times New Roman Regular" w:hAnsi="Times New Roman Regular" w:cs="Times New Roman Regular"/>
          <w:sz w:val="24"/>
          <w:szCs w:val="24"/>
          <w:highlight w:val="none"/>
        </w:rPr>
      </w:pPr>
      <w:r>
        <w:rPr>
          <w:rFonts w:hint="default" w:ascii="Times New Roman Regular" w:hAnsi="Times New Roman Regular" w:cs="Times New Roman Regular"/>
          <w:sz w:val="24"/>
          <w:szCs w:val="24"/>
          <w:highlight w:val="none"/>
        </w:rPr>
        <w:t xml:space="preserve">(A) The mRNA level of DDR2 in the liver after tail vein injection of Ad-GFP or Ad-DDR2 adenovirus in HFD mice. 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  <w:lang w:val="en-US"/>
        </w:rPr>
        <w:t xml:space="preserve">(B) 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</w:rPr>
        <w:t>Weekly body weight changes in HFD mice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  <w:lang w:val="en-US"/>
        </w:rPr>
        <w:t>. (C)Liver weight in HFD mice.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  <w:lang w:val="en-US"/>
        </w:rPr>
        <w:t xml:space="preserve"> 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</w:rPr>
        <w:t>(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  <w:lang w:val="en-US"/>
        </w:rPr>
        <w:t>D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</w:rPr>
        <w:t>) Serum glucose levels were significantly reduced in mice after overexpression of DDR2. (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  <w:lang w:val="en-US"/>
        </w:rPr>
        <w:t>E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</w:rPr>
        <w:t>) Representative images of H&amp;E staining of liver sections (left). Scale bar, 50 µm; oil-red staining of liver sections. Scale bar, 50 µm; and F4/80 immunohistochemical staining of liver sections (right). Scale bar, 50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  <w:lang w:val="en-US"/>
        </w:rPr>
        <w:t xml:space="preserve"> 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</w:rPr>
        <w:t>µm. (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  <w:lang w:val="en-US"/>
        </w:rPr>
        <w:t>F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</w:rPr>
        <w:t xml:space="preserve">) The phosphorylation levels of JNK and eIF-2α and protein expression levels of CHOP in liver tissue after overexpression of DDR2. </w:t>
      </w:r>
    </w:p>
    <w:p>
      <w:pPr>
        <w:rPr>
          <w:rFonts w:hint="default" w:ascii="Times New Roman Regular" w:hAnsi="Times New Roman Regular" w:cs="Times New Roman Regular"/>
          <w:sz w:val="24"/>
          <w:szCs w:val="24"/>
          <w:highlight w:val="none"/>
        </w:rPr>
      </w:pPr>
      <w:bookmarkStart w:id="0" w:name="OLE_LINK1"/>
      <w:r>
        <w:rPr>
          <w:rFonts w:hint="default" w:ascii="Times New Roman Regular" w:hAnsi="Times New Roman Regular" w:cs="Times New Roman Regular"/>
          <w:sz w:val="24"/>
          <w:szCs w:val="24"/>
          <w:highlight w:val="none"/>
        </w:rPr>
        <w:t xml:space="preserve">Data represent the mean ± SEM. Significance was determined by t-test analysis using a univariate approach. * </w:t>
      </w:r>
      <w:r>
        <w:rPr>
          <w:rFonts w:hint="default" w:ascii="Times New Roman Regular" w:hAnsi="Times New Roman Regular" w:cs="Times New Roman Regular"/>
          <w:i/>
          <w:iCs/>
          <w:sz w:val="24"/>
          <w:szCs w:val="24"/>
          <w:highlight w:val="none"/>
        </w:rPr>
        <w:t>p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</w:rPr>
        <w:t xml:space="preserve"> &lt; 0.05, ** </w:t>
      </w:r>
      <w:r>
        <w:rPr>
          <w:rFonts w:hint="default" w:ascii="Times New Roman Regular" w:hAnsi="Times New Roman Regular" w:cs="Times New Roman Regular"/>
          <w:i/>
          <w:iCs/>
          <w:sz w:val="24"/>
          <w:szCs w:val="24"/>
          <w:highlight w:val="none"/>
        </w:rPr>
        <w:t>p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</w:rPr>
        <w:t xml:space="preserve"> &lt; 0.01, *** </w:t>
      </w:r>
      <w:r>
        <w:rPr>
          <w:rFonts w:hint="default" w:ascii="Times New Roman Regular" w:hAnsi="Times New Roman Regular" w:cs="Times New Roman Regular"/>
          <w:i/>
          <w:iCs/>
          <w:sz w:val="24"/>
          <w:szCs w:val="24"/>
          <w:highlight w:val="none"/>
        </w:rPr>
        <w:t xml:space="preserve">p </w:t>
      </w:r>
      <w:r>
        <w:rPr>
          <w:rFonts w:hint="default" w:ascii="Times New Roman Regular" w:hAnsi="Times New Roman Regular" w:cs="Times New Roman Regular"/>
          <w:sz w:val="24"/>
          <w:szCs w:val="24"/>
          <w:highlight w:val="none"/>
        </w:rPr>
        <w:t>&lt; 0.001.</w:t>
      </w:r>
      <w:bookmarkEnd w:id="0"/>
    </w:p>
    <w:p>
      <w:pPr>
        <w:rPr>
          <w:rFonts w:hint="default" w:ascii="Times New Roman Regular" w:hAnsi="Times New Roman Regular" w:cs="Times New Roman Regular"/>
          <w:highlight w:val="none"/>
          <w:lang w:val="en-US" w:eastAsia="zh-CN"/>
        </w:rPr>
      </w:pPr>
    </w:p>
    <w:p>
      <w:pPr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14:textFill>
            <w14:solidFill>
              <w14:schemeClr w14:val="tx1"/>
            </w14:solidFill>
          </w14:textFill>
        </w:rPr>
        <w:t>Supplementary Fig.</w:t>
      </w:r>
      <w:r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5</w:t>
      </w:r>
    </w:p>
    <w:p>
      <w:pPr>
        <w:spacing w:line="360" w:lineRule="auto"/>
        <w:jc w:val="center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3578225" cy="2520950"/>
            <wp:effectExtent l="0" t="0" r="3175" b="19050"/>
            <wp:docPr id="6" name="图片 6" descr="未标题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未标题-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78225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The effect of DDR2 overexpression on body weight and liver weight in </w:t>
      </w:r>
      <w:r>
        <w:rPr>
          <w:rFonts w:hint="default" w:ascii="Times New Roman Bold Italic" w:hAnsi="Times New Roman Bold Italic" w:cs="Times New Roman Bold Italic"/>
          <w:b/>
          <w:bCs/>
          <w:i/>
          <w:iCs/>
          <w:szCs w:val="24"/>
          <w:highlight w:val="none"/>
        </w:rPr>
        <w:t>C57BL/6J</w:t>
      </w:r>
      <w:r>
        <w:rPr>
          <w:rFonts w:hint="default" w:ascii="Times New Roman Bold Italic" w:hAnsi="Times New Roman Bold Italic" w:eastAsia="宋体" w:cs="Times New Roman Bold Italic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mice</w:t>
      </w:r>
    </w:p>
    <w:p>
      <w:pPr>
        <w:spacing w:line="360" w:lineRule="auto"/>
        <w:jc w:val="both"/>
        <w:rPr>
          <w:rFonts w:hint="eastAsia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(</w:t>
      </w:r>
      <w:r>
        <w:rPr>
          <w:rFonts w:hint="eastAsia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A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)</w:t>
      </w:r>
      <w:r>
        <w:rPr>
          <w:rFonts w:hint="eastAsia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Initial and final body weights of</w:t>
      </w:r>
      <w:r>
        <w:rPr>
          <w:rFonts w:hint="default" w:ascii="Times New Roman Italic" w:hAnsi="Times New Roman Italic" w:eastAsia="宋体" w:cs="Times New Roman Italic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 Italic" w:hAnsi="Times New Roman Italic" w:cs="Times New Roman Italic"/>
          <w:b w:val="0"/>
          <w:bCs w:val="0"/>
          <w:i/>
          <w:iCs/>
          <w:szCs w:val="24"/>
          <w:highlight w:val="none"/>
        </w:rPr>
        <w:t>C57BL/6J</w:t>
      </w:r>
      <w:r>
        <w:rPr>
          <w:rFonts w:hint="eastAsia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(</w:t>
      </w:r>
      <w:r>
        <w:rPr>
          <w:rFonts w:hint="eastAsia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B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)</w:t>
      </w:r>
      <w:r>
        <w:rPr>
          <w:rFonts w:hint="eastAsia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Liver weights of </w:t>
      </w:r>
      <w:r>
        <w:rPr>
          <w:rFonts w:ascii="Times New Roman Italic" w:hAnsi="Times New Roman Italic" w:cs="Times New Roman Italic"/>
          <w:i/>
          <w:iCs/>
          <w:szCs w:val="24"/>
          <w:highlight w:val="none"/>
        </w:rPr>
        <w:t>C57BL/6J</w:t>
      </w:r>
      <w:r>
        <w:rPr>
          <w:rFonts w:hint="default" w:ascii="Times New Roman Bold Italic" w:hAnsi="Times New Roman Bold Italic" w:eastAsia="宋体" w:cs="Times New Roman Bold Italic"/>
          <w:b w:val="0"/>
          <w:bCs w:val="0"/>
          <w:i/>
          <w:i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 Regular" w:hAnsi="Times New Roman Regular" w:eastAsia="宋体" w:cs="Times New Roman Regular"/>
          <w:b w:val="0"/>
          <w:bCs w:val="0"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mice.</w:t>
      </w:r>
    </w:p>
    <w:p>
      <w:pPr>
        <w:jc w:val="center"/>
        <w:rPr>
          <w:rFonts w:hint="default" w:ascii="Times New Roman Regular" w:hAnsi="Times New Roman Regular" w:eastAsia="宋体" w:cs="Times New Roman Regular"/>
          <w:b/>
          <w:bCs/>
          <w:color w:val="000000" w:themeColor="text1"/>
          <w:spacing w:val="3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Bold Italic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Bold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Italic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xZjQ5OTc0NzQ0OWQwZTJiOTEzMGIwZjU5MGYzOWMifQ=="/>
  </w:docVars>
  <w:rsids>
    <w:rsidRoot w:val="70850220"/>
    <w:rsid w:val="00AC5409"/>
    <w:rsid w:val="00D13332"/>
    <w:rsid w:val="0A525527"/>
    <w:rsid w:val="0B5866EC"/>
    <w:rsid w:val="11C42C3E"/>
    <w:rsid w:val="125D40C8"/>
    <w:rsid w:val="12891287"/>
    <w:rsid w:val="16E3480E"/>
    <w:rsid w:val="18D019BE"/>
    <w:rsid w:val="1C27223D"/>
    <w:rsid w:val="1DA63635"/>
    <w:rsid w:val="218B53BC"/>
    <w:rsid w:val="22CC785B"/>
    <w:rsid w:val="22FD3CF7"/>
    <w:rsid w:val="27006073"/>
    <w:rsid w:val="2DED9DF0"/>
    <w:rsid w:val="37113475"/>
    <w:rsid w:val="3C74072E"/>
    <w:rsid w:val="3EBA57FB"/>
    <w:rsid w:val="3EFD4A7C"/>
    <w:rsid w:val="46F34946"/>
    <w:rsid w:val="4911042D"/>
    <w:rsid w:val="4B4224A6"/>
    <w:rsid w:val="4DCE1C69"/>
    <w:rsid w:val="52D343AC"/>
    <w:rsid w:val="5E302094"/>
    <w:rsid w:val="618E18BE"/>
    <w:rsid w:val="6B1271E1"/>
    <w:rsid w:val="6E22773B"/>
    <w:rsid w:val="70850220"/>
    <w:rsid w:val="71D445A9"/>
    <w:rsid w:val="721D0945"/>
    <w:rsid w:val="73B40E35"/>
    <w:rsid w:val="74373814"/>
    <w:rsid w:val="794E3ADA"/>
    <w:rsid w:val="7FB5FFEE"/>
    <w:rsid w:val="E97FD23E"/>
    <w:rsid w:val="F5F7ED37"/>
    <w:rsid w:val="F84DC2AD"/>
    <w:rsid w:val="FB7D2015"/>
    <w:rsid w:val="FCBF00AF"/>
    <w:rsid w:val="FDEF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tiff"/><Relationship Id="rId7" Type="http://schemas.openxmlformats.org/officeDocument/2006/relationships/image" Target="media/image4.tiff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2496</Characters>
  <Lines>1</Lines>
  <Paragraphs>1</Paragraphs>
  <TotalTime>35</TotalTime>
  <ScaleCrop>false</ScaleCrop>
  <LinksUpToDate>false</LinksUpToDate>
  <CharactersWithSpaces>2928</CharactersWithSpaces>
  <Application>WPS Office_6.5.2.8766_F1E327BC-269C-435d-A152-05C5408002CA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2024-10-15T02:23:00Z</dcterms:created>
  <dc:creator>章华兵</dc:creator>
  <cp:lastModifiedBy>weixiang</cp:lastModifiedBy>
  <dcterms:modified xsi:type="dcterms:W3CDTF">2025-10-09T12:09:57Z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1B4162E42B2A47FA8EED3B31755C415D_11</vt:lpwstr>
  </property>
</Properties>
</file>