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5EAD1" w14:textId="77777777" w:rsidR="00D432DE" w:rsidRDefault="00000000">
      <w:pPr>
        <w:pStyle w:val="Body"/>
        <w:tabs>
          <w:tab w:val="left" w:pos="1455"/>
        </w:tabs>
        <w:spacing w:after="0"/>
        <w:jc w:val="center"/>
        <w:rPr>
          <w:rFonts w:ascii="Arial" w:eastAsia="Arial" w:hAnsi="Arial" w:cs="Arial"/>
          <w:b/>
          <w:bCs/>
          <w:sz w:val="28"/>
          <w:szCs w:val="28"/>
        </w:rPr>
      </w:pPr>
      <w:r>
        <w:rPr>
          <w:rFonts w:ascii="Arial" w:hAnsi="Arial"/>
          <w:b/>
          <w:bCs/>
          <w:sz w:val="28"/>
          <w:szCs w:val="28"/>
        </w:rPr>
        <w:t>Systematic identification of rare disease patients in electronic health records enables evaluation of clinical outcomes</w:t>
      </w:r>
    </w:p>
    <w:p w14:paraId="382E2A05" w14:textId="77777777" w:rsidR="00D432DE" w:rsidRDefault="00000000">
      <w:pPr>
        <w:pStyle w:val="Body"/>
        <w:tabs>
          <w:tab w:val="left" w:pos="1455"/>
        </w:tabs>
        <w:spacing w:after="0"/>
        <w:jc w:val="center"/>
        <w:rPr>
          <w:rFonts w:ascii="Arial" w:eastAsia="Arial" w:hAnsi="Arial" w:cs="Arial"/>
          <w:sz w:val="24"/>
          <w:szCs w:val="24"/>
        </w:rPr>
      </w:pPr>
      <w:r>
        <w:rPr>
          <w:rFonts w:ascii="Arial" w:hAnsi="Arial"/>
          <w:sz w:val="24"/>
          <w:szCs w:val="24"/>
        </w:rPr>
        <w:t>Arjun S. Yadaw</w:t>
      </w:r>
      <w:r>
        <w:rPr>
          <w:rFonts w:ascii="Arial" w:hAnsi="Arial"/>
          <w:sz w:val="24"/>
          <w:szCs w:val="24"/>
          <w:vertAlign w:val="superscript"/>
        </w:rPr>
        <w:t>1</w:t>
      </w:r>
      <w:r>
        <w:rPr>
          <w:rFonts w:ascii="Arial" w:hAnsi="Arial"/>
          <w:sz w:val="24"/>
          <w:szCs w:val="24"/>
        </w:rPr>
        <w:t>, Eric Sid</w:t>
      </w:r>
      <w:r>
        <w:rPr>
          <w:rFonts w:ascii="Arial" w:hAnsi="Arial"/>
          <w:sz w:val="24"/>
          <w:szCs w:val="24"/>
          <w:vertAlign w:val="superscript"/>
        </w:rPr>
        <w:t>2</w:t>
      </w:r>
      <w:r>
        <w:rPr>
          <w:rFonts w:ascii="Arial" w:hAnsi="Arial"/>
          <w:sz w:val="24"/>
          <w:szCs w:val="24"/>
        </w:rPr>
        <w:t>, Hythem Sidky</w:t>
      </w:r>
      <w:r>
        <w:rPr>
          <w:rFonts w:ascii="Arial" w:hAnsi="Arial"/>
          <w:sz w:val="24"/>
          <w:szCs w:val="24"/>
          <w:vertAlign w:val="superscript"/>
        </w:rPr>
        <w:t>1</w:t>
      </w:r>
      <w:r>
        <w:rPr>
          <w:rFonts w:ascii="Arial" w:hAnsi="Arial"/>
          <w:sz w:val="24"/>
          <w:szCs w:val="24"/>
        </w:rPr>
        <w:t xml:space="preserve">, </w:t>
      </w:r>
      <w:r>
        <w:rPr>
          <w:rFonts w:ascii="Arial" w:hAnsi="Arial"/>
          <w:color w:val="1D1C1D"/>
          <w:sz w:val="23"/>
          <w:szCs w:val="23"/>
          <w:u w:color="1D1C1D"/>
          <w:shd w:val="clear" w:color="auto" w:fill="F8F8F8"/>
          <w:lang w:val="de-DE"/>
        </w:rPr>
        <w:t>Chenjie Zeng</w:t>
      </w:r>
      <w:r>
        <w:rPr>
          <w:rFonts w:ascii="Arial" w:hAnsi="Arial"/>
          <w:sz w:val="24"/>
          <w:szCs w:val="24"/>
          <w:vertAlign w:val="superscript"/>
        </w:rPr>
        <w:t>3</w:t>
      </w:r>
      <w:r>
        <w:rPr>
          <w:rFonts w:ascii="Arial" w:hAnsi="Arial"/>
          <w:sz w:val="24"/>
          <w:szCs w:val="24"/>
          <w:lang w:val="de-DE"/>
        </w:rPr>
        <w:t>, Qian Zhu</w:t>
      </w:r>
      <w:r>
        <w:rPr>
          <w:rFonts w:ascii="Arial" w:hAnsi="Arial"/>
          <w:sz w:val="24"/>
          <w:szCs w:val="24"/>
          <w:vertAlign w:val="superscript"/>
        </w:rPr>
        <w:t>1</w:t>
      </w:r>
      <w:r>
        <w:rPr>
          <w:rFonts w:ascii="Arial" w:hAnsi="Arial"/>
          <w:sz w:val="24"/>
          <w:szCs w:val="24"/>
        </w:rPr>
        <w:t>, Ewy A. Mathé</w:t>
      </w:r>
      <w:r>
        <w:rPr>
          <w:rFonts w:ascii="Arial" w:hAnsi="Arial"/>
          <w:sz w:val="24"/>
          <w:szCs w:val="24"/>
          <w:vertAlign w:val="superscript"/>
        </w:rPr>
        <w:t>1</w:t>
      </w:r>
      <w:r>
        <w:rPr>
          <w:rFonts w:ascii="Arial" w:hAnsi="Arial"/>
          <w:sz w:val="24"/>
          <w:szCs w:val="24"/>
        </w:rPr>
        <w:t>,</w:t>
      </w:r>
      <w:r>
        <w:rPr>
          <w:rFonts w:ascii="Segoe UI" w:eastAsia="Segoe UI" w:hAnsi="Segoe UI" w:cs="Segoe UI"/>
          <w:sz w:val="18"/>
          <w:szCs w:val="18"/>
        </w:rPr>
        <w:t xml:space="preserve"> </w:t>
      </w:r>
      <w:r>
        <w:rPr>
          <w:rFonts w:ascii="Arial" w:hAnsi="Arial"/>
          <w:sz w:val="24"/>
          <w:szCs w:val="24"/>
        </w:rPr>
        <w:t>On behalf the N3C Consortium</w:t>
      </w:r>
    </w:p>
    <w:p w14:paraId="5E0ED057" w14:textId="77777777" w:rsidR="00D432DE" w:rsidRDefault="00000000">
      <w:pPr>
        <w:pStyle w:val="Body"/>
        <w:tabs>
          <w:tab w:val="left" w:pos="1455"/>
        </w:tabs>
        <w:spacing w:after="0"/>
        <w:jc w:val="center"/>
        <w:rPr>
          <w:rFonts w:ascii="Arial" w:eastAsia="Arial" w:hAnsi="Arial" w:cs="Arial"/>
          <w:sz w:val="24"/>
          <w:szCs w:val="24"/>
        </w:rPr>
      </w:pPr>
      <w:r>
        <w:rPr>
          <w:rFonts w:ascii="Arial" w:hAnsi="Arial"/>
          <w:sz w:val="24"/>
          <w:szCs w:val="24"/>
          <w:vertAlign w:val="superscript"/>
        </w:rPr>
        <w:t>1</w:t>
      </w:r>
      <w:r>
        <w:rPr>
          <w:rFonts w:ascii="Arial" w:hAnsi="Arial"/>
          <w:sz w:val="24"/>
          <w:szCs w:val="24"/>
        </w:rPr>
        <w:t xml:space="preserve">National Center for Advancing Translational Sciences (NCATS), NIH, Rockville, MD, USA </w:t>
      </w:r>
    </w:p>
    <w:p w14:paraId="795B813A" w14:textId="77777777" w:rsidR="00D432DE" w:rsidRDefault="00000000">
      <w:pPr>
        <w:pStyle w:val="Body"/>
        <w:tabs>
          <w:tab w:val="left" w:pos="1455"/>
        </w:tabs>
        <w:spacing w:after="0"/>
        <w:rPr>
          <w:rFonts w:ascii="Arial" w:eastAsia="Arial" w:hAnsi="Arial" w:cs="Arial"/>
          <w:sz w:val="24"/>
          <w:szCs w:val="24"/>
        </w:rPr>
      </w:pPr>
      <w:r>
        <w:rPr>
          <w:rFonts w:ascii="Arial" w:hAnsi="Arial"/>
          <w:sz w:val="24"/>
          <w:szCs w:val="24"/>
        </w:rPr>
        <w:t xml:space="preserve">         </w:t>
      </w:r>
      <w:r>
        <w:rPr>
          <w:rFonts w:ascii="Arial" w:hAnsi="Arial"/>
          <w:sz w:val="24"/>
          <w:szCs w:val="24"/>
          <w:vertAlign w:val="superscript"/>
        </w:rPr>
        <w:t>2</w:t>
      </w:r>
      <w:r>
        <w:rPr>
          <w:rFonts w:ascii="Arial" w:hAnsi="Arial"/>
          <w:sz w:val="24"/>
          <w:szCs w:val="24"/>
        </w:rPr>
        <w:t xml:space="preserve">Division of Rare Diseases Research Innovation, National Center for Advancing Translational    </w:t>
      </w:r>
    </w:p>
    <w:p w14:paraId="4679964A" w14:textId="77777777" w:rsidR="00D432DE" w:rsidRDefault="00000000">
      <w:pPr>
        <w:pStyle w:val="Body"/>
        <w:tabs>
          <w:tab w:val="left" w:pos="1455"/>
        </w:tabs>
        <w:spacing w:after="0"/>
        <w:rPr>
          <w:rFonts w:ascii="Arial" w:eastAsia="Arial" w:hAnsi="Arial" w:cs="Arial"/>
          <w:sz w:val="24"/>
          <w:szCs w:val="24"/>
        </w:rPr>
      </w:pPr>
      <w:r>
        <w:rPr>
          <w:rFonts w:ascii="Arial" w:hAnsi="Arial"/>
          <w:sz w:val="24"/>
          <w:szCs w:val="24"/>
        </w:rPr>
        <w:t xml:space="preserve">          Sciences (NCATS), National Institutes of Health, Bethesda, MD 20892, USA.</w:t>
      </w:r>
    </w:p>
    <w:p w14:paraId="4187776A" w14:textId="77777777" w:rsidR="00D432DE" w:rsidRDefault="00000000">
      <w:pPr>
        <w:pStyle w:val="Body"/>
        <w:tabs>
          <w:tab w:val="left" w:pos="1455"/>
        </w:tabs>
        <w:spacing w:after="0"/>
        <w:jc w:val="center"/>
        <w:rPr>
          <w:rFonts w:ascii="Arial" w:eastAsia="Arial" w:hAnsi="Arial" w:cs="Arial"/>
          <w:sz w:val="24"/>
          <w:szCs w:val="24"/>
        </w:rPr>
      </w:pPr>
      <w:r>
        <w:rPr>
          <w:rFonts w:ascii="Arial" w:hAnsi="Arial"/>
          <w:sz w:val="24"/>
          <w:szCs w:val="24"/>
          <w:vertAlign w:val="superscript"/>
          <w:lang w:val="de-DE"/>
        </w:rPr>
        <w:t xml:space="preserve">     3</w:t>
      </w:r>
      <w:r>
        <w:rPr>
          <w:rFonts w:ascii="Arial" w:hAnsi="Arial"/>
          <w:sz w:val="24"/>
          <w:szCs w:val="24"/>
        </w:rPr>
        <w:t>Precision Health Informatics Section, National Human Genome Research Institute, National Institutes of Health, Bethesda, MD, 20814</w:t>
      </w:r>
    </w:p>
    <w:p w14:paraId="04FCF1E2" w14:textId="77777777" w:rsidR="00D432DE" w:rsidRDefault="00D432DE">
      <w:pPr>
        <w:pStyle w:val="Body"/>
      </w:pPr>
    </w:p>
    <w:p w14:paraId="76D80C71" w14:textId="77777777" w:rsidR="00D432DE" w:rsidRDefault="00D432DE">
      <w:pPr>
        <w:pStyle w:val="Body"/>
      </w:pPr>
    </w:p>
    <w:p w14:paraId="596244BC" w14:textId="77777777" w:rsidR="00D432DE" w:rsidRDefault="00000000">
      <w:pPr>
        <w:pStyle w:val="Body"/>
        <w:jc w:val="both"/>
        <w:rPr>
          <w:rFonts w:ascii="Arial" w:eastAsia="Arial" w:hAnsi="Arial" w:cs="Arial"/>
          <w:b/>
          <w:bCs/>
          <w:sz w:val="24"/>
          <w:szCs w:val="24"/>
        </w:rPr>
      </w:pPr>
      <w:r>
        <w:rPr>
          <w:rFonts w:ascii="Arial" w:hAnsi="Arial"/>
          <w:b/>
          <w:bCs/>
          <w:sz w:val="24"/>
          <w:szCs w:val="24"/>
        </w:rPr>
        <w:t>Supplementary Methods</w:t>
      </w:r>
    </w:p>
    <w:p w14:paraId="29F3B98A" w14:textId="0DD17ED5" w:rsidR="00D432DE" w:rsidRDefault="00000000">
      <w:pPr>
        <w:pStyle w:val="Body"/>
        <w:jc w:val="both"/>
        <w:rPr>
          <w:rFonts w:ascii="Arial" w:eastAsia="Arial" w:hAnsi="Arial" w:cs="Arial"/>
          <w:sz w:val="24"/>
          <w:szCs w:val="24"/>
        </w:rPr>
      </w:pPr>
      <w:r>
        <w:rPr>
          <w:rFonts w:ascii="Arial" w:hAnsi="Arial"/>
          <w:sz w:val="24"/>
          <w:szCs w:val="24"/>
        </w:rPr>
        <w:t>Unique rare diseases (RDs) were defined by 12,003 GARD IDs, which follow the definition of a</w:t>
      </w:r>
      <w:r>
        <w:rPr>
          <w:rFonts w:ascii="Arial" w:hAnsi="Arial"/>
          <w:sz w:val="24"/>
          <w:szCs w:val="24"/>
          <w:lang w:val="es-ES_tradnl"/>
        </w:rPr>
        <w:t xml:space="preserve"> </w:t>
      </w:r>
      <w:proofErr w:type="spellStart"/>
      <w:r>
        <w:rPr>
          <w:rFonts w:ascii="Arial" w:hAnsi="Arial"/>
          <w:sz w:val="24"/>
          <w:szCs w:val="24"/>
          <w:lang w:val="es-ES_tradnl"/>
        </w:rPr>
        <w:t>prevalence</w:t>
      </w:r>
      <w:proofErr w:type="spellEnd"/>
      <w:r>
        <w:rPr>
          <w:rFonts w:ascii="Arial" w:hAnsi="Arial"/>
          <w:sz w:val="24"/>
          <w:szCs w:val="24"/>
        </w:rPr>
        <w:t xml:space="preserve"> rate fewer than 6/10,000 in the United States</w:t>
      </w:r>
      <w:r>
        <w:rPr>
          <w:rFonts w:ascii="Arial" w:hAnsi="Arial"/>
          <w:sz w:val="24"/>
          <w:szCs w:val="24"/>
          <w:vertAlign w:val="superscript"/>
        </w:rPr>
        <w:t>35,36</w:t>
      </w:r>
      <w:r w:rsidR="004030EB">
        <w:rPr>
          <w:rFonts w:ascii="Arial" w:hAnsi="Arial"/>
          <w:sz w:val="24"/>
          <w:szCs w:val="24"/>
          <w:vertAlign w:val="superscript"/>
        </w:rPr>
        <w:t>,37</w:t>
      </w:r>
      <w:r>
        <w:rPr>
          <w:rFonts w:ascii="Arial" w:hAnsi="Arial"/>
          <w:sz w:val="24"/>
          <w:szCs w:val="24"/>
        </w:rPr>
        <w:t xml:space="preserve">. Of the 12,003 RDs, 9,369 mapped to ORPHANET (July 2023 version) and had associated SNOMED-CT and ICD-10 codes.  The 2,634 remaining RDs with GARD IDs that did not map to ORPHANET were excluded.  </w:t>
      </w:r>
    </w:p>
    <w:p w14:paraId="0621A36D" w14:textId="6CEC7EBF" w:rsidR="00D432DE" w:rsidRDefault="00000000">
      <w:pPr>
        <w:pStyle w:val="Body"/>
        <w:jc w:val="both"/>
        <w:rPr>
          <w:rFonts w:ascii="Arial" w:hAnsi="Arial"/>
          <w:sz w:val="24"/>
          <w:szCs w:val="24"/>
        </w:rPr>
      </w:pPr>
      <w:r>
        <w:rPr>
          <w:rFonts w:ascii="Arial" w:hAnsi="Arial"/>
          <w:sz w:val="24"/>
          <w:szCs w:val="24"/>
        </w:rPr>
        <w:t>The SNOMED-CT and ICD-10 codes associated with the 9,369 GARD IDs represent single diseases only.  As such, descendent RDs are not represented, and additional cross-linking and filtering is necessary to capture RD subtypes that would otherwise be missed.  We tried various approaches to 1) remove group of disorders through ORPHANET annotations; 2) maximize the number of RDs represented by including descendent concepts through SNOMED-CT; 3) eliminate phenotypes by matching through the Human Phenotype Ontology (HPO); 4) reduce the amount of manual curation necessary; 5) remove reliance on cohort-specific</w:t>
      </w:r>
      <w:r w:rsidR="007D5FF9">
        <w:rPr>
          <w:rFonts w:ascii="Arial" w:hAnsi="Arial"/>
          <w:sz w:val="24"/>
          <w:szCs w:val="24"/>
        </w:rPr>
        <w:t xml:space="preserve"> prevalence</w:t>
      </w:r>
      <w:r>
        <w:rPr>
          <w:rFonts w:ascii="Arial" w:hAnsi="Arial"/>
          <w:sz w:val="24"/>
          <w:szCs w:val="24"/>
        </w:rPr>
        <w:t xml:space="preserve"> calculations which could be prone to biases of patient and disease representation. Supplementary Figure 1 describes the various approaches tried, leading to the final approach which meets our goals.  </w:t>
      </w:r>
    </w:p>
    <w:p w14:paraId="4A55DF45" w14:textId="77777777" w:rsidR="006C5F03" w:rsidRPr="00687300" w:rsidRDefault="006C5F03" w:rsidP="006C5F03">
      <w:pPr>
        <w:pStyle w:val="Body"/>
        <w:spacing w:line="278" w:lineRule="auto"/>
        <w:rPr>
          <w:rFonts w:ascii="Arial" w:eastAsia="Times New Roman" w:hAnsi="Arial" w:cs="Arial"/>
          <w:color w:val="auto"/>
          <w:kern w:val="2"/>
          <w:sz w:val="24"/>
          <w:szCs w:val="24"/>
          <w:u w:color="0070C0"/>
        </w:rPr>
      </w:pPr>
      <w:r w:rsidRPr="00687300">
        <w:rPr>
          <w:rFonts w:ascii="Arial" w:hAnsi="Arial" w:cs="Arial"/>
          <w:color w:val="auto"/>
          <w:kern w:val="2"/>
          <w:sz w:val="24"/>
          <w:szCs w:val="24"/>
          <w:u w:color="0070C0"/>
        </w:rPr>
        <w:t xml:space="preserve">To apply the phenotyping algorithm in a local </w:t>
      </w:r>
      <w:r w:rsidRPr="00687300">
        <w:rPr>
          <w:rFonts w:ascii="Arial" w:hAnsi="Arial" w:cs="Arial"/>
          <w:color w:val="auto"/>
          <w:kern w:val="2"/>
          <w:sz w:val="24"/>
          <w:szCs w:val="24"/>
          <w:u w:color="0070C0"/>
          <w:lang w:val="es-ES_tradnl"/>
        </w:rPr>
        <w:t xml:space="preserve">OMOP </w:t>
      </w:r>
      <w:proofErr w:type="spellStart"/>
      <w:r w:rsidRPr="00687300">
        <w:rPr>
          <w:rFonts w:ascii="Arial" w:hAnsi="Arial" w:cs="Arial"/>
          <w:color w:val="auto"/>
          <w:kern w:val="2"/>
          <w:sz w:val="24"/>
          <w:szCs w:val="24"/>
          <w:u w:color="0070C0"/>
          <w:lang w:val="es-ES_tradnl"/>
        </w:rPr>
        <w:t>database</w:t>
      </w:r>
      <w:proofErr w:type="spellEnd"/>
      <w:r w:rsidRPr="00687300">
        <w:rPr>
          <w:rFonts w:ascii="Arial" w:hAnsi="Arial" w:cs="Arial"/>
          <w:color w:val="auto"/>
          <w:kern w:val="2"/>
          <w:sz w:val="24"/>
          <w:szCs w:val="24"/>
          <w:u w:color="0070C0"/>
        </w:rPr>
        <w:t>, users can follow:</w:t>
      </w:r>
    </w:p>
    <w:p w14:paraId="5B63290A" w14:textId="77777777" w:rsidR="006C5F03" w:rsidRPr="00687300" w:rsidRDefault="006C5F03" w:rsidP="006C5F03">
      <w:pPr>
        <w:numPr>
          <w:ilvl w:val="0"/>
          <w:numId w:val="2"/>
        </w:numPr>
        <w:spacing w:before="100" w:after="100"/>
        <w:rPr>
          <w:rFonts w:ascii="Arial" w:hAnsi="Arial" w:cs="Arial"/>
          <w:kern w:val="2"/>
          <w:u w:color="000000"/>
          <w14:textOutline w14:w="0" w14:cap="flat" w14:cmpd="sng" w14:algn="ctr">
            <w14:noFill/>
            <w14:prstDash w14:val="solid"/>
            <w14:bevel/>
          </w14:textOutline>
        </w:rPr>
      </w:pPr>
      <w:r w:rsidRPr="00687300">
        <w:rPr>
          <w:rFonts w:ascii="Arial" w:hAnsi="Arial" w:cs="Arial"/>
          <w:u w:color="0070C0"/>
          <w14:textOutline w14:w="0" w14:cap="flat" w14:cmpd="sng" w14:algn="ctr">
            <w14:noFill/>
            <w14:prstDash w14:val="solid"/>
            <w14:bevel/>
          </w14:textOutline>
        </w:rPr>
        <w:t xml:space="preserve">Direct Use of Codes: Researchers can directly use the </w:t>
      </w:r>
      <w:r w:rsidRPr="00687300">
        <w:rPr>
          <w:rFonts w:ascii="Arial" w:hAnsi="Arial" w:cs="Arial"/>
          <w:i/>
          <w:iCs/>
          <w:u w:color="0070C0"/>
          <w14:textOutline w14:w="0" w14:cap="flat" w14:cmpd="sng" w14:algn="ctr">
            <w14:noFill/>
            <w14:prstDash w14:val="solid"/>
            <w14:bevel/>
          </w14:textOutline>
        </w:rPr>
        <w:t>SNOMED-CT</w:t>
      </w:r>
      <w:r w:rsidRPr="00687300">
        <w:rPr>
          <w:rFonts w:ascii="Arial" w:hAnsi="Arial" w:cs="Arial"/>
          <w:u w:color="0070C0"/>
          <w14:textOutline w14:w="0" w14:cap="flat" w14:cmpd="sng" w14:algn="ctr">
            <w14:noFill/>
            <w14:prstDash w14:val="solid"/>
            <w14:bevel/>
          </w14:textOutline>
        </w:rPr>
        <w:t xml:space="preserve"> codes listed in </w:t>
      </w:r>
      <w:r w:rsidRPr="00687300">
        <w:rPr>
          <w:rFonts w:ascii="Arial" w:hAnsi="Arial" w:cs="Arial"/>
          <w:i/>
          <w:iCs/>
          <w:u w:color="0070C0"/>
          <w14:textOutline w14:w="0" w14:cap="flat" w14:cmpd="sng" w14:algn="ctr">
            <w14:noFill/>
            <w14:prstDash w14:val="solid"/>
            <w14:bevel/>
          </w14:textOutline>
        </w:rPr>
        <w:t>Supplementary Table S2</w:t>
      </w:r>
      <w:r w:rsidRPr="00687300">
        <w:rPr>
          <w:rFonts w:ascii="Arial" w:hAnsi="Arial" w:cs="Arial"/>
          <w:u w:color="0070C0"/>
          <w14:textOutline w14:w="0" w14:cap="flat" w14:cmpd="sng" w14:algn="ctr">
            <w14:noFill/>
            <w14:prstDash w14:val="solid"/>
            <w14:bevel/>
          </w14:textOutline>
        </w:rPr>
        <w:t xml:space="preserve"> and the </w:t>
      </w:r>
      <w:r w:rsidRPr="00687300">
        <w:rPr>
          <w:rFonts w:ascii="Arial" w:hAnsi="Arial" w:cs="Arial"/>
          <w:i/>
          <w:iCs/>
          <w:u w:color="0070C0"/>
          <w14:textOutline w14:w="0" w14:cap="flat" w14:cmpd="sng" w14:algn="ctr">
            <w14:noFill/>
            <w14:prstDash w14:val="solid"/>
            <w14:bevel/>
          </w14:textOutline>
        </w:rPr>
        <w:t>ICD-10</w:t>
      </w:r>
      <w:r w:rsidRPr="00687300">
        <w:rPr>
          <w:rFonts w:ascii="Arial" w:hAnsi="Arial" w:cs="Arial"/>
          <w:u w:color="0070C0"/>
          <w14:textOutline w14:w="0" w14:cap="flat" w14:cmpd="sng" w14:algn="ctr">
            <w14:noFill/>
            <w14:prstDash w14:val="solid"/>
            <w14:bevel/>
          </w14:textOutline>
        </w:rPr>
        <w:t xml:space="preserve"> codes in </w:t>
      </w:r>
      <w:r w:rsidRPr="00687300">
        <w:rPr>
          <w:rFonts w:ascii="Arial" w:hAnsi="Arial" w:cs="Arial"/>
          <w:i/>
          <w:iCs/>
          <w:u w:color="0070C0"/>
          <w14:textOutline w14:w="0" w14:cap="flat" w14:cmpd="sng" w14:algn="ctr">
            <w14:noFill/>
            <w14:prstDash w14:val="solid"/>
            <w14:bevel/>
          </w14:textOutline>
        </w:rPr>
        <w:t>Supplementary Table S3</w:t>
      </w:r>
      <w:r w:rsidRPr="00687300">
        <w:rPr>
          <w:rFonts w:ascii="Arial" w:hAnsi="Arial" w:cs="Arial"/>
          <w:u w:color="0070C0"/>
          <w14:textOutline w14:w="0" w14:cap="flat" w14:cmpd="sng" w14:algn="ctr">
            <w14:noFill/>
            <w14:prstDash w14:val="solid"/>
            <w14:bevel/>
          </w14:textOutline>
        </w:rPr>
        <w:t xml:space="preserve"> to build RD cohorts within their local EHR or OMOP database.</w:t>
      </w:r>
    </w:p>
    <w:p w14:paraId="062A4FB6" w14:textId="77777777" w:rsidR="006C5F03" w:rsidRPr="00687300" w:rsidRDefault="006C5F03" w:rsidP="006C5F03">
      <w:pPr>
        <w:numPr>
          <w:ilvl w:val="0"/>
          <w:numId w:val="2"/>
        </w:numPr>
        <w:spacing w:before="100" w:after="100"/>
        <w:rPr>
          <w:rFonts w:ascii="Arial" w:hAnsi="Arial" w:cs="Arial"/>
          <w:kern w:val="2"/>
          <w:u w:color="000000"/>
          <w14:textOutline w14:w="0" w14:cap="flat" w14:cmpd="sng" w14:algn="ctr">
            <w14:noFill/>
            <w14:prstDash w14:val="solid"/>
            <w14:bevel/>
          </w14:textOutline>
        </w:rPr>
      </w:pPr>
      <w:r w:rsidRPr="00687300">
        <w:rPr>
          <w:rFonts w:ascii="Arial" w:hAnsi="Arial" w:cs="Arial"/>
          <w:u w:color="0070C0"/>
          <w14:textOutline w14:w="0" w14:cap="flat" w14:cmpd="sng" w14:algn="ctr">
            <w14:noFill/>
            <w14:prstDash w14:val="solid"/>
            <w14:bevel/>
          </w14:textOutline>
        </w:rPr>
        <w:t>Custom Rare Disease Lists: If a researcher wishes to use their own list of rare diseases, our phenotyping algorithm can be applied from scratch by following the workflow outlined in Figure 2 and Supplementary Figure 4.</w:t>
      </w:r>
    </w:p>
    <w:p w14:paraId="20409BE3" w14:textId="77777777" w:rsidR="006C5F03" w:rsidRPr="00687300" w:rsidRDefault="006C5F03" w:rsidP="006C5F03">
      <w:pPr>
        <w:numPr>
          <w:ilvl w:val="0"/>
          <w:numId w:val="2"/>
        </w:numPr>
        <w:spacing w:before="100" w:after="100"/>
        <w:rPr>
          <w:rFonts w:ascii="Arial" w:hAnsi="Arial" w:cs="Arial"/>
          <w:kern w:val="2"/>
          <w:u w:color="000000"/>
          <w14:textOutline w14:w="0" w14:cap="flat" w14:cmpd="sng" w14:algn="ctr">
            <w14:noFill/>
            <w14:prstDash w14:val="solid"/>
            <w14:bevel/>
          </w14:textOutline>
        </w:rPr>
      </w:pPr>
      <w:r w:rsidRPr="00687300">
        <w:rPr>
          <w:rFonts w:ascii="Arial" w:hAnsi="Arial" w:cs="Arial"/>
          <w:u w:color="0070C0"/>
          <w14:textOutline w14:w="0" w14:cap="flat" w14:cmpd="sng" w14:algn="ctr">
            <w14:noFill/>
            <w14:prstDash w14:val="solid"/>
            <w14:bevel/>
          </w14:textOutline>
        </w:rPr>
        <w:t>Implementation Details: Detailed instructions and code examples for running the algorithm are provided in our [GitHub repository]:</w:t>
      </w:r>
    </w:p>
    <w:p w14:paraId="69A911BA" w14:textId="77777777" w:rsidR="006C5F03" w:rsidRPr="006C5F03" w:rsidRDefault="006C5F03" w:rsidP="006C5F03">
      <w:pPr>
        <w:spacing w:before="100" w:after="100"/>
        <w:ind w:left="720"/>
        <w:rPr>
          <w:rStyle w:val="None"/>
          <w:rFonts w:ascii="Arial" w:eastAsia="Times New Roman" w:hAnsi="Arial" w:cs="Arial"/>
          <w:color w:val="0070C0"/>
          <w:u w:color="0070C0"/>
          <w14:textOutline w14:w="0" w14:cap="flat" w14:cmpd="sng" w14:algn="ctr">
            <w14:noFill/>
            <w14:prstDash w14:val="solid"/>
            <w14:bevel/>
          </w14:textOutline>
        </w:rPr>
      </w:pPr>
      <w:r w:rsidRPr="006C5F03">
        <w:rPr>
          <w:rFonts w:ascii="Arial" w:eastAsia="Aptos" w:hAnsi="Arial" w:cs="Arial"/>
          <w:color w:val="0070C0"/>
          <w:u w:color="0070C0"/>
          <w14:textOutline w14:w="0" w14:cap="flat" w14:cmpd="sng" w14:algn="ctr">
            <w14:noFill/>
            <w14:prstDash w14:val="solid"/>
            <w14:bevel/>
          </w14:textOutline>
        </w:rPr>
        <w:t>(</w:t>
      </w:r>
      <w:r w:rsidRPr="006C5F03">
        <w:rPr>
          <w:rFonts w:ascii="Arial" w:eastAsia="Aptos" w:hAnsi="Arial" w:cs="Arial"/>
          <w:color w:val="000000"/>
          <w:kern w:val="2"/>
          <w:u w:color="000000"/>
          <w14:textOutline w14:w="0" w14:cap="flat" w14:cmpd="sng" w14:algn="ctr">
            <w14:noFill/>
            <w14:prstDash w14:val="solid"/>
            <w14:bevel/>
          </w14:textOutline>
        </w:rPr>
        <w:t xml:space="preserve"> </w:t>
      </w:r>
      <w:hyperlink r:id="rId7" w:history="1">
        <w:r w:rsidRPr="006C5F03">
          <w:rPr>
            <w:rStyle w:val="Hyperlink0"/>
            <w:rFonts w:ascii="Arial" w:eastAsia="Aptos" w:hAnsi="Arial" w:cs="Arial"/>
            <w:kern w:val="2"/>
            <w14:textOutline w14:w="0" w14:cap="flat" w14:cmpd="sng" w14:algn="ctr">
              <w14:noFill/>
              <w14:prstDash w14:val="solid"/>
              <w14:bevel/>
            </w14:textOutline>
          </w:rPr>
          <w:t>https://github.com/arjunyadaw/Rare-Disease-Cohort-Building-in-EHR-System.git</w:t>
        </w:r>
      </w:hyperlink>
      <w:r w:rsidRPr="006C5F03">
        <w:rPr>
          <w:rStyle w:val="None"/>
          <w:rFonts w:ascii="Arial" w:eastAsia="Aptos" w:hAnsi="Arial" w:cs="Arial"/>
          <w:color w:val="0070C0"/>
          <w:u w:color="0070C0"/>
          <w14:textOutline w14:w="0" w14:cap="flat" w14:cmpd="sng" w14:algn="ctr">
            <w14:noFill/>
            <w14:prstDash w14:val="solid"/>
            <w14:bevel/>
          </w14:textOutline>
        </w:rPr>
        <w:t>).</w:t>
      </w:r>
    </w:p>
    <w:p w14:paraId="1933CF1D" w14:textId="77777777" w:rsidR="006C5F03" w:rsidRDefault="006C5F03">
      <w:pPr>
        <w:pStyle w:val="Body"/>
        <w:jc w:val="both"/>
        <w:rPr>
          <w:rFonts w:ascii="Arial" w:eastAsia="Arial" w:hAnsi="Arial" w:cs="Arial"/>
          <w:sz w:val="24"/>
          <w:szCs w:val="24"/>
        </w:rPr>
      </w:pPr>
    </w:p>
    <w:p w14:paraId="53873A3A" w14:textId="77777777" w:rsidR="00D432DE" w:rsidRDefault="00D432DE">
      <w:pPr>
        <w:pStyle w:val="Body"/>
        <w:ind w:left="360"/>
        <w:jc w:val="both"/>
        <w:rPr>
          <w:rFonts w:ascii="Arial" w:eastAsia="Arial" w:hAnsi="Arial" w:cs="Arial"/>
          <w:sz w:val="24"/>
          <w:szCs w:val="24"/>
        </w:rPr>
      </w:pPr>
    </w:p>
    <w:p w14:paraId="25A42E0E" w14:textId="77777777" w:rsidR="00D432DE" w:rsidRDefault="00D432DE">
      <w:pPr>
        <w:spacing w:before="100" w:after="100"/>
        <w:ind w:left="720"/>
        <w:rPr>
          <w:rStyle w:val="None"/>
          <w:rFonts w:ascii="Arial" w:eastAsia="Arial" w:hAnsi="Arial" w:cs="Arial"/>
          <w:color w:val="0070C0"/>
          <w:u w:color="0070C0"/>
          <w14:textOutline w14:w="0" w14:cap="flat" w14:cmpd="sng" w14:algn="ctr">
            <w14:noFill/>
            <w14:prstDash w14:val="solid"/>
            <w14:bevel/>
          </w14:textOutline>
        </w:rPr>
      </w:pPr>
    </w:p>
    <w:p w14:paraId="26879BF7" w14:textId="77777777" w:rsidR="00D432DE" w:rsidRDefault="00D432DE">
      <w:pPr>
        <w:pStyle w:val="Body"/>
        <w:ind w:left="360"/>
        <w:jc w:val="both"/>
        <w:rPr>
          <w:rStyle w:val="None"/>
          <w:rFonts w:ascii="Arial" w:eastAsia="Arial" w:hAnsi="Arial" w:cs="Arial"/>
          <w:sz w:val="24"/>
          <w:szCs w:val="24"/>
        </w:rPr>
      </w:pPr>
    </w:p>
    <w:p w14:paraId="3B771425" w14:textId="77777777" w:rsidR="00D432DE" w:rsidRDefault="00D432DE">
      <w:pPr>
        <w:pStyle w:val="Body"/>
        <w:ind w:left="360"/>
        <w:jc w:val="both"/>
        <w:rPr>
          <w:rStyle w:val="None"/>
          <w:rFonts w:ascii="Arial" w:eastAsia="Arial" w:hAnsi="Arial" w:cs="Arial"/>
          <w:sz w:val="24"/>
          <w:szCs w:val="24"/>
        </w:rPr>
      </w:pPr>
    </w:p>
    <w:p w14:paraId="624C98DF" w14:textId="45D52A80" w:rsidR="00D432DE" w:rsidRDefault="00D432DE">
      <w:pPr>
        <w:pStyle w:val="Body"/>
        <w:ind w:left="360"/>
        <w:jc w:val="both"/>
        <w:rPr>
          <w:rStyle w:val="None"/>
          <w:rFonts w:ascii="Arial" w:eastAsia="Arial" w:hAnsi="Arial" w:cs="Arial"/>
          <w:sz w:val="24"/>
          <w:szCs w:val="24"/>
        </w:rPr>
      </w:pPr>
    </w:p>
    <w:p w14:paraId="20AC21ED" w14:textId="7F90CF5E" w:rsidR="006C5F03" w:rsidRDefault="006C5F03">
      <w:pPr>
        <w:pStyle w:val="Body"/>
        <w:jc w:val="both"/>
        <w:rPr>
          <w:rStyle w:val="None"/>
          <w:rFonts w:ascii="Arial" w:hAnsi="Arial"/>
          <w:b/>
          <w:bCs/>
          <w:sz w:val="24"/>
          <w:szCs w:val="24"/>
        </w:rPr>
      </w:pPr>
      <w:r>
        <w:rPr>
          <w:rStyle w:val="None"/>
          <w:rFonts w:ascii="Arial" w:hAnsi="Arial"/>
          <w:b/>
          <w:bCs/>
          <w:noProof/>
          <w:sz w:val="24"/>
          <w:szCs w:val="24"/>
        </w:rPr>
        <w:drawing>
          <wp:inline distT="0" distB="0" distL="0" distR="0" wp14:anchorId="2B445D59" wp14:editId="5EB5CD46">
            <wp:extent cx="6858000" cy="7077075"/>
            <wp:effectExtent l="0" t="0" r="0" b="9525"/>
            <wp:docPr id="2036259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7077075"/>
                    </a:xfrm>
                    <a:prstGeom prst="rect">
                      <a:avLst/>
                    </a:prstGeom>
                    <a:noFill/>
                    <a:ln>
                      <a:noFill/>
                    </a:ln>
                  </pic:spPr>
                </pic:pic>
              </a:graphicData>
            </a:graphic>
          </wp:inline>
        </w:drawing>
      </w:r>
    </w:p>
    <w:p w14:paraId="2F917D27" w14:textId="675E2AD5" w:rsidR="00D432DE" w:rsidRDefault="00000000">
      <w:pPr>
        <w:pStyle w:val="Body"/>
        <w:jc w:val="both"/>
        <w:rPr>
          <w:rStyle w:val="None"/>
          <w:rFonts w:ascii="Arial" w:eastAsia="Arial" w:hAnsi="Arial" w:cs="Arial"/>
          <w:sz w:val="24"/>
          <w:szCs w:val="24"/>
        </w:rPr>
      </w:pPr>
      <w:r>
        <w:rPr>
          <w:rStyle w:val="None"/>
          <w:rFonts w:ascii="Arial" w:hAnsi="Arial"/>
          <w:b/>
          <w:bCs/>
          <w:sz w:val="24"/>
          <w:szCs w:val="24"/>
        </w:rPr>
        <w:t>Supplementary Figure 1: Evolution of semi-automated approaches to produce RD-specific SNOMED-CT and ICD-10 codes.</w:t>
      </w:r>
      <w:r>
        <w:rPr>
          <w:rStyle w:val="None"/>
          <w:b/>
          <w:bCs/>
        </w:rPr>
        <w:t xml:space="preserve"> </w:t>
      </w:r>
      <w:r>
        <w:rPr>
          <w:rStyle w:val="None"/>
          <w:rFonts w:ascii="Arial" w:hAnsi="Arial"/>
          <w:sz w:val="24"/>
          <w:szCs w:val="24"/>
        </w:rPr>
        <w:t xml:space="preserve">In Approach 1, we mapped the starting ICD-10 and SNOMED-CT codes (representing 9,369 IDs) to N3C to remove RDs with </w:t>
      </w:r>
      <w:proofErr w:type="gramStart"/>
      <w:r>
        <w:rPr>
          <w:rStyle w:val="None"/>
          <w:rFonts w:ascii="Arial" w:hAnsi="Arial"/>
          <w:sz w:val="24"/>
          <w:szCs w:val="24"/>
        </w:rPr>
        <w:t>an</w:t>
      </w:r>
      <w:proofErr w:type="gramEnd"/>
      <w:r>
        <w:rPr>
          <w:rStyle w:val="None"/>
          <w:rFonts w:ascii="Arial" w:hAnsi="Arial"/>
          <w:sz w:val="24"/>
          <w:szCs w:val="24"/>
        </w:rPr>
        <w:t xml:space="preserve"> </w:t>
      </w:r>
      <w:r w:rsidR="00A31C5B">
        <w:rPr>
          <w:rStyle w:val="None"/>
          <w:rFonts w:ascii="Arial" w:hAnsi="Arial"/>
          <w:sz w:val="24"/>
          <w:szCs w:val="24"/>
        </w:rPr>
        <w:t>prevalence</w:t>
      </w:r>
      <w:r>
        <w:rPr>
          <w:rStyle w:val="None"/>
          <w:rFonts w:ascii="Arial" w:hAnsi="Arial"/>
          <w:sz w:val="24"/>
          <w:szCs w:val="24"/>
        </w:rPr>
        <w:t xml:space="preserve"> &gt; 6/10,000 (following the US definition of RDs).  Subsequently, we manually curated the remaining RDs and removed common diseases and phenotypes.  This approach was not ideal because it required large curation efforts and relied on </w:t>
      </w:r>
      <w:r w:rsidR="0075011B">
        <w:rPr>
          <w:rStyle w:val="None"/>
          <w:rFonts w:ascii="Arial" w:hAnsi="Arial"/>
          <w:sz w:val="24"/>
          <w:szCs w:val="24"/>
        </w:rPr>
        <w:t>prevalence</w:t>
      </w:r>
      <w:r w:rsidR="00687300">
        <w:rPr>
          <w:rStyle w:val="None"/>
          <w:rFonts w:ascii="Arial" w:hAnsi="Arial"/>
          <w:sz w:val="24"/>
          <w:szCs w:val="24"/>
        </w:rPr>
        <w:t xml:space="preserve"> </w:t>
      </w:r>
      <w:r>
        <w:rPr>
          <w:rStyle w:val="None"/>
          <w:rFonts w:ascii="Arial" w:hAnsi="Arial"/>
          <w:sz w:val="24"/>
          <w:szCs w:val="24"/>
        </w:rPr>
        <w:t xml:space="preserve">rates of a specific cohort (in this case N3C).  Further, we were missing RDs </w:t>
      </w:r>
      <w:r>
        <w:rPr>
          <w:rStyle w:val="None"/>
          <w:rFonts w:ascii="Arial" w:hAnsi="Arial"/>
          <w:sz w:val="24"/>
          <w:szCs w:val="24"/>
        </w:rPr>
        <w:lastRenderedPageBreak/>
        <w:t>because the initial codes oftentimes did not include RD descendent concepts (which can be extracted from SNOMED</w:t>
      </w:r>
      <w:r w:rsidR="004030EB">
        <w:rPr>
          <w:rStyle w:val="None"/>
          <w:rFonts w:ascii="Arial" w:hAnsi="Arial"/>
          <w:sz w:val="24"/>
          <w:szCs w:val="24"/>
        </w:rPr>
        <w:t>-CT</w:t>
      </w:r>
      <w:r>
        <w:rPr>
          <w:rStyle w:val="None"/>
          <w:rFonts w:ascii="Arial" w:hAnsi="Arial"/>
          <w:sz w:val="24"/>
          <w:szCs w:val="24"/>
        </w:rPr>
        <w:t xml:space="preserve">).  In Approach 2, we started by removing phenotypes, then curated the resulting list manually to remove groups of disorders.  In the final step, we brought in descendent concepts.   This approach still required substantial manual curation so in Approach 3, we removed the manual curation to remove groups of disorders as we assumed that those would be excluded through the </w:t>
      </w:r>
      <w:r w:rsidR="006C5F03">
        <w:rPr>
          <w:rStyle w:val="None"/>
          <w:rFonts w:ascii="Arial" w:hAnsi="Arial"/>
          <w:sz w:val="24"/>
          <w:szCs w:val="24"/>
        </w:rPr>
        <w:t>prevalence</w:t>
      </w:r>
      <w:r w:rsidR="00687300">
        <w:rPr>
          <w:rStyle w:val="None"/>
          <w:rFonts w:ascii="Arial" w:hAnsi="Arial"/>
          <w:sz w:val="24"/>
          <w:szCs w:val="24"/>
        </w:rPr>
        <w:t xml:space="preserve"> </w:t>
      </w:r>
      <w:r>
        <w:rPr>
          <w:rStyle w:val="None"/>
          <w:rFonts w:ascii="Arial" w:hAnsi="Arial"/>
          <w:sz w:val="24"/>
          <w:szCs w:val="24"/>
          <w:lang w:val="de-DE"/>
        </w:rPr>
        <w:t xml:space="preserve">filter </w:t>
      </w:r>
      <w:r w:rsidR="0059147D">
        <w:rPr>
          <w:rStyle w:val="None"/>
          <w:rFonts w:ascii="Arial" w:hAnsi="Arial"/>
          <w:sz w:val="24"/>
          <w:szCs w:val="24"/>
        </w:rPr>
        <w:t>that can be applied when mapping codes to EHR</w:t>
      </w:r>
      <w:r>
        <w:rPr>
          <w:rStyle w:val="None"/>
          <w:rFonts w:ascii="Arial" w:hAnsi="Arial"/>
          <w:sz w:val="24"/>
          <w:szCs w:val="24"/>
        </w:rPr>
        <w:t>.  This approach introduced too many false positives so in the final approach, we removed groups of disorders programmatically, where groups of disorders are defined as having more than one descendent (noting that this is prior to the expansion of descendent codes through the OHDSI Atlas).  After this filter, the inclusion of descendent codes and exclusion of phenotypes was performed.  This final approach also removed the reliance of a</w:t>
      </w:r>
      <w:r w:rsidR="006C5F03">
        <w:rPr>
          <w:rStyle w:val="None"/>
          <w:rFonts w:ascii="Arial" w:hAnsi="Arial"/>
          <w:sz w:val="24"/>
          <w:szCs w:val="24"/>
        </w:rPr>
        <w:t xml:space="preserve"> prevalence</w:t>
      </w:r>
      <w:r>
        <w:rPr>
          <w:rStyle w:val="None"/>
          <w:rFonts w:ascii="Arial" w:hAnsi="Arial"/>
          <w:sz w:val="24"/>
          <w:szCs w:val="24"/>
        </w:rPr>
        <w:t xml:space="preserve"> filter based on a specific cohort (in this case N3C), which could introduce false positives or negatives due to RD representation biases.  </w:t>
      </w:r>
    </w:p>
    <w:p w14:paraId="7B7B0859" w14:textId="77777777" w:rsidR="00D432DE" w:rsidRDefault="00D432DE">
      <w:pPr>
        <w:pStyle w:val="Body"/>
        <w:rPr>
          <w:rStyle w:val="None"/>
          <w:rFonts w:ascii="Arial" w:eastAsia="Arial" w:hAnsi="Arial" w:cs="Arial"/>
          <w:sz w:val="24"/>
          <w:szCs w:val="24"/>
        </w:rPr>
      </w:pPr>
    </w:p>
    <w:p w14:paraId="39FC2D9A" w14:textId="77777777" w:rsidR="00D432DE" w:rsidRDefault="00D432DE">
      <w:pPr>
        <w:pStyle w:val="Body"/>
        <w:ind w:left="360"/>
        <w:jc w:val="both"/>
        <w:rPr>
          <w:rStyle w:val="None"/>
          <w:rFonts w:ascii="Arial" w:eastAsia="Arial" w:hAnsi="Arial" w:cs="Arial"/>
          <w:sz w:val="24"/>
          <w:szCs w:val="24"/>
        </w:rPr>
      </w:pPr>
    </w:p>
    <w:p w14:paraId="1A6E3CBF" w14:textId="77777777" w:rsidR="00D432DE" w:rsidRDefault="00D432DE">
      <w:pPr>
        <w:pStyle w:val="Body"/>
        <w:ind w:left="360"/>
        <w:jc w:val="both"/>
        <w:rPr>
          <w:rStyle w:val="None"/>
          <w:rFonts w:ascii="Arial" w:eastAsia="Arial" w:hAnsi="Arial" w:cs="Arial"/>
          <w:sz w:val="24"/>
          <w:szCs w:val="24"/>
        </w:rPr>
      </w:pPr>
    </w:p>
    <w:p w14:paraId="121D3006" w14:textId="01167F4E" w:rsidR="00D432DE" w:rsidRDefault="004030EB">
      <w:pPr>
        <w:pStyle w:val="Body"/>
        <w:ind w:left="2250"/>
        <w:jc w:val="both"/>
        <w:rPr>
          <w:rStyle w:val="None"/>
          <w:rFonts w:ascii="Arial" w:eastAsia="Arial" w:hAnsi="Arial" w:cs="Arial"/>
          <w:sz w:val="24"/>
          <w:szCs w:val="24"/>
        </w:rPr>
      </w:pPr>
      <w:r>
        <w:rPr>
          <w:rStyle w:val="None"/>
          <w:rFonts w:ascii="Arial" w:eastAsia="Arial" w:hAnsi="Arial" w:cs="Arial"/>
          <w:noProof/>
          <w:sz w:val="24"/>
          <w:szCs w:val="24"/>
        </w:rPr>
        <w:lastRenderedPageBreak/>
        <w:drawing>
          <wp:inline distT="0" distB="0" distL="0" distR="0" wp14:anchorId="3A85FD82" wp14:editId="0D2F53F6">
            <wp:extent cx="4668203" cy="7181850"/>
            <wp:effectExtent l="0" t="0" r="0" b="0"/>
            <wp:docPr id="18436339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76979" cy="7195351"/>
                    </a:xfrm>
                    <a:prstGeom prst="rect">
                      <a:avLst/>
                    </a:prstGeom>
                    <a:noFill/>
                    <a:ln>
                      <a:noFill/>
                    </a:ln>
                  </pic:spPr>
                </pic:pic>
              </a:graphicData>
            </a:graphic>
          </wp:inline>
        </w:drawing>
      </w:r>
    </w:p>
    <w:p w14:paraId="04C81858" w14:textId="77777777" w:rsidR="00D432DE" w:rsidRDefault="00000000">
      <w:pPr>
        <w:pStyle w:val="Body"/>
        <w:jc w:val="both"/>
        <w:rPr>
          <w:rStyle w:val="None"/>
          <w:rFonts w:ascii="Arial" w:eastAsia="Arial" w:hAnsi="Arial" w:cs="Arial"/>
          <w:sz w:val="24"/>
          <w:szCs w:val="24"/>
        </w:rPr>
      </w:pPr>
      <w:r>
        <w:rPr>
          <w:rStyle w:val="None"/>
          <w:rFonts w:ascii="Arial" w:hAnsi="Arial"/>
          <w:b/>
          <w:bCs/>
          <w:sz w:val="24"/>
          <w:szCs w:val="24"/>
        </w:rPr>
        <w:t>Supplementary Figure 2: Workflow to define COVID-19 patients with and without RD in N3C.</w:t>
      </w:r>
      <w:r>
        <w:rPr>
          <w:rStyle w:val="None"/>
          <w:rFonts w:ascii="Arial" w:hAnsi="Arial"/>
          <w:sz w:val="24"/>
          <w:szCs w:val="24"/>
        </w:rPr>
        <w:t xml:space="preserve"> Of the 21,704,702 patients in the N3C enclave released version V154, 4,835,718 were defined as COVID-19 positive between January 1</w:t>
      </w:r>
      <w:r>
        <w:rPr>
          <w:rStyle w:val="None"/>
          <w:rFonts w:ascii="Arial" w:hAnsi="Arial"/>
          <w:sz w:val="24"/>
          <w:szCs w:val="24"/>
          <w:vertAlign w:val="superscript"/>
        </w:rPr>
        <w:t>st</w:t>
      </w:r>
      <w:r>
        <w:rPr>
          <w:rStyle w:val="None"/>
          <w:rFonts w:ascii="Arial" w:hAnsi="Arial"/>
          <w:sz w:val="24"/>
          <w:szCs w:val="24"/>
        </w:rPr>
        <w:t>, 2020, to January 4</w:t>
      </w:r>
      <w:r>
        <w:rPr>
          <w:rStyle w:val="None"/>
          <w:rFonts w:ascii="Arial" w:hAnsi="Arial"/>
          <w:sz w:val="24"/>
          <w:szCs w:val="24"/>
          <w:vertAlign w:val="superscript"/>
        </w:rPr>
        <w:t>th</w:t>
      </w:r>
      <w:r>
        <w:rPr>
          <w:rStyle w:val="None"/>
          <w:rFonts w:ascii="Arial" w:hAnsi="Arial"/>
          <w:sz w:val="24"/>
          <w:szCs w:val="24"/>
        </w:rPr>
        <w:t>, 2024, as confirmed by a RT-PCR or Antigen test or diagnosis test.  This subset also passed the following filters: non missing values for age and sex, at least one encounter visits before or after covid diagnosis date, incomplete data from data partners. Lastly, patients with COVID-19 were stratified into two groups, those with and without RDs, based on our generated SNOMED-CT and ICD-10 codes.</w:t>
      </w:r>
    </w:p>
    <w:p w14:paraId="0B5AAA5C" w14:textId="77777777" w:rsidR="00D432DE" w:rsidRDefault="00D432DE">
      <w:pPr>
        <w:pStyle w:val="Body"/>
        <w:jc w:val="both"/>
        <w:rPr>
          <w:rStyle w:val="None"/>
          <w:rFonts w:ascii="Arial" w:eastAsia="Arial" w:hAnsi="Arial" w:cs="Arial"/>
          <w:sz w:val="24"/>
          <w:szCs w:val="24"/>
        </w:rPr>
      </w:pPr>
    </w:p>
    <w:p w14:paraId="30463C5A" w14:textId="77777777" w:rsidR="00D432DE" w:rsidRDefault="00D432DE">
      <w:pPr>
        <w:pStyle w:val="Body"/>
        <w:jc w:val="both"/>
        <w:rPr>
          <w:rStyle w:val="None"/>
          <w:rFonts w:ascii="Arial" w:eastAsia="Arial" w:hAnsi="Arial" w:cs="Arial"/>
          <w:sz w:val="24"/>
          <w:szCs w:val="24"/>
        </w:rPr>
      </w:pPr>
    </w:p>
    <w:p w14:paraId="118613A0" w14:textId="77777777" w:rsidR="00D432DE" w:rsidRDefault="00D432DE">
      <w:pPr>
        <w:pStyle w:val="Body"/>
        <w:jc w:val="both"/>
        <w:rPr>
          <w:rStyle w:val="None"/>
          <w:rFonts w:ascii="Arial" w:eastAsia="Arial" w:hAnsi="Arial" w:cs="Arial"/>
          <w:sz w:val="24"/>
          <w:szCs w:val="24"/>
        </w:rPr>
      </w:pPr>
    </w:p>
    <w:p w14:paraId="5FABAD2D" w14:textId="77777777" w:rsidR="00D432DE" w:rsidRDefault="00D432DE">
      <w:pPr>
        <w:pStyle w:val="Body"/>
        <w:jc w:val="both"/>
        <w:rPr>
          <w:rStyle w:val="None"/>
          <w:rFonts w:ascii="Arial" w:eastAsia="Arial" w:hAnsi="Arial" w:cs="Arial"/>
          <w:sz w:val="24"/>
          <w:szCs w:val="24"/>
        </w:rPr>
      </w:pPr>
    </w:p>
    <w:p w14:paraId="581F7F32" w14:textId="77777777" w:rsidR="00D432DE" w:rsidRDefault="00000000">
      <w:pPr>
        <w:pStyle w:val="Body"/>
        <w:jc w:val="both"/>
        <w:rPr>
          <w:rStyle w:val="None"/>
          <w:rFonts w:ascii="Arial" w:eastAsia="Arial" w:hAnsi="Arial" w:cs="Arial"/>
          <w:sz w:val="24"/>
          <w:szCs w:val="24"/>
        </w:rPr>
      </w:pPr>
      <w:r>
        <w:rPr>
          <w:rStyle w:val="None"/>
          <w:rFonts w:ascii="Arial" w:eastAsia="Arial" w:hAnsi="Arial" w:cs="Arial"/>
          <w:noProof/>
        </w:rPr>
        <w:drawing>
          <wp:inline distT="0" distB="0" distL="0" distR="0" wp14:anchorId="525E67FF" wp14:editId="0AC8715D">
            <wp:extent cx="6858000" cy="2743200"/>
            <wp:effectExtent l="0" t="0" r="0" b="0"/>
            <wp:docPr id="1073741827" name="officeArt object"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A screenshot of a computerAI-generated content may be incorrect." descr="A screenshot of a computerAI-generated content may be incorrect."/>
                    <pic:cNvPicPr>
                      <a:picLocks noChangeAspect="1"/>
                    </pic:cNvPicPr>
                  </pic:nvPicPr>
                  <pic:blipFill>
                    <a:blip r:embed="rId10"/>
                    <a:stretch>
                      <a:fillRect/>
                    </a:stretch>
                  </pic:blipFill>
                  <pic:spPr>
                    <a:xfrm>
                      <a:off x="0" y="0"/>
                      <a:ext cx="6858000" cy="2743200"/>
                    </a:xfrm>
                    <a:prstGeom prst="rect">
                      <a:avLst/>
                    </a:prstGeom>
                    <a:ln w="12700" cap="flat">
                      <a:noFill/>
                      <a:miter lim="400000"/>
                    </a:ln>
                    <a:effectLst/>
                  </pic:spPr>
                </pic:pic>
              </a:graphicData>
            </a:graphic>
          </wp:inline>
        </w:drawing>
      </w:r>
    </w:p>
    <w:p w14:paraId="4B5F97ED" w14:textId="77777777" w:rsidR="00D432DE" w:rsidRDefault="00000000">
      <w:pPr>
        <w:pStyle w:val="Body"/>
        <w:rPr>
          <w:rStyle w:val="None"/>
          <w:rFonts w:ascii="Arial" w:eastAsia="Arial" w:hAnsi="Arial" w:cs="Arial"/>
          <w:sz w:val="24"/>
          <w:szCs w:val="24"/>
        </w:rPr>
      </w:pPr>
      <w:r>
        <w:rPr>
          <w:rStyle w:val="None"/>
          <w:rFonts w:ascii="Arial" w:hAnsi="Arial"/>
          <w:b/>
          <w:bCs/>
          <w:sz w:val="24"/>
          <w:szCs w:val="24"/>
        </w:rPr>
        <w:t xml:space="preserve">Supplementary Figure 3: </w:t>
      </w:r>
      <w:proofErr w:type="spellStart"/>
      <w:r>
        <w:rPr>
          <w:rStyle w:val="None"/>
          <w:rFonts w:ascii="Arial" w:hAnsi="Arial"/>
          <w:b/>
          <w:bCs/>
          <w:sz w:val="24"/>
          <w:szCs w:val="24"/>
        </w:rPr>
        <w:t>UpSet</w:t>
      </w:r>
      <w:proofErr w:type="spellEnd"/>
      <w:r>
        <w:rPr>
          <w:rStyle w:val="None"/>
          <w:rFonts w:ascii="Arial" w:hAnsi="Arial"/>
          <w:b/>
          <w:bCs/>
          <w:sz w:val="24"/>
          <w:szCs w:val="24"/>
        </w:rPr>
        <w:t xml:space="preserve"> plots showing common and unique ICD-10 (A) and SNOMED-CT codes (B) across the 4 approaches tested (shown in Supplementary Figure 1).</w:t>
      </w:r>
      <w:r>
        <w:rPr>
          <w:rStyle w:val="None"/>
          <w:rFonts w:ascii="Arial" w:hAnsi="Arial"/>
          <w:sz w:val="24"/>
          <w:szCs w:val="24"/>
        </w:rPr>
        <w:t xml:space="preserve"> A total of 243 ICD-10 and 6,531 SNOMED-CT codes resulting from approaches 1, 2, and/or 3 were filtered out in the final approach.</w:t>
      </w:r>
    </w:p>
    <w:p w14:paraId="2D54351E" w14:textId="77777777" w:rsidR="00D432DE" w:rsidRDefault="00D432DE">
      <w:pPr>
        <w:pStyle w:val="Body"/>
        <w:jc w:val="both"/>
        <w:rPr>
          <w:rStyle w:val="None"/>
          <w:rFonts w:ascii="Arial" w:eastAsia="Arial" w:hAnsi="Arial" w:cs="Arial"/>
          <w:sz w:val="24"/>
          <w:szCs w:val="24"/>
        </w:rPr>
      </w:pPr>
    </w:p>
    <w:p w14:paraId="12868775" w14:textId="77777777" w:rsidR="00D432DE" w:rsidRDefault="00D432DE">
      <w:pPr>
        <w:pStyle w:val="Body"/>
        <w:jc w:val="both"/>
        <w:rPr>
          <w:rStyle w:val="None"/>
          <w:rFonts w:ascii="Arial" w:eastAsia="Arial" w:hAnsi="Arial" w:cs="Arial"/>
          <w:sz w:val="24"/>
          <w:szCs w:val="24"/>
        </w:rPr>
      </w:pPr>
    </w:p>
    <w:p w14:paraId="4E0758E3" w14:textId="77777777" w:rsidR="00D432DE" w:rsidRDefault="00D432DE">
      <w:pPr>
        <w:pStyle w:val="Body"/>
        <w:jc w:val="both"/>
        <w:rPr>
          <w:rStyle w:val="None"/>
          <w:rFonts w:ascii="Arial" w:eastAsia="Arial" w:hAnsi="Arial" w:cs="Arial"/>
          <w:sz w:val="24"/>
          <w:szCs w:val="24"/>
        </w:rPr>
      </w:pPr>
    </w:p>
    <w:p w14:paraId="0AE9DDF3" w14:textId="77777777" w:rsidR="00D432DE" w:rsidRDefault="00D432DE">
      <w:pPr>
        <w:pStyle w:val="Body"/>
        <w:jc w:val="both"/>
        <w:rPr>
          <w:rStyle w:val="None"/>
          <w:rFonts w:ascii="Arial" w:eastAsia="Arial" w:hAnsi="Arial" w:cs="Arial"/>
          <w:sz w:val="24"/>
          <w:szCs w:val="24"/>
        </w:rPr>
      </w:pPr>
    </w:p>
    <w:p w14:paraId="48F472D1" w14:textId="77777777" w:rsidR="00D432DE" w:rsidRDefault="00D432DE">
      <w:pPr>
        <w:pStyle w:val="Body"/>
        <w:jc w:val="both"/>
        <w:rPr>
          <w:rStyle w:val="None"/>
          <w:rFonts w:ascii="Arial" w:eastAsia="Arial" w:hAnsi="Arial" w:cs="Arial"/>
          <w:sz w:val="24"/>
          <w:szCs w:val="24"/>
        </w:rPr>
      </w:pPr>
    </w:p>
    <w:p w14:paraId="64E596F6" w14:textId="77777777" w:rsidR="00D432DE" w:rsidRDefault="00D432DE">
      <w:pPr>
        <w:pStyle w:val="Body"/>
        <w:jc w:val="both"/>
        <w:rPr>
          <w:rStyle w:val="None"/>
          <w:rFonts w:ascii="Arial" w:eastAsia="Arial" w:hAnsi="Arial" w:cs="Arial"/>
          <w:sz w:val="24"/>
          <w:szCs w:val="24"/>
        </w:rPr>
      </w:pPr>
    </w:p>
    <w:p w14:paraId="56DD4FCE" w14:textId="77777777" w:rsidR="00D432DE" w:rsidRDefault="00D432DE">
      <w:pPr>
        <w:pStyle w:val="Body"/>
        <w:jc w:val="both"/>
        <w:rPr>
          <w:rStyle w:val="None"/>
          <w:rFonts w:ascii="Arial" w:eastAsia="Arial" w:hAnsi="Arial" w:cs="Arial"/>
          <w:sz w:val="24"/>
          <w:szCs w:val="24"/>
        </w:rPr>
      </w:pPr>
    </w:p>
    <w:p w14:paraId="034B7605" w14:textId="77777777" w:rsidR="00D432DE" w:rsidRDefault="00D432DE">
      <w:pPr>
        <w:pStyle w:val="Body"/>
        <w:jc w:val="both"/>
        <w:rPr>
          <w:rStyle w:val="None"/>
          <w:rFonts w:ascii="Arial" w:eastAsia="Arial" w:hAnsi="Arial" w:cs="Arial"/>
          <w:sz w:val="24"/>
          <w:szCs w:val="24"/>
        </w:rPr>
      </w:pPr>
    </w:p>
    <w:p w14:paraId="00FB4BAD" w14:textId="77777777" w:rsidR="00D432DE" w:rsidRDefault="00D432DE">
      <w:pPr>
        <w:pStyle w:val="Body"/>
        <w:jc w:val="both"/>
        <w:rPr>
          <w:rStyle w:val="None"/>
          <w:rFonts w:ascii="Arial" w:eastAsia="Arial" w:hAnsi="Arial" w:cs="Arial"/>
          <w:sz w:val="24"/>
          <w:szCs w:val="24"/>
        </w:rPr>
      </w:pPr>
    </w:p>
    <w:p w14:paraId="4392E59F" w14:textId="77777777" w:rsidR="00D432DE" w:rsidRDefault="00D432DE">
      <w:pPr>
        <w:pStyle w:val="Body"/>
        <w:jc w:val="both"/>
        <w:rPr>
          <w:rStyle w:val="None"/>
          <w:rFonts w:ascii="Arial" w:eastAsia="Arial" w:hAnsi="Arial" w:cs="Arial"/>
          <w:sz w:val="24"/>
          <w:szCs w:val="24"/>
        </w:rPr>
      </w:pPr>
    </w:p>
    <w:p w14:paraId="757FD0F4" w14:textId="77777777" w:rsidR="00D432DE" w:rsidRDefault="00D432DE">
      <w:pPr>
        <w:pStyle w:val="Body"/>
        <w:jc w:val="both"/>
        <w:rPr>
          <w:rStyle w:val="None"/>
          <w:rFonts w:ascii="Arial" w:eastAsia="Arial" w:hAnsi="Arial" w:cs="Arial"/>
          <w:sz w:val="24"/>
          <w:szCs w:val="24"/>
        </w:rPr>
      </w:pPr>
    </w:p>
    <w:p w14:paraId="438029AF" w14:textId="77777777" w:rsidR="00D432DE" w:rsidRDefault="00D432DE">
      <w:pPr>
        <w:pStyle w:val="Body"/>
        <w:jc w:val="both"/>
        <w:rPr>
          <w:rStyle w:val="None"/>
          <w:rFonts w:ascii="Arial" w:eastAsia="Arial" w:hAnsi="Arial" w:cs="Arial"/>
          <w:sz w:val="24"/>
          <w:szCs w:val="24"/>
        </w:rPr>
      </w:pPr>
    </w:p>
    <w:p w14:paraId="56420411" w14:textId="195A8B4F" w:rsidR="00E81325" w:rsidRDefault="00E81325">
      <w:pPr>
        <w:pStyle w:val="Body"/>
        <w:ind w:left="360"/>
        <w:jc w:val="both"/>
        <w:rPr>
          <w:rStyle w:val="None"/>
          <w:rFonts w:ascii="Arial" w:hAnsi="Arial"/>
          <w:b/>
          <w:bCs/>
          <w:sz w:val="24"/>
          <w:szCs w:val="24"/>
        </w:rPr>
      </w:pPr>
      <w:r>
        <w:rPr>
          <w:rStyle w:val="None"/>
          <w:rFonts w:ascii="Arial" w:hAnsi="Arial"/>
          <w:b/>
          <w:bCs/>
          <w:noProof/>
          <w:sz w:val="24"/>
          <w:szCs w:val="24"/>
        </w:rPr>
        <w:lastRenderedPageBreak/>
        <w:drawing>
          <wp:inline distT="0" distB="0" distL="0" distR="0" wp14:anchorId="300B6020" wp14:editId="78A62807">
            <wp:extent cx="5895975" cy="6896100"/>
            <wp:effectExtent l="0" t="0" r="9525" b="0"/>
            <wp:docPr id="973788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5975" cy="6896100"/>
                    </a:xfrm>
                    <a:prstGeom prst="rect">
                      <a:avLst/>
                    </a:prstGeom>
                    <a:noFill/>
                    <a:ln>
                      <a:noFill/>
                    </a:ln>
                  </pic:spPr>
                </pic:pic>
              </a:graphicData>
            </a:graphic>
          </wp:inline>
        </w:drawing>
      </w:r>
    </w:p>
    <w:p w14:paraId="03AF8B2D" w14:textId="25B2C526" w:rsidR="00D432DE" w:rsidRDefault="00000000">
      <w:pPr>
        <w:pStyle w:val="Body"/>
        <w:ind w:left="360"/>
        <w:jc w:val="both"/>
        <w:rPr>
          <w:rStyle w:val="None"/>
          <w:rFonts w:ascii="Arial" w:eastAsia="Arial" w:hAnsi="Arial" w:cs="Arial"/>
          <w:sz w:val="24"/>
          <w:szCs w:val="24"/>
        </w:rPr>
      </w:pPr>
      <w:r>
        <w:rPr>
          <w:rStyle w:val="None"/>
          <w:rFonts w:ascii="Arial" w:hAnsi="Arial"/>
          <w:b/>
          <w:bCs/>
          <w:sz w:val="24"/>
          <w:szCs w:val="24"/>
        </w:rPr>
        <w:t>Supplementary Figure 4:</w:t>
      </w:r>
      <w:r>
        <w:rPr>
          <w:rStyle w:val="None"/>
          <w:rFonts w:ascii="Arial" w:hAnsi="Arial"/>
          <w:sz w:val="24"/>
          <w:szCs w:val="24"/>
        </w:rPr>
        <w:t xml:space="preserve"> </w:t>
      </w:r>
      <w:r>
        <w:rPr>
          <w:rStyle w:val="None"/>
          <w:rFonts w:ascii="Arial" w:hAnsi="Arial"/>
          <w:b/>
          <w:bCs/>
          <w:sz w:val="24"/>
          <w:szCs w:val="24"/>
        </w:rPr>
        <w:t xml:space="preserve">Workflow describing the use of RD-specific codes to define RD patients in N3C. </w:t>
      </w:r>
      <w:r>
        <w:rPr>
          <w:rStyle w:val="None"/>
          <w:rFonts w:ascii="Arial" w:hAnsi="Arial"/>
          <w:sz w:val="24"/>
          <w:szCs w:val="24"/>
        </w:rPr>
        <w:t xml:space="preserve"> </w:t>
      </w:r>
    </w:p>
    <w:p w14:paraId="007AFC5E" w14:textId="77777777" w:rsidR="00D432DE" w:rsidRDefault="00D432DE">
      <w:pPr>
        <w:pStyle w:val="Body"/>
        <w:ind w:left="360"/>
        <w:jc w:val="both"/>
        <w:rPr>
          <w:rStyle w:val="None"/>
          <w:rFonts w:ascii="Arial" w:eastAsia="Arial" w:hAnsi="Arial" w:cs="Arial"/>
          <w:sz w:val="24"/>
          <w:szCs w:val="24"/>
        </w:rPr>
      </w:pPr>
    </w:p>
    <w:p w14:paraId="09304C69" w14:textId="77777777" w:rsidR="00D432DE" w:rsidRDefault="00D432DE">
      <w:pPr>
        <w:pStyle w:val="Body"/>
      </w:pPr>
    </w:p>
    <w:p w14:paraId="1CF01CB5" w14:textId="77777777" w:rsidR="00D432DE" w:rsidRDefault="00D432DE">
      <w:pPr>
        <w:pStyle w:val="Body"/>
      </w:pPr>
    </w:p>
    <w:p w14:paraId="428A1273" w14:textId="77777777" w:rsidR="00D432DE" w:rsidRDefault="00D432DE">
      <w:pPr>
        <w:pStyle w:val="Body"/>
        <w:jc w:val="both"/>
        <w:rPr>
          <w:rStyle w:val="None"/>
          <w:rFonts w:ascii="Arial" w:eastAsia="Arial" w:hAnsi="Arial" w:cs="Arial"/>
          <w:b/>
          <w:bCs/>
          <w:sz w:val="24"/>
          <w:szCs w:val="24"/>
        </w:rPr>
      </w:pPr>
    </w:p>
    <w:p w14:paraId="45F29AEF" w14:textId="45249FCB" w:rsidR="00D432DE" w:rsidRPr="004030EB" w:rsidRDefault="00000000">
      <w:pPr>
        <w:pStyle w:val="Body"/>
        <w:jc w:val="both"/>
        <w:rPr>
          <w:rStyle w:val="None"/>
          <w:rFonts w:ascii="Arial" w:eastAsia="Arial" w:hAnsi="Arial" w:cs="Arial"/>
          <w:b/>
          <w:bCs/>
          <w:sz w:val="24"/>
          <w:szCs w:val="24"/>
        </w:rPr>
      </w:pPr>
      <w:r>
        <w:rPr>
          <w:rStyle w:val="None"/>
          <w:rFonts w:ascii="Arial" w:eastAsia="Arial" w:hAnsi="Arial" w:cs="Arial"/>
          <w:b/>
          <w:bCs/>
          <w:noProof/>
          <w:sz w:val="24"/>
          <w:szCs w:val="24"/>
        </w:rPr>
        <w:lastRenderedPageBreak/>
        <w:drawing>
          <wp:inline distT="0" distB="0" distL="0" distR="0" wp14:anchorId="6CDEA99B" wp14:editId="351DA07C">
            <wp:extent cx="6504977" cy="2886075"/>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12"/>
                    <a:stretch>
                      <a:fillRect/>
                    </a:stretch>
                  </pic:blipFill>
                  <pic:spPr>
                    <a:xfrm>
                      <a:off x="0" y="0"/>
                      <a:ext cx="6504977" cy="2886075"/>
                    </a:xfrm>
                    <a:prstGeom prst="rect">
                      <a:avLst/>
                    </a:prstGeom>
                    <a:ln w="12700" cap="flat">
                      <a:noFill/>
                      <a:miter lim="400000"/>
                    </a:ln>
                    <a:effectLst/>
                  </pic:spPr>
                </pic:pic>
              </a:graphicData>
            </a:graphic>
          </wp:inline>
        </w:drawing>
      </w:r>
      <w:r>
        <w:rPr>
          <w:rStyle w:val="None"/>
          <w:rFonts w:ascii="Arial" w:hAnsi="Arial"/>
          <w:b/>
          <w:bCs/>
          <w:sz w:val="24"/>
          <w:szCs w:val="24"/>
        </w:rPr>
        <w:t>Supplementary Figure 5: Description of patients with preexisting RD identified in the N3C COVID-19 cohort.</w:t>
      </w:r>
      <w:r>
        <w:rPr>
          <w:rStyle w:val="None"/>
          <w:rFonts w:ascii="Arial" w:hAnsi="Arial"/>
          <w:sz w:val="24"/>
          <w:szCs w:val="24"/>
        </w:rPr>
        <w:t xml:space="preserve"> A) Number of patients per RD ORPHANET linearization class for RD patients identified within our N3C COVID-19 cohort. B) and C) Distribution of the number of RD patients with a COVID-19 diagnosis stratified by COVID-19 related mortality (B) and hospitalization (C).</w:t>
      </w:r>
      <w:r w:rsidR="00F64ED5">
        <w:rPr>
          <w:rStyle w:val="None"/>
          <w:rFonts w:ascii="Arial" w:hAnsi="Arial"/>
          <w:sz w:val="24"/>
          <w:szCs w:val="24"/>
        </w:rPr>
        <w:t xml:space="preserve"> </w:t>
      </w:r>
      <w:r w:rsidR="00F64ED5" w:rsidRPr="00F64ED5">
        <w:rPr>
          <w:rStyle w:val="None"/>
          <w:rFonts w:ascii="Arial" w:hAnsi="Arial"/>
          <w:sz w:val="24"/>
          <w:szCs w:val="24"/>
        </w:rPr>
        <w:t>The mortality/hospitalization</w:t>
      </w:r>
      <w:r w:rsidR="00F753F5">
        <w:rPr>
          <w:rStyle w:val="None"/>
          <w:rFonts w:ascii="Arial" w:hAnsi="Arial"/>
          <w:sz w:val="24"/>
          <w:szCs w:val="24"/>
        </w:rPr>
        <w:t>s</w:t>
      </w:r>
      <w:r w:rsidR="00F64ED5" w:rsidRPr="00F64ED5">
        <w:rPr>
          <w:rStyle w:val="None"/>
          <w:rFonts w:ascii="Arial" w:hAnsi="Arial"/>
          <w:sz w:val="24"/>
          <w:szCs w:val="24"/>
        </w:rPr>
        <w:t xml:space="preserve"> rates were calculated as the number of </w:t>
      </w:r>
      <w:r w:rsidR="00F753F5" w:rsidRPr="00F64ED5">
        <w:rPr>
          <w:rStyle w:val="None"/>
          <w:rFonts w:ascii="Arial" w:hAnsi="Arial"/>
          <w:sz w:val="24"/>
          <w:szCs w:val="24"/>
        </w:rPr>
        <w:t>mortalities/hospitalizations</w:t>
      </w:r>
      <w:r w:rsidR="00F64ED5" w:rsidRPr="00F64ED5">
        <w:rPr>
          <w:rStyle w:val="None"/>
          <w:rFonts w:ascii="Arial" w:hAnsi="Arial"/>
          <w:sz w:val="24"/>
          <w:szCs w:val="24"/>
        </w:rPr>
        <w:t xml:space="preserve"> within a linearization class divided by the total number of mortalities/hospitalization</w:t>
      </w:r>
      <w:r w:rsidR="00F753F5">
        <w:rPr>
          <w:rStyle w:val="None"/>
          <w:rFonts w:ascii="Arial" w:hAnsi="Arial"/>
          <w:sz w:val="24"/>
          <w:szCs w:val="24"/>
        </w:rPr>
        <w:t>s</w:t>
      </w:r>
      <w:r w:rsidR="00F64ED5" w:rsidRPr="00F64ED5">
        <w:rPr>
          <w:rStyle w:val="None"/>
          <w:rFonts w:ascii="Arial" w:hAnsi="Arial"/>
          <w:sz w:val="24"/>
          <w:szCs w:val="24"/>
        </w:rPr>
        <w:t xml:space="preserve"> across all the linearization classes in our N3C cohort.</w:t>
      </w:r>
    </w:p>
    <w:p w14:paraId="072E9A32" w14:textId="77777777" w:rsidR="00D432DE" w:rsidRDefault="00000000">
      <w:pPr>
        <w:pStyle w:val="Body"/>
      </w:pPr>
      <w:r>
        <w:rPr>
          <w:rStyle w:val="None"/>
          <w:noProof/>
        </w:rPr>
        <w:drawing>
          <wp:inline distT="0" distB="0" distL="0" distR="0" wp14:anchorId="4CA29494" wp14:editId="142AE250">
            <wp:extent cx="6570981" cy="3390900"/>
            <wp:effectExtent l="0" t="0" r="0" b="0"/>
            <wp:docPr id="1073741830" name="officeArt object" descr="Picture 3"/>
            <wp:cNvGraphicFramePr/>
            <a:graphic xmlns:a="http://schemas.openxmlformats.org/drawingml/2006/main">
              <a:graphicData uri="http://schemas.openxmlformats.org/drawingml/2006/picture">
                <pic:pic xmlns:pic="http://schemas.openxmlformats.org/drawingml/2006/picture">
                  <pic:nvPicPr>
                    <pic:cNvPr id="1073741830" name="Picture 3" descr="Picture 3"/>
                    <pic:cNvPicPr>
                      <a:picLocks noChangeAspect="1"/>
                    </pic:cNvPicPr>
                  </pic:nvPicPr>
                  <pic:blipFill>
                    <a:blip r:embed="rId13"/>
                    <a:srcRect t="6691" b="1696"/>
                    <a:stretch>
                      <a:fillRect/>
                    </a:stretch>
                  </pic:blipFill>
                  <pic:spPr>
                    <a:xfrm>
                      <a:off x="0" y="0"/>
                      <a:ext cx="6570981" cy="3390900"/>
                    </a:xfrm>
                    <a:prstGeom prst="rect">
                      <a:avLst/>
                    </a:prstGeom>
                    <a:ln w="12700" cap="flat">
                      <a:noFill/>
                      <a:miter lim="400000"/>
                    </a:ln>
                    <a:effectLst/>
                  </pic:spPr>
                </pic:pic>
              </a:graphicData>
            </a:graphic>
          </wp:inline>
        </w:drawing>
      </w:r>
    </w:p>
    <w:p w14:paraId="3DEED84F" w14:textId="148FDC87" w:rsidR="00D432DE" w:rsidRDefault="00000000">
      <w:pPr>
        <w:pStyle w:val="Body"/>
      </w:pPr>
      <w:r>
        <w:rPr>
          <w:rStyle w:val="None"/>
          <w:rFonts w:ascii="Arial" w:hAnsi="Arial"/>
          <w:b/>
          <w:bCs/>
          <w:sz w:val="24"/>
          <w:szCs w:val="24"/>
        </w:rPr>
        <w:t>Supplementary Figure 6: Distribution of the number of patients with preexisting RD that have suffered COVID-19 related death or hospitalization, stratified by age and sex.</w:t>
      </w:r>
      <w:r>
        <w:rPr>
          <w:rStyle w:val="None"/>
          <w:rFonts w:ascii="Arial" w:hAnsi="Arial"/>
          <w:sz w:val="24"/>
          <w:szCs w:val="24"/>
        </w:rPr>
        <w:t xml:space="preserve">  Distribution of percent mortality of COVID-19 patients with/without preexisting RD in males (A) and females (B), stratified by age groups. Distribution of percent hospitalized COVID-19 patients with/without preexisting RD in males (C) and females (D), stratified by age groups.</w:t>
      </w:r>
    </w:p>
    <w:sectPr w:rsidR="00D432DE">
      <w:headerReference w:type="default" r:id="rId14"/>
      <w:footerReference w:type="default" r:id="rId1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129B" w14:textId="77777777" w:rsidR="00467251" w:rsidRDefault="00467251">
      <w:r>
        <w:separator/>
      </w:r>
    </w:p>
  </w:endnote>
  <w:endnote w:type="continuationSeparator" w:id="0">
    <w:p w14:paraId="443514EE" w14:textId="77777777" w:rsidR="00467251" w:rsidRDefault="00467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99AD" w14:textId="77777777" w:rsidR="00D432DE" w:rsidRDefault="00D432D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6CF6" w14:textId="77777777" w:rsidR="00467251" w:rsidRDefault="00467251">
      <w:r>
        <w:separator/>
      </w:r>
    </w:p>
  </w:footnote>
  <w:footnote w:type="continuationSeparator" w:id="0">
    <w:p w14:paraId="406294CA" w14:textId="77777777" w:rsidR="00467251" w:rsidRDefault="00467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F883" w14:textId="77777777" w:rsidR="00D432DE" w:rsidRDefault="00D432D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A3167"/>
    <w:multiLevelType w:val="hybridMultilevel"/>
    <w:tmpl w:val="EA94EE8A"/>
    <w:styleLink w:val="ImportedStyle1"/>
    <w:lvl w:ilvl="0" w:tplc="ED2426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34977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D00D9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1DAA40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ED07D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CEAC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BA206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DB4DD7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30E0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99132D2"/>
    <w:multiLevelType w:val="hybridMultilevel"/>
    <w:tmpl w:val="EA94EE8A"/>
    <w:numStyleLink w:val="ImportedStyle1"/>
  </w:abstractNum>
  <w:num w:numId="1" w16cid:durableId="1643778441">
    <w:abstractNumId w:val="0"/>
  </w:num>
  <w:num w:numId="2" w16cid:durableId="1487405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2DE"/>
    <w:rsid w:val="00041B5E"/>
    <w:rsid w:val="00162E29"/>
    <w:rsid w:val="004030EB"/>
    <w:rsid w:val="00467251"/>
    <w:rsid w:val="0059147D"/>
    <w:rsid w:val="00687300"/>
    <w:rsid w:val="006C5F03"/>
    <w:rsid w:val="0075011B"/>
    <w:rsid w:val="00780A00"/>
    <w:rsid w:val="007B653B"/>
    <w:rsid w:val="007D5FF9"/>
    <w:rsid w:val="00881270"/>
    <w:rsid w:val="009D31C2"/>
    <w:rsid w:val="00A31C5B"/>
    <w:rsid w:val="00A64E25"/>
    <w:rsid w:val="00AF41D6"/>
    <w:rsid w:val="00D432DE"/>
    <w:rsid w:val="00E81325"/>
    <w:rsid w:val="00F64ED5"/>
    <w:rsid w:val="00F753F5"/>
    <w:rsid w:val="00FA5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645C1"/>
  <w15:docId w15:val="{647FE42B-0251-462C-ABC6-2A0AF0C3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Aptos" w:eastAsia="Aptos" w:hAnsi="Aptos" w:cs="Apto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Times New Roman" w:eastAsia="Times New Roman" w:hAnsi="Times New Roman" w:cs="Times New Roman"/>
      <w:outline w:val="0"/>
      <w:color w:val="0000FF"/>
      <w:u w:val="single" w:color="0000FF"/>
    </w:rPr>
  </w:style>
  <w:style w:type="paragraph" w:styleId="Bibliography">
    <w:name w:val="Bibliography"/>
    <w:next w:val="Body"/>
    <w:pPr>
      <w:tabs>
        <w:tab w:val="left" w:pos="264"/>
      </w:tabs>
      <w:spacing w:after="240"/>
      <w:ind w:left="264" w:hanging="264"/>
    </w:pPr>
    <w:rPr>
      <w:rFonts w:ascii="Aptos" w:eastAsia="Aptos" w:hAnsi="Aptos" w:cs="Aptos"/>
      <w:color w:val="000000"/>
      <w:sz w:val="22"/>
      <w:szCs w:val="22"/>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D5FF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github.com/arjunyadaw/Rare-Disease-Cohort-Building-in-EHR-System.git"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7</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Yadaw, Arjun Singh (NIH/NCATS) [C]</cp:lastModifiedBy>
  <cp:revision>9</cp:revision>
  <dcterms:created xsi:type="dcterms:W3CDTF">2025-10-16T14:04:00Z</dcterms:created>
  <dcterms:modified xsi:type="dcterms:W3CDTF">2025-12-23T01:03:00Z</dcterms:modified>
</cp:coreProperties>
</file>