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FAB42" w14:textId="644E0491" w:rsidR="00D16DA3" w:rsidRPr="00A0200E" w:rsidRDefault="00D16DA3" w:rsidP="00D16DA3">
      <w:pPr>
        <w:spacing w:after="0" w:line="48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Article title: 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Integrated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p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roteomic and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s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ingle-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c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ell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t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ranscriptomic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p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rofiling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e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lucidates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i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mmunomodulatory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e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ffects of </w:t>
      </w:r>
      <w:r w:rsidR="00E056F3"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L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-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s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erine in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a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utism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s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pectrum 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>d</w:t>
      </w:r>
      <w:r w:rsidRPr="00A0200E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>isorder</w:t>
      </w:r>
    </w:p>
    <w:p w14:paraId="0919E5A9" w14:textId="77777777" w:rsidR="00D16DA3" w:rsidRPr="00A0200E" w:rsidRDefault="00D16DA3" w:rsidP="00D16DA3">
      <w:pPr>
        <w:spacing w:after="0" w:line="48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</w:pPr>
    </w:p>
    <w:p w14:paraId="418C4056" w14:textId="04BC81A7" w:rsidR="00D16DA3" w:rsidRPr="00A0200E" w:rsidRDefault="00D16DA3" w:rsidP="00D16DA3">
      <w:pPr>
        <w:spacing w:after="0" w:line="48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b/>
          <w:noProof/>
          <w:kern w:val="2"/>
          <w:sz w:val="24"/>
          <w:szCs w:val="24"/>
        </w:rPr>
        <w:t>Author names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 xml:space="preserve">: Jaemyung Jang 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a 1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 xml:space="preserve">, Seungeun Yeo 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b 1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 xml:space="preserve">, Jong Pil Kim </w:t>
      </w:r>
      <w:r w:rsidR="00A61A21"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 c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 xml:space="preserve">, Soonbong Baek 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a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 xml:space="preserve">, Hyun Jin Jung 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a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 xml:space="preserve">, Su-Kyeong Hwang 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d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t>, Youngshik Choe</w:t>
      </w: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 xml:space="preserve"> a </w:t>
      </w:r>
      <w:r w:rsidRPr="00A0200E">
        <w:rPr>
          <w:rFonts w:ascii="Times New Roman" w:eastAsia="Times New Roman" w:hAnsi="Times New Roman" w:cs="Times New Roman"/>
          <w:noProof/>
          <w:sz w:val="24"/>
          <w:szCs w:val="24"/>
        </w:rPr>
        <w:t>*</w:t>
      </w:r>
    </w:p>
    <w:p w14:paraId="3C8D0912" w14:textId="77777777" w:rsidR="00D16DA3" w:rsidRPr="00A0200E" w:rsidRDefault="00D16DA3" w:rsidP="00D16DA3">
      <w:pPr>
        <w:spacing w:after="0" w:line="48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9A1CB9D" w14:textId="77777777" w:rsidR="00D16DA3" w:rsidRPr="00A0200E" w:rsidRDefault="00D16DA3" w:rsidP="00D16DA3">
      <w:pPr>
        <w:spacing w:after="0" w:line="480" w:lineRule="auto"/>
        <w:contextualSpacing/>
        <w:rPr>
          <w:rFonts w:ascii="Times New Roman" w:hAnsi="Times New Roman" w:cs="Times New Roman"/>
          <w:bCs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Affiliations</w:t>
      </w:r>
      <w:r w:rsidRPr="00A0200E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: </w:t>
      </w:r>
    </w:p>
    <w:p w14:paraId="1F0CF1DF" w14:textId="77777777" w:rsidR="00D16DA3" w:rsidRPr="00A0200E" w:rsidRDefault="00D16DA3" w:rsidP="00D16DA3">
      <w:pPr>
        <w:pStyle w:val="a"/>
        <w:spacing w:line="480" w:lineRule="auto"/>
        <w:ind w:firstLineChars="200" w:firstLine="480"/>
        <w:contextualSpacing/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noProof/>
          <w:color w:val="auto"/>
          <w:kern w:val="2"/>
          <w:sz w:val="24"/>
          <w:szCs w:val="24"/>
          <w:vertAlign w:val="superscript"/>
        </w:rPr>
        <w:t>a</w:t>
      </w:r>
      <w:r w:rsidRPr="00A0200E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</w:rPr>
        <w:t xml:space="preserve"> </w:t>
      </w:r>
      <w:r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Developmental Disorders &amp; Rare Diseases Research</w:t>
      </w:r>
      <w:r w:rsidRPr="00A0200E">
        <w:rPr>
          <w:rFonts w:ascii="Times New Roman" w:eastAsiaTheme="minorEastAsia" w:hAnsi="Times New Roman" w:cs="Times New Roman"/>
          <w:noProof/>
          <w:color w:val="auto"/>
          <w:sz w:val="24"/>
          <w:szCs w:val="24"/>
        </w:rPr>
        <w:t xml:space="preserve"> </w:t>
      </w:r>
      <w:r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 xml:space="preserve">Group, Korea Brain Research Institute, Research Division, 61 Cheomdan-ro, </w:t>
      </w:r>
      <w:r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Daegu</w:t>
      </w:r>
      <w:r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, 41062, Republic of Korea</w:t>
      </w:r>
    </w:p>
    <w:p w14:paraId="4EA7B574" w14:textId="77777777" w:rsidR="00D16DA3" w:rsidRPr="00A0200E" w:rsidRDefault="00D16DA3" w:rsidP="00D16DA3">
      <w:pPr>
        <w:pStyle w:val="a"/>
        <w:spacing w:line="480" w:lineRule="auto"/>
        <w:ind w:firstLineChars="200" w:firstLine="480"/>
        <w:contextualSpacing/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noProof/>
          <w:color w:val="auto"/>
          <w:kern w:val="2"/>
          <w:sz w:val="24"/>
          <w:szCs w:val="24"/>
          <w:vertAlign w:val="superscript"/>
        </w:rPr>
        <w:t>b</w:t>
      </w:r>
      <w:r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 xml:space="preserve"> Gut-Brain System Regulation Korean Medicine Research Center, Dongshin University, Naju-si, 58245, Korea, Republic of Korea</w:t>
      </w:r>
    </w:p>
    <w:p w14:paraId="12E8FAE2" w14:textId="2D7C0EB4" w:rsidR="00D16DA3" w:rsidRPr="00A0200E" w:rsidRDefault="00D16DA3" w:rsidP="00D16DA3">
      <w:pPr>
        <w:pStyle w:val="a"/>
        <w:spacing w:line="480" w:lineRule="auto"/>
        <w:ind w:firstLineChars="200" w:firstLine="480"/>
        <w:contextualSpacing/>
        <w:rPr>
          <w:rFonts w:ascii="Times New Roman" w:eastAsiaTheme="minorEastAsia" w:hAnsi="Times New Roman" w:cs="Times New Roman"/>
          <w:noProof/>
          <w:color w:val="auto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noProof/>
          <w:color w:val="auto"/>
          <w:kern w:val="2"/>
          <w:sz w:val="24"/>
          <w:szCs w:val="24"/>
          <w:vertAlign w:val="superscript"/>
        </w:rPr>
        <w:t>c</w:t>
      </w:r>
      <w:r w:rsidRPr="00A0200E"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</w:rPr>
        <w:t xml:space="preserve"> </w:t>
      </w:r>
      <w:r w:rsidR="00A61A21"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Hanyang Institute of Bioscience and Biotechnology, Hanyang Univers</w:t>
      </w:r>
      <w:r w:rsidR="006658DC"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i</w:t>
      </w:r>
      <w:r w:rsidR="00A61A21" w:rsidRPr="00A0200E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ty, Seoul, 04763, Korea, Republic of Korea</w:t>
      </w:r>
    </w:p>
    <w:p w14:paraId="0653F1AE" w14:textId="4BBEBC0C" w:rsidR="00A61A21" w:rsidRPr="00A0200E" w:rsidRDefault="00D16DA3" w:rsidP="00D16DA3">
      <w:pPr>
        <w:pStyle w:val="a"/>
        <w:spacing w:line="480" w:lineRule="auto"/>
        <w:ind w:firstLineChars="200" w:firstLine="4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 xml:space="preserve">d </w:t>
      </w:r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Department of Pediatrics, School of Medicine, Kyung</w:t>
      </w:r>
      <w:r w:rsidR="00667D56" w:rsidRPr="00A0200E">
        <w:rPr>
          <w:rFonts w:ascii="Times New Roman" w:eastAsiaTheme="minorEastAsia" w:hAnsi="Times New Roman" w:cs="Times New Roman"/>
          <w:color w:val="auto"/>
          <w:sz w:val="24"/>
          <w:szCs w:val="24"/>
        </w:rPr>
        <w:t>p</w:t>
      </w:r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ook National University, 680 </w:t>
      </w:r>
      <w:proofErr w:type="spellStart"/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Gukchaebosang-ro</w:t>
      </w:r>
      <w:proofErr w:type="spellEnd"/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Daegu, 41944, Republic of Korea; </w:t>
      </w:r>
      <w:proofErr w:type="spellStart"/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Astrogen</w:t>
      </w:r>
      <w:proofErr w:type="spellEnd"/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Inc., 440 </w:t>
      </w:r>
      <w:proofErr w:type="spellStart"/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Hyeoksin-daero</w:t>
      </w:r>
      <w:proofErr w:type="spellEnd"/>
      <w:r w:rsidR="00A61A21"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, Daegu, 41072, Republic of Korea</w:t>
      </w:r>
    </w:p>
    <w:p w14:paraId="4819E802" w14:textId="09EA8DF0" w:rsidR="00D16DA3" w:rsidRPr="00A0200E" w:rsidRDefault="00D16DA3" w:rsidP="00D16DA3">
      <w:pPr>
        <w:pStyle w:val="a"/>
        <w:spacing w:line="480" w:lineRule="auto"/>
        <w:ind w:firstLineChars="200" w:firstLine="4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A0200E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  </w:t>
      </w:r>
    </w:p>
    <w:p w14:paraId="24E67ED4" w14:textId="77777777" w:rsidR="00D16DA3" w:rsidRPr="00A0200E" w:rsidRDefault="00D16DA3" w:rsidP="00D16DA3">
      <w:pPr>
        <w:pStyle w:val="a"/>
        <w:spacing w:line="48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Corresponding author: </w:t>
      </w:r>
      <w:r w:rsidRPr="00A0200E">
        <w:rPr>
          <w:rFonts w:ascii="Times New Roman" w:eastAsia="Times New Roman" w:hAnsi="Times New Roman" w:cs="Times New Roman"/>
          <w:noProof/>
          <w:sz w:val="24"/>
          <w:szCs w:val="24"/>
        </w:rPr>
        <w:t>Youngshik Choe</w:t>
      </w:r>
    </w:p>
    <w:p w14:paraId="399C4649" w14:textId="77777777" w:rsidR="00D16DA3" w:rsidRPr="00A0200E" w:rsidRDefault="00D16DA3" w:rsidP="00D16DA3">
      <w:pPr>
        <w:spacing w:after="0" w:line="480" w:lineRule="auto"/>
        <w:ind w:firstLineChars="200" w:firstLine="4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noProof/>
          <w:sz w:val="24"/>
          <w:szCs w:val="24"/>
        </w:rPr>
        <w:t>61 Cheomdan-ro, Dong</w:t>
      </w:r>
      <w:r w:rsidRPr="00A0200E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A0200E">
        <w:rPr>
          <w:rFonts w:ascii="Times New Roman" w:eastAsia="Times New Roman" w:hAnsi="Times New Roman" w:cs="Times New Roman"/>
          <w:sz w:val="24"/>
          <w:szCs w:val="24"/>
        </w:rPr>
        <w:t>gu</w:t>
      </w:r>
      <w:proofErr w:type="spellEnd"/>
      <w:r w:rsidRPr="00A0200E">
        <w:rPr>
          <w:rFonts w:ascii="Times New Roman" w:eastAsia="Times New Roman" w:hAnsi="Times New Roman" w:cs="Times New Roman"/>
          <w:sz w:val="24"/>
          <w:szCs w:val="24"/>
        </w:rPr>
        <w:t>, Daegu, 41062, Korea</w:t>
      </w:r>
    </w:p>
    <w:p w14:paraId="3B412BFF" w14:textId="77777777" w:rsidR="00D16DA3" w:rsidRPr="00A0200E" w:rsidRDefault="00D16DA3" w:rsidP="00D16DA3">
      <w:pPr>
        <w:pStyle w:val="a"/>
        <w:wordWrap/>
        <w:spacing w:line="480" w:lineRule="auto"/>
        <w:ind w:firstLineChars="200" w:firstLine="48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  <w:lang w:val="pt-BR"/>
        </w:rPr>
      </w:pPr>
      <w:r w:rsidRPr="00A0200E">
        <w:rPr>
          <w:rFonts w:ascii="Times New Roman" w:eastAsia="Times New Roman" w:hAnsi="Times New Roman" w:cs="Times New Roman"/>
          <w:color w:val="auto"/>
          <w:sz w:val="24"/>
          <w:szCs w:val="24"/>
          <w:lang w:val="pt-BR"/>
        </w:rPr>
        <w:t xml:space="preserve">E-mail: </w:t>
      </w:r>
      <w:r w:rsidRPr="00A0200E">
        <w:rPr>
          <w:rFonts w:ascii="Times New Roman" w:hAnsi="Times New Roman" w:cs="Times New Roman"/>
        </w:rPr>
        <w:fldChar w:fldCharType="begin"/>
      </w:r>
      <w:r w:rsidRPr="00A0200E">
        <w:rPr>
          <w:rFonts w:ascii="Times New Roman" w:hAnsi="Times New Roman" w:cs="Times New Roman"/>
        </w:rPr>
        <w:instrText>HYPERLINK "mailto:dallarae@kbri.re.kr"</w:instrText>
      </w:r>
      <w:r w:rsidRPr="00A0200E">
        <w:rPr>
          <w:rFonts w:ascii="Times New Roman" w:hAnsi="Times New Roman" w:cs="Times New Roman"/>
        </w:rPr>
      </w:r>
      <w:r w:rsidRPr="00A0200E">
        <w:rPr>
          <w:rFonts w:ascii="Times New Roman" w:hAnsi="Times New Roman" w:cs="Times New Roman"/>
        </w:rPr>
        <w:fldChar w:fldCharType="separate"/>
      </w:r>
      <w:r w:rsidRPr="00A0200E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lang w:val="pt-BR"/>
        </w:rPr>
        <w:t>dallarae@kbri.re.kr</w:t>
      </w:r>
      <w:r w:rsidRPr="00A0200E">
        <w:rPr>
          <w:rFonts w:ascii="Times New Roman" w:hAnsi="Times New Roman" w:cs="Times New Roman"/>
        </w:rPr>
        <w:fldChar w:fldCharType="end"/>
      </w:r>
      <w:r w:rsidRPr="00A0200E">
        <w:rPr>
          <w:rFonts w:ascii="Times New Roman" w:eastAsia="Times New Roman" w:hAnsi="Times New Roman" w:cs="Times New Roman"/>
          <w:color w:val="auto"/>
          <w:sz w:val="24"/>
          <w:szCs w:val="24"/>
          <w:lang w:val="pt-BR"/>
        </w:rPr>
        <w:t xml:space="preserve"> </w:t>
      </w:r>
    </w:p>
    <w:p w14:paraId="4E41A86F" w14:textId="77777777" w:rsidR="00D16DA3" w:rsidRPr="00A0200E" w:rsidRDefault="00D16DA3" w:rsidP="00D16DA3">
      <w:pPr>
        <w:pStyle w:val="a"/>
        <w:wordWrap/>
        <w:spacing w:line="480" w:lineRule="auto"/>
        <w:ind w:firstLineChars="200" w:firstLine="48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Phone: 82-53-980-8340 </w:t>
      </w:r>
    </w:p>
    <w:p w14:paraId="47E77926" w14:textId="77777777" w:rsidR="00D16DA3" w:rsidRPr="00A0200E" w:rsidRDefault="00D16DA3" w:rsidP="00D16DA3">
      <w:pPr>
        <w:pStyle w:val="a"/>
        <w:wordWrap/>
        <w:spacing w:line="480" w:lineRule="auto"/>
        <w:ind w:firstLineChars="200" w:firstLine="48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0200E">
        <w:rPr>
          <w:rFonts w:ascii="Times New Roman" w:eastAsia="Times New Roman" w:hAnsi="Times New Roman" w:cs="Times New Roman"/>
          <w:color w:val="auto"/>
          <w:sz w:val="24"/>
          <w:szCs w:val="24"/>
        </w:rPr>
        <w:t>Fax: 82-53-980-8399</w:t>
      </w:r>
    </w:p>
    <w:p w14:paraId="161F83F2" w14:textId="77777777" w:rsidR="00D16DA3" w:rsidRPr="00A0200E" w:rsidRDefault="00D16DA3" w:rsidP="00D16DA3">
      <w:pPr>
        <w:spacing w:after="0" w:line="480" w:lineRule="auto"/>
        <w:ind w:firstLineChars="200" w:firstLine="480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521585EC" w14:textId="77777777" w:rsidR="00D16DA3" w:rsidRPr="00A0200E" w:rsidRDefault="00D16DA3" w:rsidP="00D16DA3">
      <w:pPr>
        <w:spacing w:after="0" w:line="480" w:lineRule="auto"/>
        <w:ind w:firstLineChars="200" w:firstLine="480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ko-KR"/>
        </w:rPr>
      </w:pPr>
      <w:r w:rsidRPr="00A0200E">
        <w:rPr>
          <w:rFonts w:ascii="Times New Roman" w:eastAsia="Times New Roman" w:hAnsi="Times New Roman" w:cs="Times New Roman"/>
          <w:noProof/>
          <w:kern w:val="2"/>
          <w:sz w:val="24"/>
          <w:szCs w:val="24"/>
          <w:vertAlign w:val="superscript"/>
        </w:rPr>
        <w:t>1</w:t>
      </w:r>
      <w:r w:rsidRPr="00A0200E">
        <w:rPr>
          <w:rFonts w:ascii="Times New Roman" w:hAnsi="Times New Roman" w:cs="Times New Roman"/>
        </w:rPr>
        <w:t xml:space="preserve"> </w:t>
      </w:r>
      <w:r w:rsidRPr="00A0200E">
        <w:rPr>
          <w:rFonts w:ascii="Times New Roman" w:hAnsi="Times New Roman" w:cs="Times New Roman"/>
          <w:noProof/>
          <w:sz w:val="24"/>
          <w:szCs w:val="24"/>
          <w:lang w:eastAsia="ko-KR"/>
        </w:rPr>
        <w:t>These authors contributed equally to this work.</w:t>
      </w:r>
    </w:p>
    <w:p w14:paraId="598A62C1" w14:textId="5FEABF12" w:rsidR="00241DE4" w:rsidRPr="00A0200E" w:rsidRDefault="00241DE4" w:rsidP="00BB6CE2">
      <w:pPr>
        <w:spacing w:after="0" w:line="480" w:lineRule="auto"/>
        <w:ind w:firstLineChars="200" w:firstLine="480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14:paraId="6ADDC397" w14:textId="1BDD46DF" w:rsidR="00667D56" w:rsidRPr="00A0200E" w:rsidRDefault="00241DE4" w:rsidP="00A61A21">
      <w:pPr>
        <w:spacing w:after="160" w:line="259" w:lineRule="auto"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br w:type="page"/>
      </w:r>
      <w:r w:rsidR="003B196C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Figure 1</w:t>
      </w:r>
    </w:p>
    <w:p w14:paraId="430AEC54" w14:textId="038240F3" w:rsidR="003B196C" w:rsidRPr="00A0200E" w:rsidRDefault="00667D56">
      <w:pPr>
        <w:spacing w:after="160" w:line="259" w:lineRule="auto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SimSun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757E0DBE" wp14:editId="1CA2E75B">
            <wp:extent cx="2247622" cy="4506595"/>
            <wp:effectExtent l="0" t="0" r="635" b="8255"/>
            <wp:docPr id="363258529" name="Picture 8" descr="A close-up of several imag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DEFC9C3-1CD2-2459-B3E9-FFEF94AC2B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58529" name="Picture 8" descr="A close-up of several images&#10;&#10;AI-generated content may be incorrect.">
                      <a:extLst>
                        <a:ext uri="{FF2B5EF4-FFF2-40B4-BE49-F238E27FC236}">
                          <a16:creationId xmlns:a16="http://schemas.microsoft.com/office/drawing/2014/main" id="{EDEFC9C3-1CD2-2459-B3E9-FFEF94AC2B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5602" cy="452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FCC71" w14:textId="7F57ACCA" w:rsidR="003B196C" w:rsidRPr="00A0200E" w:rsidRDefault="003B196C">
      <w:pPr>
        <w:spacing w:after="160" w:line="259" w:lineRule="auto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</w:pPr>
    </w:p>
    <w:p w14:paraId="0D48F5D0" w14:textId="15E2A590" w:rsidR="003B196C" w:rsidRPr="00A0200E" w:rsidRDefault="009E6075" w:rsidP="00953FF7">
      <w:pPr>
        <w:spacing w:after="160" w:line="480" w:lineRule="auto"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 xml:space="preserve">Whole uncropped images of the original western blots </w:t>
      </w:r>
      <w:r w:rsidR="00E056F3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>showing</w:t>
      </w:r>
      <w:r w:rsidR="00E463DA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 xml:space="preserve"> the expression of EV markers (</w:t>
      </w:r>
      <w:r w:rsidR="00FD7728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CD63, GAPDH, ALIX</w:t>
      </w:r>
      <w:r w:rsidR="00E463DA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 xml:space="preserve">, and </w:t>
      </w:r>
      <w:r w:rsidR="00FD7728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TSG101</w:t>
      </w:r>
      <w:r w:rsidR="00E463DA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>)</w:t>
      </w:r>
      <w:r w:rsidR="003D3B1A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 xml:space="preserve"> </w:t>
      </w:r>
      <w:r w:rsidR="00F0184F" w:rsidRPr="00A0200E">
        <w:rPr>
          <w:rFonts w:ascii="Times New Roman" w:eastAsia="굴림" w:hAnsi="Times New Roman" w:cs="Times New Roman"/>
          <w:b/>
          <w:color w:val="000000" w:themeColor="text1"/>
          <w:sz w:val="24"/>
          <w:szCs w:val="24"/>
        </w:rPr>
        <w:t xml:space="preserve">in plasma EVs from </w:t>
      </w:r>
      <w:r w:rsidR="00953FF7" w:rsidRPr="00A0200E">
        <w:rPr>
          <w:rFonts w:ascii="Times New Roman" w:eastAsia="굴림" w:hAnsi="Times New Roman" w:cs="Times New Roman"/>
          <w:b/>
          <w:color w:val="000000" w:themeColor="text1"/>
          <w:sz w:val="24"/>
          <w:szCs w:val="24"/>
        </w:rPr>
        <w:t xml:space="preserve">patients with </w:t>
      </w:r>
      <w:r w:rsidR="00953FF7" w:rsidRPr="00A0200E">
        <w:rPr>
          <w:rFonts w:ascii="Times New Roman" w:eastAsia="굴림" w:hAnsi="Times New Roman" w:cs="Times New Roman"/>
          <w:b/>
          <w:color w:val="000000" w:themeColor="text1"/>
          <w:sz w:val="24"/>
          <w:szCs w:val="24"/>
          <w:lang w:eastAsia="ko-KR"/>
        </w:rPr>
        <w:t xml:space="preserve">ASD </w:t>
      </w:r>
      <w:r w:rsidR="00953FF7" w:rsidRPr="00A0200E">
        <w:rPr>
          <w:rFonts w:ascii="Times New Roman" w:eastAsia="굴림" w:hAnsi="Times New Roman" w:cs="Times New Roman"/>
          <w:b/>
          <w:color w:val="000000" w:themeColor="text1"/>
          <w:sz w:val="24"/>
          <w:szCs w:val="24"/>
        </w:rPr>
        <w:t xml:space="preserve">before and after L-serine treatment. </w:t>
      </w:r>
      <w:r w:rsidR="00E056F3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The </w:t>
      </w:r>
      <w:r w:rsidR="00953FF7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Cropped blots </w:t>
      </w:r>
      <w:r w:rsidR="00E056F3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presented</w:t>
      </w:r>
      <w:r w:rsidR="00953FF7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 in Figure 1C were derived from these full-length blots. All blots were derived from the same experiment and processed in parallel. Membrane edges are visible, and arrows indicate the regions shown in Figure 1C.</w:t>
      </w:r>
      <w:r w:rsidR="003B196C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006FDD41" w14:textId="71A33560" w:rsidR="000E1151" w:rsidRPr="00A0200E" w:rsidRDefault="00D16DA3" w:rsidP="00BB6CE2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</w:t>
      </w:r>
      <w:r w:rsidR="003B196C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 xml:space="preserve"> Figure 2</w:t>
      </w:r>
    </w:p>
    <w:p w14:paraId="0825D62F" w14:textId="08B01FF9" w:rsidR="00D3173F" w:rsidRPr="00A0200E" w:rsidRDefault="00920568" w:rsidP="00BB6CE2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7503AC8D" wp14:editId="007D39FA">
            <wp:extent cx="5760000" cy="3666527"/>
            <wp:effectExtent l="0" t="0" r="0" b="0"/>
            <wp:docPr id="16331752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665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F3E1A3" w14:textId="4EE855BF" w:rsidR="00D16DA3" w:rsidRPr="00A0200E" w:rsidRDefault="00FD7728" w:rsidP="00BB6CE2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b/>
          <w:color w:val="000000" w:themeColor="text1"/>
          <w:sz w:val="24"/>
          <w:szCs w:val="24"/>
          <w:lang w:eastAsia="ko-KR"/>
        </w:rPr>
        <w:t xml:space="preserve">Cellular-specific expressed genes in </w:t>
      </w:r>
      <w:r w:rsidR="00A237BD" w:rsidRPr="00A0200E">
        <w:rPr>
          <w:rFonts w:ascii="Times New Roman" w:eastAsia="굴림" w:hAnsi="Times New Roman" w:cs="Times New Roman"/>
          <w:b/>
          <w:color w:val="000000" w:themeColor="text1"/>
          <w:sz w:val="24"/>
          <w:szCs w:val="24"/>
        </w:rPr>
        <w:t>the CD4 T subsets</w:t>
      </w:r>
    </w:p>
    <w:p w14:paraId="5B183497" w14:textId="101CF656" w:rsidR="00D16DA3" w:rsidRPr="00A0200E" w:rsidRDefault="00E056F3" w:rsidP="00D2408E">
      <w:pPr>
        <w:pStyle w:val="ListParagraph"/>
        <w:numPr>
          <w:ilvl w:val="0"/>
          <w:numId w:val="8"/>
        </w:numPr>
        <w:spacing w:after="0" w:line="360" w:lineRule="auto"/>
        <w:ind w:leftChars="0"/>
        <w:contextualSpacing/>
        <w:jc w:val="both"/>
        <w:rPr>
          <w:rFonts w:ascii="Times New Roman" w:eastAsia="굴림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D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ot plot identifying five specific CD4 T-cell subsets using canonical marker genes. Dot size represents the percentage of cells expressing the marker gene</w:t>
      </w:r>
      <w:r w:rsidR="00FD7728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s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, and color intensity indicates the averaged scaled expression value (blue: low, red: high). The identified subsets are IL7R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vertAlign w:val="superscript"/>
        </w:rPr>
        <w:t>low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naive CD4 T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cells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, CD4 Treg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cells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, CD4 T-dividing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cells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, IL7R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vertAlign w:val="superscript"/>
        </w:rPr>
        <w:t>high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naive CD4 T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cells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and CD4 </w:t>
      </w:r>
      <w:proofErr w:type="spellStart"/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Tcm</w:t>
      </w:r>
      <w:proofErr w:type="spellEnd"/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</w:t>
      </w:r>
      <w:r w:rsidR="0098204F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 xml:space="preserve">(central memory) 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cells.</w:t>
      </w:r>
    </w:p>
    <w:p w14:paraId="0316113A" w14:textId="0A6E3468" w:rsidR="001D1415" w:rsidRPr="00A0200E" w:rsidRDefault="00E056F3" w:rsidP="00E056F3">
      <w:pPr>
        <w:pStyle w:val="ListParagraph"/>
        <w:numPr>
          <w:ilvl w:val="0"/>
          <w:numId w:val="8"/>
        </w:numPr>
        <w:spacing w:after="0" w:line="360" w:lineRule="auto"/>
        <w:ind w:leftChars="0"/>
        <w:contextualSpacing/>
        <w:jc w:val="both"/>
        <w:rPr>
          <w:rFonts w:ascii="Times New Roman" w:eastAsia="굴림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D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ot plot depicting the average 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 xml:space="preserve">expression of marker genes across </w:t>
      </w:r>
      <w:proofErr w:type="gramStart"/>
      <w:r w:rsidR="00FC4D74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naive</w:t>
      </w:r>
      <w:proofErr w:type="gramEnd"/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CD4 T 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subclusters</w:t>
      </w:r>
      <w:r w:rsidR="00AD402B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,</w:t>
      </w:r>
      <w:r w:rsidR="00FC052F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 xml:space="preserve"> including the CD4 T-dividing,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IL7R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vertAlign w:val="superscript"/>
        </w:rPr>
        <w:t>low</w:t>
      </w:r>
      <w:r w:rsidR="00FC052F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 xml:space="preserve">, 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and IL7R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vertAlign w:val="superscript"/>
        </w:rPr>
        <w:t>high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naive</w:t>
      </w:r>
      <w:proofErr w:type="gramEnd"/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 CD4 T cell subsets. Dot size indicates the percentage of cells expressing the gene</w:t>
      </w:r>
      <w:r w:rsidR="00FD7728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s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and color represents the averaged scaled expression value (blue: low, red: high). </w:t>
      </w:r>
      <w:r w:rsidR="006B5A2D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Marker g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enes include </w:t>
      </w:r>
      <w:r w:rsidR="00F047DE" w:rsidRPr="00A0200E">
        <w:rPr>
          <w:rFonts w:ascii="Times New Roman" w:eastAsia="굴림" w:hAnsi="Times New Roman" w:cs="Times New Roman"/>
          <w:i/>
          <w:iCs/>
          <w:color w:val="000000" w:themeColor="text1"/>
          <w:sz w:val="24"/>
          <w:szCs w:val="24"/>
        </w:rPr>
        <w:t>PIM1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="00F047DE" w:rsidRPr="00A0200E">
        <w:rPr>
          <w:rFonts w:ascii="Times New Roman" w:eastAsia="굴림" w:hAnsi="Times New Roman" w:cs="Times New Roman"/>
          <w:i/>
          <w:iCs/>
          <w:color w:val="000000" w:themeColor="text1"/>
          <w:sz w:val="24"/>
          <w:szCs w:val="24"/>
        </w:rPr>
        <w:t>STK38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="00F047DE" w:rsidRPr="00A0200E">
        <w:rPr>
          <w:rFonts w:ascii="Times New Roman" w:eastAsia="굴림" w:hAnsi="Times New Roman" w:cs="Times New Roman"/>
          <w:i/>
          <w:iCs/>
          <w:color w:val="000000" w:themeColor="text1"/>
          <w:sz w:val="24"/>
          <w:szCs w:val="24"/>
        </w:rPr>
        <w:t>CD5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="00F047DE" w:rsidRPr="00A0200E">
        <w:rPr>
          <w:rFonts w:ascii="Times New Roman" w:eastAsia="굴림" w:hAnsi="Times New Roman" w:cs="Times New Roman"/>
          <w:i/>
          <w:iCs/>
          <w:color w:val="000000" w:themeColor="text1"/>
          <w:sz w:val="24"/>
          <w:szCs w:val="24"/>
        </w:rPr>
        <w:t>CD97, IL18R1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and </w:t>
      </w:r>
      <w:r w:rsidR="00F047DE" w:rsidRPr="00A0200E">
        <w:rPr>
          <w:rFonts w:ascii="Times New Roman" w:eastAsia="굴림" w:hAnsi="Times New Roman" w:cs="Times New Roman"/>
          <w:i/>
          <w:iCs/>
          <w:color w:val="000000" w:themeColor="text1"/>
          <w:sz w:val="24"/>
          <w:szCs w:val="24"/>
        </w:rPr>
        <w:t>IL7R</w:t>
      </w:r>
      <w:r w:rsidR="00F047DE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.</w:t>
      </w:r>
    </w:p>
    <w:p w14:paraId="22E13555" w14:textId="77777777" w:rsidR="000E1151" w:rsidRPr="00A0200E" w:rsidRDefault="000E1151" w:rsidP="00BB6CE2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</w:pPr>
    </w:p>
    <w:p w14:paraId="1DF32269" w14:textId="77777777" w:rsidR="000E1151" w:rsidRPr="00A0200E" w:rsidRDefault="000E1151" w:rsidP="00BB6CE2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</w:pPr>
    </w:p>
    <w:p w14:paraId="464E4A0C" w14:textId="77777777" w:rsidR="00D2408E" w:rsidRPr="00A0200E" w:rsidRDefault="00D2408E">
      <w:pPr>
        <w:spacing w:after="160" w:line="259" w:lineRule="auto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0FC2767" w14:textId="0708B333" w:rsidR="000E1151" w:rsidRPr="00A0200E" w:rsidRDefault="00E056F3" w:rsidP="00D2408E">
      <w:pPr>
        <w:spacing w:after="0" w:line="480" w:lineRule="auto"/>
        <w:ind w:firstLine="440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</w:t>
      </w:r>
      <w:r w:rsidR="000E1151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t xml:space="preserve"> Figure </w:t>
      </w:r>
      <w:r w:rsidR="003B196C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3</w:t>
      </w:r>
    </w:p>
    <w:p w14:paraId="1142CFCC" w14:textId="352691D9" w:rsidR="000E1151" w:rsidRPr="00A0200E" w:rsidRDefault="00920568" w:rsidP="00BB6CE2">
      <w:pPr>
        <w:spacing w:after="0" w:line="480" w:lineRule="auto"/>
        <w:contextualSpacing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SimSun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4C3EC969" wp14:editId="1A1FB387">
            <wp:extent cx="5760000" cy="7196963"/>
            <wp:effectExtent l="0" t="0" r="0" b="0"/>
            <wp:docPr id="19744169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7196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FFA036" w14:textId="443AAC60" w:rsidR="00E056F3" w:rsidRPr="00A0200E" w:rsidRDefault="00E056F3" w:rsidP="00E056F3">
      <w:pPr>
        <w:spacing w:after="0" w:line="480" w:lineRule="auto"/>
        <w:jc w:val="both"/>
        <w:rPr>
          <w:rFonts w:ascii="Times New Roman" w:eastAsia="굴림" w:hAnsi="Times New Roman" w:cs="Times New Roman"/>
          <w:sz w:val="24"/>
          <w:szCs w:val="24"/>
          <w:shd w:val="clear" w:color="auto" w:fill="FFFFFF" w:themeFill="background1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sz w:val="24"/>
          <w:szCs w:val="24"/>
          <w:shd w:val="clear" w:color="auto" w:fill="FFFFFF" w:themeFill="background1"/>
          <w:lang w:eastAsia="ko-KR"/>
        </w:rPr>
        <w:t>Enrichment analysis using DEG in IL7R</w:t>
      </w:r>
      <w:r w:rsidRPr="00A0200E">
        <w:rPr>
          <w:rFonts w:ascii="Times New Roman" w:eastAsia="굴림" w:hAnsi="Times New Roman" w:cs="Times New Roman"/>
          <w:b/>
          <w:bCs/>
          <w:sz w:val="14"/>
          <w:szCs w:val="14"/>
          <w:shd w:val="clear" w:color="auto" w:fill="FFFFFF" w:themeFill="background1"/>
          <w:vertAlign w:val="superscript"/>
          <w:lang w:eastAsia="ko-KR"/>
        </w:rPr>
        <w:t>low</w:t>
      </w:r>
      <w:r w:rsidRPr="00A0200E">
        <w:rPr>
          <w:rFonts w:ascii="Times New Roman" w:eastAsia="굴림" w:hAnsi="Times New Roman" w:cs="Times New Roman"/>
          <w:b/>
          <w:bCs/>
          <w:sz w:val="24"/>
          <w:szCs w:val="24"/>
          <w:shd w:val="clear" w:color="auto" w:fill="FFFFFF" w:themeFill="background1"/>
          <w:lang w:eastAsia="ko-KR"/>
        </w:rPr>
        <w:t xml:space="preserve"> naive CD4 T cell subtype</w:t>
      </w:r>
    </w:p>
    <w:p w14:paraId="058A13D7" w14:textId="2303C35C" w:rsidR="00A61A21" w:rsidRPr="00A0200E" w:rsidRDefault="00A61A21" w:rsidP="00D2408E">
      <w:pPr>
        <w:pStyle w:val="ListParagraph"/>
        <w:numPr>
          <w:ilvl w:val="0"/>
          <w:numId w:val="7"/>
        </w:numPr>
        <w:spacing w:after="0" w:line="360" w:lineRule="auto"/>
        <w:ind w:leftChars="0"/>
        <w:contextualSpacing/>
        <w:jc w:val="both"/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lastRenderedPageBreak/>
        <w:t xml:space="preserve">Functional enrichment analysis of GO-BP, </w:t>
      </w:r>
      <w:proofErr w:type="spellStart"/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Reactome</w:t>
      </w:r>
      <w:proofErr w:type="spellEnd"/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 xml:space="preserve">, and </w:t>
      </w:r>
      <w:proofErr w:type="spellStart"/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WikiPathways</w:t>
      </w:r>
      <w:proofErr w:type="spellEnd"/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 xml:space="preserve"> of differentially expressed genes </w:t>
      </w:r>
      <w:r w:rsidR="00953FF7"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between the patients with ASD before L-serine treatment and the healthy controls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  <w:lang w:eastAsia="ko-KR"/>
        </w:rPr>
        <w:t>. P-value &lt; 0.05</w:t>
      </w:r>
    </w:p>
    <w:p w14:paraId="07B06AE1" w14:textId="39411465" w:rsidR="002475F5" w:rsidRPr="00A0200E" w:rsidRDefault="00E056F3" w:rsidP="00E056F3">
      <w:pPr>
        <w:pStyle w:val="ListParagraph"/>
        <w:numPr>
          <w:ilvl w:val="0"/>
          <w:numId w:val="7"/>
        </w:numPr>
        <w:spacing w:after="0" w:line="360" w:lineRule="auto"/>
        <w:ind w:leftChars="0"/>
        <w:contextualSpacing/>
        <w:jc w:val="both"/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Box plot depicting inflammatory response gene scores in major PBMC types. Scores were calculated based on the expression of a curated set of genes, including cytokines (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IFNG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IL1B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IL6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IL8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IL10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IL12A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IL12B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IL13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 xml:space="preserve">, and </w:t>
      </w:r>
      <w:r w:rsidRPr="00A0200E">
        <w:rPr>
          <w:rFonts w:ascii="Times New Roman" w:eastAsia="굴림" w:hAnsi="Times New Roman" w:cs="Times New Roman"/>
          <w:i/>
          <w:color w:val="000000" w:themeColor="text1"/>
          <w:sz w:val="24"/>
          <w:szCs w:val="24"/>
        </w:rPr>
        <w:t>TNF</w:t>
      </w:r>
      <w:r w:rsidRPr="00A0200E">
        <w:rPr>
          <w:rFonts w:ascii="Times New Roman" w:eastAsia="굴림" w:hAnsi="Times New Roman" w:cs="Times New Roman"/>
          <w:color w:val="000000" w:themeColor="text1"/>
          <w:sz w:val="24"/>
          <w:szCs w:val="24"/>
        </w:rPr>
        <w:t>)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, chemokines (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CXCL10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CCL2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CCL3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, and 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CCL4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), and molecules involved in cell adhesion and inflammatory response (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ICAM1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SELE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, and </w:t>
      </w:r>
      <w:r w:rsidR="00F047DE" w:rsidRPr="00A0200E">
        <w:rPr>
          <w:rFonts w:ascii="Times New Roman" w:eastAsia="굴림" w:hAnsi="Times New Roman" w:cs="Times New Roman"/>
          <w:bCs/>
          <w:i/>
          <w:color w:val="000000" w:themeColor="text1"/>
          <w:sz w:val="24"/>
          <w:szCs w:val="24"/>
        </w:rPr>
        <w:t>SELP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). Colors differentiate between healthy controls (from reference, blue), </w:t>
      </w:r>
      <w:r w:rsidR="00953FF7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patients with ASD 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before </w:t>
      </w:r>
      <w:r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oral L-serine administration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 (red), and </w:t>
      </w:r>
      <w:r w:rsidR="00953FF7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patients with ASD 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after </w:t>
      </w:r>
      <w:r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oral L-serine administration</w:t>
      </w:r>
      <w:r w:rsidR="00E81CF2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(green). Statistical analysis results are provided in </w:t>
      </w:r>
      <w:r w:rsidR="00F060A2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  <w:lang w:eastAsia="ko-KR"/>
        </w:rPr>
        <w:t>s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 xml:space="preserve">upplementary </w:t>
      </w:r>
      <w:r w:rsidR="00751E07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  <w:lang w:eastAsia="ko-KR"/>
        </w:rPr>
        <w:t>data</w:t>
      </w:r>
      <w:r w:rsidR="00F047DE"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t>.</w:t>
      </w:r>
    </w:p>
    <w:p w14:paraId="6C8F33F1" w14:textId="62CD2B50" w:rsidR="002475F5" w:rsidRPr="00A0200E" w:rsidRDefault="002475F5">
      <w:pPr>
        <w:spacing w:after="160" w:line="259" w:lineRule="auto"/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45874F45" w14:textId="509CB4D7" w:rsidR="002475F5" w:rsidRPr="00A0200E" w:rsidRDefault="002475F5" w:rsidP="002475F5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4</w:t>
      </w:r>
    </w:p>
    <w:p w14:paraId="6303E95E" w14:textId="627F6900" w:rsidR="00F96140" w:rsidRPr="00A0200E" w:rsidRDefault="00F96140" w:rsidP="00962D2F">
      <w:pPr>
        <w:spacing w:after="0" w:line="480" w:lineRule="auto"/>
        <w:contextualSpacing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SimSun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1229FEEA" wp14:editId="157FC7B4">
            <wp:extent cx="5734050" cy="5581650"/>
            <wp:effectExtent l="0" t="0" r="0" b="0"/>
            <wp:docPr id="87126540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50658" w14:textId="77777777" w:rsidR="00930673" w:rsidRPr="00A0200E" w:rsidRDefault="00930673" w:rsidP="00930673">
      <w:pPr>
        <w:pStyle w:val="ListParagraph"/>
        <w:spacing w:after="160" w:line="360" w:lineRule="auto"/>
        <w:ind w:leftChars="0" w:left="440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 xml:space="preserve">Sensitivity analysis using China/Asia-based PBMC </w:t>
      </w:r>
      <w:proofErr w:type="spellStart"/>
      <w:r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>scRNA</w:t>
      </w:r>
      <w:proofErr w:type="spellEnd"/>
      <w:r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>-seq reference datasets.</w:t>
      </w:r>
    </w:p>
    <w:p w14:paraId="595CAD34" w14:textId="52F7FD7A" w:rsidR="00A61A21" w:rsidRPr="00A0200E" w:rsidRDefault="00930673" w:rsidP="00E70814">
      <w:pPr>
        <w:pStyle w:val="ListParagraph"/>
        <w:numPr>
          <w:ilvl w:val="0"/>
          <w:numId w:val="6"/>
        </w:numPr>
        <w:spacing w:after="160" w:line="360" w:lineRule="auto"/>
        <w:ind w:leftChars="0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UMAP embedding of integrated PBMC </w:t>
      </w:r>
      <w:proofErr w:type="spellStart"/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scRNA</w:t>
      </w:r>
      <w:proofErr w:type="spellEnd"/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-seq data from three China/Asia-based cohorts (GSE279452, GSE206295, GSE168732) 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with</w:t>
      </w:r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our ASD cohort, annotated by major immune cell types.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Cells are colored 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according to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their assigned cell types. </w:t>
      </w:r>
      <w:proofErr w:type="spellStart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pDC</w:t>
      </w:r>
      <w:proofErr w:type="spellEnd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: plasmacytoid dendritic cell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DC: dendritic cell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NK: natural killer cell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pB</w:t>
      </w:r>
      <w:proofErr w:type="spellEnd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: plasma blasts, </w:t>
      </w:r>
      <w:proofErr w:type="spellStart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γδ</w:t>
      </w:r>
      <w:proofErr w:type="spellEnd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T: gamma-delta T cell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RBC: red blood cell</w:t>
      </w:r>
      <w:r w:rsidR="00E64816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s</w:t>
      </w:r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Undef</w:t>
      </w:r>
      <w:proofErr w:type="spellEnd"/>
      <w:r w:rsidR="00A61A21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.: undefined cells </w:t>
      </w:r>
    </w:p>
    <w:p w14:paraId="536D8B4A" w14:textId="6694AD09" w:rsidR="00A61A21" w:rsidRPr="00A0200E" w:rsidRDefault="00A61A21" w:rsidP="00E70814">
      <w:pPr>
        <w:pStyle w:val="ListParagraph"/>
        <w:numPr>
          <w:ilvl w:val="0"/>
          <w:numId w:val="6"/>
        </w:numPr>
        <w:spacing w:after="160" w:line="360" w:lineRule="auto"/>
        <w:ind w:leftChars="0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Density plots </w:t>
      </w:r>
      <w:r w:rsidR="00930673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of canonical markers used for cell-type annotation (e.g., IL7R/CCR7 for CD4 T cells, CD8A/CD8B for CD8 T cells, CD14/MS4A7 for monocytes, GNLY/NKG7 for NK cells, CD79A/MS4A1 for B cells,</w:t>
      </w:r>
      <w:r w:rsidR="002B6D95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and</w:t>
      </w:r>
      <w:r w:rsidR="00930673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PPBP/PF4 for platelets).</w:t>
      </w:r>
    </w:p>
    <w:p w14:paraId="097F361C" w14:textId="77777777" w:rsidR="00930673" w:rsidRPr="00A0200E" w:rsidRDefault="00A61A21" w:rsidP="00E70814">
      <w:pPr>
        <w:pStyle w:val="ListParagraph"/>
        <w:numPr>
          <w:ilvl w:val="0"/>
          <w:numId w:val="6"/>
        </w:numPr>
        <w:spacing w:after="160" w:line="259" w:lineRule="auto"/>
        <w:ind w:leftChars="0"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Distribution of cell compositions across identified cell types, using the same color scheme as in (B)</w:t>
      </w:r>
    </w:p>
    <w:p w14:paraId="58D54052" w14:textId="794C13B6" w:rsidR="00F96140" w:rsidRPr="00A0200E" w:rsidRDefault="00930673" w:rsidP="00E70814">
      <w:pPr>
        <w:pStyle w:val="ListParagraph"/>
        <w:numPr>
          <w:ilvl w:val="0"/>
          <w:numId w:val="6"/>
        </w:numPr>
        <w:spacing w:after="160" w:line="259" w:lineRule="auto"/>
        <w:ind w:leftChars="0"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SFARI and TADA gene-set scores across major cell types in healthy controls and </w:t>
      </w:r>
      <w:r w:rsidR="00953FF7"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patients with ASD </w:t>
      </w:r>
      <w:r w:rsidRPr="00A0200E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before/after L-serine, demonstrating qualitatively consistent trends.</w:t>
      </w:r>
      <w:r w:rsidR="00F96140"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br w:type="page"/>
      </w:r>
      <w:r w:rsidR="00F96140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="00F96140"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5</w:t>
      </w:r>
    </w:p>
    <w:p w14:paraId="7233A462" w14:textId="50D6BB1E" w:rsidR="00F96140" w:rsidRPr="00A0200E" w:rsidRDefault="00F96140" w:rsidP="00F96140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73823A60" wp14:editId="4DAA3353">
            <wp:extent cx="5724525" cy="7010400"/>
            <wp:effectExtent l="0" t="0" r="9525" b="0"/>
            <wp:docPr id="171490186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01E4" w14:textId="33E896D6" w:rsidR="00953FF7" w:rsidRPr="00A0200E" w:rsidRDefault="00E64816" w:rsidP="00953FF7">
      <w:pPr>
        <w:spacing w:after="160" w:line="259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L-serine-associated c</w:t>
      </w:r>
      <w:r w:rsidR="00953FF7" w:rsidRPr="00A0200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omposition changes </w:t>
      </w:r>
      <w:r w:rsidRPr="00A0200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in</w:t>
      </w:r>
      <w:r w:rsidR="00953FF7" w:rsidRPr="00A0200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CD4 T cells in patients</w:t>
      </w:r>
      <w:r w:rsidR="00953FF7" w:rsidRPr="00A0200E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ko-KR"/>
        </w:rPr>
        <w:t xml:space="preserve"> with ASD</w:t>
      </w:r>
    </w:p>
    <w:p w14:paraId="25284D83" w14:textId="392CFC6C" w:rsidR="00953FF7" w:rsidRPr="00A0200E" w:rsidRDefault="00953FF7" w:rsidP="00E70814">
      <w:pPr>
        <w:numPr>
          <w:ilvl w:val="0"/>
          <w:numId w:val="20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UMAP 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visualizing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of all single PBMCs, with the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29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554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identified CD4 T cells highlighted (left panel) within the broader immune cell landscape</w:t>
      </w:r>
    </w:p>
    <w:p w14:paraId="16327196" w14:textId="0DDC9C58" w:rsidR="00953FF7" w:rsidRPr="00A0200E" w:rsidRDefault="00953FF7" w:rsidP="00E70814">
      <w:pPr>
        <w:numPr>
          <w:ilvl w:val="0"/>
          <w:numId w:val="20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lastRenderedPageBreak/>
        <w:t>UMAP embedding of the extracted CD4 T cell population, colored by annotated cell subtype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for healthy controls (n =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25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044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cells), patients with ASD before L-serine treatment (n = 2,5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58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cells), and after L-serine treatment (n =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1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952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cells)</w:t>
      </w:r>
    </w:p>
    <w:p w14:paraId="283C368D" w14:textId="2947C756" w:rsidR="00953FF7" w:rsidRPr="00A0200E" w:rsidRDefault="00E64816" w:rsidP="00E70814">
      <w:pPr>
        <w:numPr>
          <w:ilvl w:val="0"/>
          <w:numId w:val="20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B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ar plot depict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ing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relative proportions of each CD4 T cell subtype within healthy control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(% on the right), patients with ASD before (red) and after (green) L-serine treatment.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Treg: T-regulatory cells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, Tm: memory T cells, </w:t>
      </w:r>
      <w:proofErr w:type="spellStart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Teffm</w:t>
      </w:r>
      <w:proofErr w:type="spellEnd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: effector memory T cells</w:t>
      </w:r>
    </w:p>
    <w:p w14:paraId="29057566" w14:textId="49D2D81C" w:rsidR="00953FF7" w:rsidRPr="00A0200E" w:rsidRDefault="00953FF7" w:rsidP="00E70814">
      <w:pPr>
        <w:numPr>
          <w:ilvl w:val="0"/>
          <w:numId w:val="20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Permutation plots comparing the proportions of cell clusters between the patients with ASD before L-serine treatment and the healthy control</w:t>
      </w:r>
      <w:r w:rsidR="00E70814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(left), and between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the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patients with ASD before and after L-serine treatment (right). Red circle: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Adjusted P-value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&lt; 0.01, 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|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Log2 Fold Difference| &gt; 0.7</w:t>
      </w:r>
    </w:p>
    <w:p w14:paraId="51758A0B" w14:textId="1A1481B6" w:rsidR="00953FF7" w:rsidRPr="00A0200E" w:rsidRDefault="00953FF7" w:rsidP="00E70814">
      <w:pPr>
        <w:numPr>
          <w:ilvl w:val="0"/>
          <w:numId w:val="20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Bar graphs </w:t>
      </w:r>
      <w:proofErr w:type="gramStart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show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ing</w:t>
      </w:r>
      <w:proofErr w:type="gramEnd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number of upregulated and downregulated genes in each CD4 T cell subtype between healthy control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and patients with ASD (top) and between patients with ASD before and after L-serine treatment (bottom). The number of differentially expressed genes was calculated using an adjusted P-value &lt; 0.01 and average 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|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Log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FC| &gt; 1.</w:t>
      </w:r>
    </w:p>
    <w:p w14:paraId="253DA67C" w14:textId="47119311" w:rsidR="00953FF7" w:rsidRPr="00A0200E" w:rsidRDefault="00953FF7" w:rsidP="00E70814">
      <w:pPr>
        <w:numPr>
          <w:ilvl w:val="0"/>
          <w:numId w:val="20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 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H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eatmap showing the average expression of shared genes between the two types of differently expressed genes across all groups in the IL7R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vertAlign w:val="superscript"/>
        </w:rPr>
        <w:t xml:space="preserve">low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naive CD4 T subcluster. Purple indicates a negative average of normalized expression values, whereas red indicates a positive average of normalized expression values.</w:t>
      </w:r>
    </w:p>
    <w:p w14:paraId="0C7AEA69" w14:textId="3E6F67E0" w:rsidR="00F96140" w:rsidRPr="00A0200E" w:rsidRDefault="00953FF7" w:rsidP="00E70814">
      <w:pPr>
        <w:pStyle w:val="ListParagraph"/>
        <w:numPr>
          <w:ilvl w:val="0"/>
          <w:numId w:val="20"/>
        </w:numPr>
        <w:spacing w:after="160" w:line="360" w:lineRule="auto"/>
        <w:ind w:leftChars="0"/>
        <w:jc w:val="both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Functional enrichment analysis of GO-BP, </w:t>
      </w:r>
      <w:proofErr w:type="spellStart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Reactome</w:t>
      </w:r>
      <w:proofErr w:type="spellEnd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, and </w:t>
      </w:r>
      <w:proofErr w:type="spellStart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WikiPathways</w:t>
      </w:r>
      <w:proofErr w:type="spellEnd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for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differentially expressed genes between the patients with ASD before L-serine treatment and healthy control</w:t>
      </w:r>
      <w:r w:rsidR="00E64816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left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), and between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 the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patients with ASD before and after L-serine treatment (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right)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 P-value &lt; 0.05</w:t>
      </w:r>
    </w:p>
    <w:p w14:paraId="0DADE9B5" w14:textId="77777777" w:rsidR="00953FF7" w:rsidRPr="00A0200E" w:rsidRDefault="00953FF7">
      <w:pPr>
        <w:spacing w:after="160" w:line="259" w:lineRule="auto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743DA177" w14:textId="1B971283" w:rsidR="00F96140" w:rsidRPr="00A0200E" w:rsidRDefault="00F96140" w:rsidP="00F96140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6</w:t>
      </w:r>
    </w:p>
    <w:p w14:paraId="2645BEED" w14:textId="00AB61A1" w:rsidR="00D2408E" w:rsidRPr="00A0200E" w:rsidRDefault="006561E9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49CD0905" wp14:editId="4E6EA595">
            <wp:extent cx="5731510" cy="7400925"/>
            <wp:effectExtent l="0" t="0" r="2540" b="952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Figure_6_for revision_20251229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262E" w14:textId="77777777" w:rsidR="00930673" w:rsidRPr="00A0200E" w:rsidRDefault="00930673" w:rsidP="00930673">
      <w:pPr>
        <w:spacing w:after="160" w:line="360" w:lineRule="auto"/>
        <w:ind w:left="440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 xml:space="preserve">Trajectory inference and </w:t>
      </w:r>
      <w:proofErr w:type="spellStart"/>
      <w:r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>pseudotime</w:t>
      </w:r>
      <w:proofErr w:type="spellEnd"/>
      <w:r w:rsidRPr="00A0200E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</w:rPr>
        <w:t>-associated genes in CD4 T-cell development</w:t>
      </w:r>
    </w:p>
    <w:p w14:paraId="41680945" w14:textId="77777777" w:rsidR="00953FF7" w:rsidRPr="00A0200E" w:rsidRDefault="00953FF7" w:rsidP="00E70814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bookmarkStart w:id="0" w:name="_Hlk218504825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UMAP visualization of all single PBMCs, with the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29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554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identified CD4 T cells highlighted (left panel) within the broader immune cell landscape</w:t>
      </w:r>
    </w:p>
    <w:p w14:paraId="4F386FFC" w14:textId="77777777" w:rsidR="00953FF7" w:rsidRPr="00A0200E" w:rsidRDefault="00953FF7" w:rsidP="00E70814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lastRenderedPageBreak/>
        <w:t xml:space="preserve">UMAP embedding of the extracted CD4 T cell population, colored by annotated cell subtype for healthy controls (n =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25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044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cells), patients with ASD before L-serine treatment (n = 2,5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58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cells), and after L-serine treatment (n =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1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,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952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cells)</w:t>
      </w:r>
    </w:p>
    <w:p w14:paraId="432D012C" w14:textId="785262A8" w:rsidR="00953FF7" w:rsidRPr="00A0200E" w:rsidRDefault="000C6B3C" w:rsidP="00E70814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Bar plot depicting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relative proportions of each CD4 T cell subtype within healthy control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(% on the right), patients with ASD before (red) and after (green) L-serine treatment.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Treg: T-regulatory cells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, Tm: memory T cells, </w:t>
      </w:r>
      <w:proofErr w:type="spellStart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Teffm</w:t>
      </w:r>
      <w:proofErr w:type="spellEnd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: effector memory T cells</w:t>
      </w:r>
    </w:p>
    <w:p w14:paraId="3092BAAB" w14:textId="48A1CCA4" w:rsidR="00953FF7" w:rsidRPr="00A0200E" w:rsidRDefault="00953FF7" w:rsidP="00E70814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Permutation plots comparing the proportions of cell clusters between the patients with ASD before L-serine treatment and healthy control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(left), and between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the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patients with ASD before and after L-serine treatment (right). Red circle: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Adjusted P-value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&lt; 0.01, 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|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Log2 Fold Difference| &gt; 0.7</w:t>
      </w:r>
    </w:p>
    <w:p w14:paraId="7964D2EB" w14:textId="7B42B97D" w:rsidR="00953FF7" w:rsidRPr="00A0200E" w:rsidRDefault="00953FF7" w:rsidP="000C6B3C">
      <w:pPr>
        <w:numPr>
          <w:ilvl w:val="0"/>
          <w:numId w:val="32"/>
        </w:numPr>
        <w:spacing w:after="160" w:line="360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Bar graphs </w:t>
      </w:r>
      <w:proofErr w:type="gramStart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show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ing</w:t>
      </w:r>
      <w:proofErr w:type="gramEnd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number of upregulated and downregulated genes in each CD4 T cell subtype between healthy control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and patients with ASD (top) and between patients with ASD before and after L-serine treatment (bottom). 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D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ifferentially expressed genes w</w:t>
      </w:r>
      <w:r w:rsidR="00E70814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ere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calculated 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by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adjusted P-value &lt; 0.01 and average 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|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Log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FC| &gt; 1.</w:t>
      </w:r>
    </w:p>
    <w:p w14:paraId="58552675" w14:textId="2EE08488" w:rsidR="00953FF7" w:rsidRPr="00A0200E" w:rsidRDefault="000C6B3C" w:rsidP="00E70814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H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eatmap </w:t>
      </w:r>
      <w:proofErr w:type="gramStart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showing</w:t>
      </w:r>
      <w:proofErr w:type="gramEnd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average expression of genes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shared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between the two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differential expression comparisons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across all groups in the IL7R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vertAlign w:val="superscript"/>
        </w:rPr>
        <w:t xml:space="preserve">low </w:t>
      </w:r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naive CD4 T subcluster. Purple indicates negative average normalized expression values, whereas red indicates a positive average normalized expression </w:t>
      </w:r>
      <w:proofErr w:type="gramStart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values</w:t>
      </w:r>
      <w:proofErr w:type="gramEnd"/>
      <w:r w:rsidR="00953FF7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</w:t>
      </w:r>
    </w:p>
    <w:p w14:paraId="68A74637" w14:textId="0ACAA7A6" w:rsidR="00953FF7" w:rsidRPr="00A0200E" w:rsidRDefault="00953FF7" w:rsidP="00E70814">
      <w:pPr>
        <w:numPr>
          <w:ilvl w:val="0"/>
          <w:numId w:val="32"/>
        </w:numPr>
        <w:spacing w:after="160" w:line="360" w:lineRule="auto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Functional enrichment analysis of GO-BP, </w:t>
      </w:r>
      <w:proofErr w:type="spellStart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Reactome</w:t>
      </w:r>
      <w:proofErr w:type="spellEnd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, and </w:t>
      </w:r>
      <w:proofErr w:type="spellStart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WikiPathways</w:t>
      </w:r>
      <w:proofErr w:type="spellEnd"/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for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differentially expressed genes between the patients with ASD before L-serine treatment and healthy control</w:t>
      </w:r>
      <w:r w:rsidR="000C6B3C"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s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(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left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), and between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 xml:space="preserve"> the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patients with ASD before and after L-serine treatment (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ko-KR"/>
        </w:rPr>
        <w:t>right)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. P-value &lt; 0.05</w:t>
      </w:r>
      <w:bookmarkEnd w:id="0"/>
    </w:p>
    <w:p w14:paraId="5DB806FE" w14:textId="77777777" w:rsidR="00953FF7" w:rsidRPr="00A0200E" w:rsidRDefault="00953FF7">
      <w:pPr>
        <w:spacing w:after="160" w:line="259" w:lineRule="auto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br w:type="page"/>
      </w:r>
    </w:p>
    <w:p w14:paraId="3C4F1ADC" w14:textId="6E33A0BC" w:rsidR="00F96140" w:rsidRPr="00A0200E" w:rsidRDefault="00F96140" w:rsidP="00F96140">
      <w:pPr>
        <w:spacing w:after="0" w:line="480" w:lineRule="auto"/>
        <w:contextualSpacing/>
        <w:jc w:val="both"/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Figure </w:t>
      </w:r>
      <w:r w:rsidRPr="00A0200E">
        <w:rPr>
          <w:rFonts w:ascii="Times New Roman" w:eastAsia="굴림" w:hAnsi="Times New Roman" w:cs="Times New Roman"/>
          <w:b/>
          <w:bCs/>
          <w:color w:val="000000" w:themeColor="text1"/>
          <w:sz w:val="24"/>
          <w:szCs w:val="24"/>
          <w:lang w:eastAsia="ko-KR"/>
        </w:rPr>
        <w:t>7</w:t>
      </w:r>
    </w:p>
    <w:p w14:paraId="16C5C624" w14:textId="5BBE05AD" w:rsidR="00A237BD" w:rsidRPr="00A0200E" w:rsidRDefault="006561E9" w:rsidP="00962D2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ko-KR"/>
        </w:rPr>
        <w:drawing>
          <wp:inline distT="0" distB="0" distL="0" distR="0" wp14:anchorId="23ECAD45" wp14:editId="26EDB3CB">
            <wp:extent cx="4587641" cy="8280000"/>
            <wp:effectExtent l="0" t="0" r="3810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Figure_7_for revision_20251230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641" cy="82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06208" w14:textId="0DE795C1" w:rsidR="00F277BB" w:rsidRPr="00A0200E" w:rsidRDefault="00F277BB" w:rsidP="00F277BB">
      <w:pPr>
        <w:spacing w:after="0" w:line="360" w:lineRule="auto"/>
        <w:ind w:left="4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lastRenderedPageBreak/>
        <w:t> </w:t>
      </w:r>
      <w:r w:rsidR="00930673" w:rsidRPr="00A0200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ko-KR"/>
        </w:rPr>
        <w:t>Sensitivity analysis of inferred cell–cell interactions and co-expression networks</w:t>
      </w:r>
    </w:p>
    <w:p w14:paraId="654D1577" w14:textId="4AAF5355" w:rsidR="00953FF7" w:rsidRPr="00A0200E" w:rsidRDefault="00953FF7" w:rsidP="000C6B3C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Heatmaps summarizing inferred cell–cell communication patterns (</w:t>
      </w:r>
      <w:proofErr w:type="spellStart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CellPhoneDB</w:t>
      </w:r>
      <w:proofErr w:type="spellEnd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) among major PBMC populations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, including 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CD4 T cells, CD8 T cells, monocytes, NK cells, RBC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s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, </w:t>
      </w:r>
      <w:proofErr w:type="spellStart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γδ</w:t>
      </w:r>
      <w:proofErr w:type="spellEnd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T cells, and </w:t>
      </w:r>
      <w:proofErr w:type="spellStart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pDC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s</w:t>
      </w:r>
      <w:proofErr w:type="spellEnd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in the </w:t>
      </w:r>
      <w:r w:rsidRPr="00A0200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patients with ASD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before (left) and after (right) L-serine treatment. Color intensity reflects the total number of statistically significant (p &lt; 0.05) interactions.</w:t>
      </w:r>
    </w:p>
    <w:p w14:paraId="593D741C" w14:textId="16A6E14A" w:rsidR="00953FF7" w:rsidRPr="00A0200E" w:rsidRDefault="00953FF7" w:rsidP="00953FF7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Dot plots showing selected CD4 T cell-centered LR pairs in before (top) and after L-serine treatment (bottom). Dot size corresponds to the interaction's statistical significance (larger dots indicate 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smaller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P-values), and color intensity indicates the mean expression of the interacting molecules. </w:t>
      </w:r>
    </w:p>
    <w:p w14:paraId="259C3602" w14:textId="3852535F" w:rsidR="00953FF7" w:rsidRPr="00A0200E" w:rsidRDefault="00E70814" w:rsidP="00953FF7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Volcano plots showing d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ifferentia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lly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express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ed genes in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CD8 T cells (left), NK cells (center), and monocytes (right) highlight representative genes encoding 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LR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and immune signaling molecules. Each point represents one gene; red denotes |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L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og₂ fold-change| &gt; 0.75 and adjusted P-value &lt; 0.1. </w:t>
      </w:r>
    </w:p>
    <w:p w14:paraId="74D0AA6A" w14:textId="48994206" w:rsidR="00953FF7" w:rsidRPr="00A0200E" w:rsidRDefault="000C6B3C" w:rsidP="00953FF7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WGCNA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of CD8 T cells. Left: UMAP embedding of the WGCNA network. Center: Volcano plot showing differential module eigen gene (eigenvector gene) analysis, which reveals up- or down-</w:t>
      </w:r>
      <w:bookmarkStart w:id="1" w:name="_Hlk218510203"/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regulat</w:t>
      </w:r>
      <w:r w:rsidR="002B6D95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ion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</w:t>
      </w:r>
      <w:bookmarkEnd w:id="1"/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after L-serine treatment. The points are colored by their module assignment. Right: Dot plot showing 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GSEA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of genes from brown and turquoise modules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, displaying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selected GO Biological Process pathways significantly enriched within th</w:t>
      </w:r>
      <w:r w:rsidR="00F643B6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e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se</w:t>
      </w:r>
      <w:r w:rsidR="00953FF7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key co-expression modules. </w:t>
      </w:r>
    </w:p>
    <w:p w14:paraId="04268D7D" w14:textId="096B3967" w:rsidR="00953FF7" w:rsidRPr="00A0200E" w:rsidRDefault="00953FF7" w:rsidP="00953FF7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WGCNA of NK cells. Left: UMAP embedding of the WGCNA network. Right: Volcano plot</w:t>
      </w:r>
      <w:r w:rsidR="00E70814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showing 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changes </w:t>
      </w:r>
      <w:r w:rsidR="00E70814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in 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the module eigen gene after L-serine treatment. Each point represents a module. Bottom: p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lot displaying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selected GO Biological Process pathways significantly enriched within the key brown and turquoise co-expression modules. </w:t>
      </w:r>
    </w:p>
    <w:p w14:paraId="65378A06" w14:textId="34EFC3A8" w:rsidR="00F277BB" w:rsidRPr="00A0200E" w:rsidRDefault="00953FF7" w:rsidP="00310CB1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</w:pP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WGCNA of 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monocytes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. Left: UMAP embedding of the WGCNA network. Right: Volcano plot </w:t>
      </w:r>
      <w:proofErr w:type="gramStart"/>
      <w:r w:rsidR="00E70814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showing</w:t>
      </w:r>
      <w:proofErr w:type="gramEnd"/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changes 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in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module eigen gene after L-serine treatment. Each point represents a module. Bottom: plot display</w:t>
      </w:r>
      <w:r w:rsidR="000C6B3C"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ing</w:t>
      </w:r>
      <w:r w:rsidRPr="00A0200E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 xml:space="preserve"> selected GO Biological Process pathways significantly enriched within the key brown and turquoise co-expression modules. </w:t>
      </w:r>
    </w:p>
    <w:sectPr w:rsidR="00F277BB" w:rsidRPr="00A0200E" w:rsidSect="00D65F9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6782" w14:textId="77777777" w:rsidR="00EE5ED3" w:rsidRDefault="00EE5ED3" w:rsidP="00CB2F18">
      <w:pPr>
        <w:spacing w:after="0" w:line="240" w:lineRule="auto"/>
      </w:pPr>
      <w:r>
        <w:separator/>
      </w:r>
    </w:p>
  </w:endnote>
  <w:endnote w:type="continuationSeparator" w:id="0">
    <w:p w14:paraId="277169AD" w14:textId="77777777" w:rsidR="00EE5ED3" w:rsidRDefault="00EE5ED3" w:rsidP="00CB2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2ECFC" w14:textId="77777777" w:rsidR="00EE5ED3" w:rsidRDefault="00EE5ED3" w:rsidP="00CB2F18">
      <w:pPr>
        <w:spacing w:after="0" w:line="240" w:lineRule="auto"/>
      </w:pPr>
      <w:r>
        <w:separator/>
      </w:r>
    </w:p>
  </w:footnote>
  <w:footnote w:type="continuationSeparator" w:id="0">
    <w:p w14:paraId="75B0155A" w14:textId="77777777" w:rsidR="00EE5ED3" w:rsidRDefault="00EE5ED3" w:rsidP="00CB2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FE5"/>
    <w:multiLevelType w:val="hybridMultilevel"/>
    <w:tmpl w:val="E57089E6"/>
    <w:lvl w:ilvl="0" w:tplc="04090019">
      <w:start w:val="1"/>
      <w:numFmt w:val="upperLetter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55A100A"/>
    <w:multiLevelType w:val="multilevel"/>
    <w:tmpl w:val="DF927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42F1F"/>
    <w:multiLevelType w:val="multilevel"/>
    <w:tmpl w:val="EB84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175A6"/>
    <w:multiLevelType w:val="multilevel"/>
    <w:tmpl w:val="74BCB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46291C"/>
    <w:multiLevelType w:val="hybridMultilevel"/>
    <w:tmpl w:val="A7560982"/>
    <w:lvl w:ilvl="0" w:tplc="5270053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3232288"/>
    <w:multiLevelType w:val="multilevel"/>
    <w:tmpl w:val="D0D86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9B5243"/>
    <w:multiLevelType w:val="hybridMultilevel"/>
    <w:tmpl w:val="1464A08E"/>
    <w:lvl w:ilvl="0" w:tplc="5270053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E4C288A"/>
    <w:multiLevelType w:val="hybridMultilevel"/>
    <w:tmpl w:val="ED767D0C"/>
    <w:lvl w:ilvl="0" w:tplc="5614AE9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459B7E56"/>
    <w:multiLevelType w:val="multilevel"/>
    <w:tmpl w:val="18249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07FF2"/>
    <w:multiLevelType w:val="hybridMultilevel"/>
    <w:tmpl w:val="5AB423C0"/>
    <w:lvl w:ilvl="0" w:tplc="5270053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78C57606"/>
    <w:multiLevelType w:val="hybridMultilevel"/>
    <w:tmpl w:val="8BA0E77E"/>
    <w:lvl w:ilvl="0" w:tplc="5270053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upperLetter"/>
      <w:lvlText w:val="%5.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upperLetter"/>
      <w:lvlText w:val="%8.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B302114"/>
    <w:multiLevelType w:val="hybridMultilevel"/>
    <w:tmpl w:val="5EB24E22"/>
    <w:lvl w:ilvl="0" w:tplc="5270053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7B9E342E"/>
    <w:multiLevelType w:val="hybridMultilevel"/>
    <w:tmpl w:val="089A5676"/>
    <w:lvl w:ilvl="0" w:tplc="52700538">
      <w:start w:val="1"/>
      <w:numFmt w:val="upperLetter"/>
      <w:lvlText w:val="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90591026">
    <w:abstractNumId w:val="8"/>
    <w:lvlOverride w:ilvl="0">
      <w:lvl w:ilvl="0">
        <w:numFmt w:val="upperLetter"/>
        <w:lvlText w:val="%1."/>
        <w:lvlJc w:val="left"/>
      </w:lvl>
    </w:lvlOverride>
  </w:num>
  <w:num w:numId="2" w16cid:durableId="1335766898">
    <w:abstractNumId w:val="8"/>
    <w:lvlOverride w:ilvl="0">
      <w:lvl w:ilvl="0">
        <w:numFmt w:val="upperLetter"/>
        <w:lvlText w:val="%1."/>
        <w:lvlJc w:val="left"/>
      </w:lvl>
    </w:lvlOverride>
  </w:num>
  <w:num w:numId="3" w16cid:durableId="973876286">
    <w:abstractNumId w:val="8"/>
    <w:lvlOverride w:ilvl="0">
      <w:lvl w:ilvl="0">
        <w:numFmt w:val="upperLetter"/>
        <w:lvlText w:val="%1."/>
        <w:lvlJc w:val="left"/>
      </w:lvl>
    </w:lvlOverride>
  </w:num>
  <w:num w:numId="4" w16cid:durableId="1625968390">
    <w:abstractNumId w:val="8"/>
    <w:lvlOverride w:ilvl="0">
      <w:lvl w:ilvl="0">
        <w:numFmt w:val="upperLetter"/>
        <w:lvlText w:val="%1."/>
        <w:lvlJc w:val="left"/>
      </w:lvl>
    </w:lvlOverride>
  </w:num>
  <w:num w:numId="5" w16cid:durableId="1279675704">
    <w:abstractNumId w:val="0"/>
  </w:num>
  <w:num w:numId="6" w16cid:durableId="2057968737">
    <w:abstractNumId w:val="10"/>
  </w:num>
  <w:num w:numId="7" w16cid:durableId="203754857">
    <w:abstractNumId w:val="9"/>
  </w:num>
  <w:num w:numId="8" w16cid:durableId="306203578">
    <w:abstractNumId w:val="4"/>
  </w:num>
  <w:num w:numId="9" w16cid:durableId="534659481">
    <w:abstractNumId w:val="2"/>
    <w:lvlOverride w:ilvl="0">
      <w:lvl w:ilvl="0">
        <w:numFmt w:val="upperLetter"/>
        <w:lvlText w:val="%1."/>
        <w:lvlJc w:val="left"/>
      </w:lvl>
    </w:lvlOverride>
  </w:num>
  <w:num w:numId="10" w16cid:durableId="1516967177">
    <w:abstractNumId w:val="2"/>
    <w:lvlOverride w:ilvl="0">
      <w:lvl w:ilvl="0">
        <w:numFmt w:val="upperLetter"/>
        <w:lvlText w:val="%1."/>
        <w:lvlJc w:val="left"/>
      </w:lvl>
    </w:lvlOverride>
  </w:num>
  <w:num w:numId="11" w16cid:durableId="1660694063">
    <w:abstractNumId w:val="2"/>
    <w:lvlOverride w:ilvl="0">
      <w:lvl w:ilvl="0">
        <w:numFmt w:val="upperLetter"/>
        <w:lvlText w:val="%1."/>
        <w:lvlJc w:val="left"/>
      </w:lvl>
    </w:lvlOverride>
  </w:num>
  <w:num w:numId="12" w16cid:durableId="347172836">
    <w:abstractNumId w:val="2"/>
    <w:lvlOverride w:ilvl="0">
      <w:lvl w:ilvl="0">
        <w:numFmt w:val="upperLetter"/>
        <w:lvlText w:val="%1."/>
        <w:lvlJc w:val="left"/>
      </w:lvl>
    </w:lvlOverride>
  </w:num>
  <w:num w:numId="13" w16cid:durableId="53047221">
    <w:abstractNumId w:val="2"/>
    <w:lvlOverride w:ilvl="0">
      <w:lvl w:ilvl="0">
        <w:numFmt w:val="upperLetter"/>
        <w:lvlText w:val="%1."/>
        <w:lvlJc w:val="left"/>
      </w:lvl>
    </w:lvlOverride>
  </w:num>
  <w:num w:numId="14" w16cid:durableId="1982152710">
    <w:abstractNumId w:val="5"/>
    <w:lvlOverride w:ilvl="0">
      <w:lvl w:ilvl="0">
        <w:numFmt w:val="upperLetter"/>
        <w:lvlText w:val="%1."/>
        <w:lvlJc w:val="left"/>
      </w:lvl>
    </w:lvlOverride>
  </w:num>
  <w:num w:numId="15" w16cid:durableId="1551842087">
    <w:abstractNumId w:val="5"/>
    <w:lvlOverride w:ilvl="0">
      <w:lvl w:ilvl="0">
        <w:numFmt w:val="upperLetter"/>
        <w:lvlText w:val="%1."/>
        <w:lvlJc w:val="left"/>
      </w:lvl>
    </w:lvlOverride>
  </w:num>
  <w:num w:numId="16" w16cid:durableId="403341211">
    <w:abstractNumId w:val="5"/>
    <w:lvlOverride w:ilvl="0">
      <w:lvl w:ilvl="0">
        <w:numFmt w:val="upperLetter"/>
        <w:lvlText w:val="%1."/>
        <w:lvlJc w:val="left"/>
      </w:lvl>
    </w:lvlOverride>
  </w:num>
  <w:num w:numId="17" w16cid:durableId="1899853977">
    <w:abstractNumId w:val="5"/>
    <w:lvlOverride w:ilvl="0">
      <w:lvl w:ilvl="0">
        <w:numFmt w:val="upperLetter"/>
        <w:lvlText w:val="%1."/>
        <w:lvlJc w:val="left"/>
      </w:lvl>
    </w:lvlOverride>
  </w:num>
  <w:num w:numId="18" w16cid:durableId="629166306">
    <w:abstractNumId w:val="5"/>
    <w:lvlOverride w:ilvl="0">
      <w:lvl w:ilvl="0">
        <w:numFmt w:val="upperLetter"/>
        <w:lvlText w:val="%1."/>
        <w:lvlJc w:val="left"/>
      </w:lvl>
    </w:lvlOverride>
  </w:num>
  <w:num w:numId="19" w16cid:durableId="846099706">
    <w:abstractNumId w:val="5"/>
    <w:lvlOverride w:ilvl="0">
      <w:lvl w:ilvl="0">
        <w:numFmt w:val="upperLetter"/>
        <w:lvlText w:val="%1."/>
        <w:lvlJc w:val="left"/>
      </w:lvl>
    </w:lvlOverride>
  </w:num>
  <w:num w:numId="20" w16cid:durableId="471680233">
    <w:abstractNumId w:val="6"/>
  </w:num>
  <w:num w:numId="21" w16cid:durableId="1850244362">
    <w:abstractNumId w:val="1"/>
    <w:lvlOverride w:ilvl="0">
      <w:lvl w:ilvl="0">
        <w:numFmt w:val="upperLetter"/>
        <w:lvlText w:val="%1."/>
        <w:lvlJc w:val="left"/>
      </w:lvl>
    </w:lvlOverride>
  </w:num>
  <w:num w:numId="22" w16cid:durableId="973557506">
    <w:abstractNumId w:val="1"/>
    <w:lvlOverride w:ilvl="0">
      <w:lvl w:ilvl="0">
        <w:numFmt w:val="upperLetter"/>
        <w:lvlText w:val="%1."/>
        <w:lvlJc w:val="left"/>
      </w:lvl>
    </w:lvlOverride>
  </w:num>
  <w:num w:numId="23" w16cid:durableId="1712338027">
    <w:abstractNumId w:val="1"/>
    <w:lvlOverride w:ilvl="0">
      <w:lvl w:ilvl="0">
        <w:numFmt w:val="upperLetter"/>
        <w:lvlText w:val="%1."/>
        <w:lvlJc w:val="left"/>
      </w:lvl>
    </w:lvlOverride>
  </w:num>
  <w:num w:numId="24" w16cid:durableId="319384181">
    <w:abstractNumId w:val="1"/>
    <w:lvlOverride w:ilvl="0">
      <w:lvl w:ilvl="0">
        <w:numFmt w:val="upperLetter"/>
        <w:lvlText w:val="%1."/>
        <w:lvlJc w:val="left"/>
      </w:lvl>
    </w:lvlOverride>
  </w:num>
  <w:num w:numId="25" w16cid:durableId="1616597960">
    <w:abstractNumId w:val="12"/>
  </w:num>
  <w:num w:numId="26" w16cid:durableId="2052028653">
    <w:abstractNumId w:val="3"/>
    <w:lvlOverride w:ilvl="0">
      <w:lvl w:ilvl="0">
        <w:numFmt w:val="upperLetter"/>
        <w:lvlText w:val="%1."/>
        <w:lvlJc w:val="left"/>
      </w:lvl>
    </w:lvlOverride>
  </w:num>
  <w:num w:numId="27" w16cid:durableId="1884712078">
    <w:abstractNumId w:val="3"/>
    <w:lvlOverride w:ilvl="0">
      <w:lvl w:ilvl="0">
        <w:numFmt w:val="upperLetter"/>
        <w:lvlText w:val="%1."/>
        <w:lvlJc w:val="left"/>
      </w:lvl>
    </w:lvlOverride>
  </w:num>
  <w:num w:numId="28" w16cid:durableId="1008485926">
    <w:abstractNumId w:val="3"/>
    <w:lvlOverride w:ilvl="0">
      <w:lvl w:ilvl="0">
        <w:numFmt w:val="upperLetter"/>
        <w:lvlText w:val="%1."/>
        <w:lvlJc w:val="left"/>
      </w:lvl>
    </w:lvlOverride>
  </w:num>
  <w:num w:numId="29" w16cid:durableId="355472606">
    <w:abstractNumId w:val="3"/>
    <w:lvlOverride w:ilvl="0">
      <w:lvl w:ilvl="0">
        <w:numFmt w:val="upperLetter"/>
        <w:lvlText w:val="%1."/>
        <w:lvlJc w:val="left"/>
      </w:lvl>
    </w:lvlOverride>
  </w:num>
  <w:num w:numId="30" w16cid:durableId="1931967518">
    <w:abstractNumId w:val="3"/>
    <w:lvlOverride w:ilvl="0">
      <w:lvl w:ilvl="0">
        <w:numFmt w:val="upperLetter"/>
        <w:lvlText w:val="%1."/>
        <w:lvlJc w:val="left"/>
      </w:lvl>
    </w:lvlOverride>
  </w:num>
  <w:num w:numId="31" w16cid:durableId="461774413">
    <w:abstractNumId w:val="11"/>
  </w:num>
  <w:num w:numId="32" w16cid:durableId="14895921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D"/>
    <w:rsid w:val="00002655"/>
    <w:rsid w:val="00014642"/>
    <w:rsid w:val="0002485B"/>
    <w:rsid w:val="00082CC9"/>
    <w:rsid w:val="000A1F99"/>
    <w:rsid w:val="000C6B3C"/>
    <w:rsid w:val="000E1151"/>
    <w:rsid w:val="00151E2F"/>
    <w:rsid w:val="001A707B"/>
    <w:rsid w:val="001D1415"/>
    <w:rsid w:val="001E7731"/>
    <w:rsid w:val="001F488D"/>
    <w:rsid w:val="00220A0E"/>
    <w:rsid w:val="00241DE4"/>
    <w:rsid w:val="00245E02"/>
    <w:rsid w:val="002475F5"/>
    <w:rsid w:val="00253323"/>
    <w:rsid w:val="002817CC"/>
    <w:rsid w:val="002B6D95"/>
    <w:rsid w:val="002C3894"/>
    <w:rsid w:val="002E066E"/>
    <w:rsid w:val="003104CE"/>
    <w:rsid w:val="00310CB1"/>
    <w:rsid w:val="00333B0D"/>
    <w:rsid w:val="003375A5"/>
    <w:rsid w:val="003B196C"/>
    <w:rsid w:val="003C528D"/>
    <w:rsid w:val="003D3B1A"/>
    <w:rsid w:val="003E28B5"/>
    <w:rsid w:val="003F2120"/>
    <w:rsid w:val="00451AC8"/>
    <w:rsid w:val="004629E0"/>
    <w:rsid w:val="00472AFD"/>
    <w:rsid w:val="004D09E4"/>
    <w:rsid w:val="00513DD0"/>
    <w:rsid w:val="005156F8"/>
    <w:rsid w:val="00522028"/>
    <w:rsid w:val="00536405"/>
    <w:rsid w:val="00545028"/>
    <w:rsid w:val="00565F17"/>
    <w:rsid w:val="00595902"/>
    <w:rsid w:val="00613193"/>
    <w:rsid w:val="006561E9"/>
    <w:rsid w:val="006658DC"/>
    <w:rsid w:val="00667D56"/>
    <w:rsid w:val="00696609"/>
    <w:rsid w:val="006A3A70"/>
    <w:rsid w:val="006B1A1E"/>
    <w:rsid w:val="006B4A42"/>
    <w:rsid w:val="006B5A2D"/>
    <w:rsid w:val="006D5BE3"/>
    <w:rsid w:val="00735BB9"/>
    <w:rsid w:val="00751E07"/>
    <w:rsid w:val="00797AE7"/>
    <w:rsid w:val="00857808"/>
    <w:rsid w:val="00860BC6"/>
    <w:rsid w:val="00877815"/>
    <w:rsid w:val="00885846"/>
    <w:rsid w:val="00891DC5"/>
    <w:rsid w:val="008A596F"/>
    <w:rsid w:val="00920568"/>
    <w:rsid w:val="00930673"/>
    <w:rsid w:val="00953FF7"/>
    <w:rsid w:val="00962D2F"/>
    <w:rsid w:val="00972546"/>
    <w:rsid w:val="0098204F"/>
    <w:rsid w:val="00991815"/>
    <w:rsid w:val="00991B63"/>
    <w:rsid w:val="00995CEA"/>
    <w:rsid w:val="009B6A01"/>
    <w:rsid w:val="009D69EF"/>
    <w:rsid w:val="009E5F19"/>
    <w:rsid w:val="009E6075"/>
    <w:rsid w:val="009F2235"/>
    <w:rsid w:val="009F56B7"/>
    <w:rsid w:val="00A0200E"/>
    <w:rsid w:val="00A237BD"/>
    <w:rsid w:val="00A55BF5"/>
    <w:rsid w:val="00A56F9F"/>
    <w:rsid w:val="00A61A21"/>
    <w:rsid w:val="00A95A44"/>
    <w:rsid w:val="00AD402B"/>
    <w:rsid w:val="00B24B10"/>
    <w:rsid w:val="00B466A2"/>
    <w:rsid w:val="00B56F4A"/>
    <w:rsid w:val="00B65362"/>
    <w:rsid w:val="00B825A8"/>
    <w:rsid w:val="00BB6CE2"/>
    <w:rsid w:val="00BC15B8"/>
    <w:rsid w:val="00BE64B3"/>
    <w:rsid w:val="00C41507"/>
    <w:rsid w:val="00C446C6"/>
    <w:rsid w:val="00C767A6"/>
    <w:rsid w:val="00C9150E"/>
    <w:rsid w:val="00CB2F18"/>
    <w:rsid w:val="00CF6D53"/>
    <w:rsid w:val="00D16DA3"/>
    <w:rsid w:val="00D2408E"/>
    <w:rsid w:val="00D3173F"/>
    <w:rsid w:val="00D520E4"/>
    <w:rsid w:val="00D57C19"/>
    <w:rsid w:val="00D65F9E"/>
    <w:rsid w:val="00D81A3A"/>
    <w:rsid w:val="00DF2E03"/>
    <w:rsid w:val="00DF3998"/>
    <w:rsid w:val="00E056F3"/>
    <w:rsid w:val="00E433CE"/>
    <w:rsid w:val="00E463DA"/>
    <w:rsid w:val="00E64816"/>
    <w:rsid w:val="00E70814"/>
    <w:rsid w:val="00E81CF2"/>
    <w:rsid w:val="00EB762F"/>
    <w:rsid w:val="00ED518E"/>
    <w:rsid w:val="00EE5ED3"/>
    <w:rsid w:val="00EF1BDC"/>
    <w:rsid w:val="00F0184F"/>
    <w:rsid w:val="00F047DE"/>
    <w:rsid w:val="00F060A2"/>
    <w:rsid w:val="00F277BB"/>
    <w:rsid w:val="00F61DD6"/>
    <w:rsid w:val="00F643B6"/>
    <w:rsid w:val="00F754E5"/>
    <w:rsid w:val="00F96140"/>
    <w:rsid w:val="00FC052F"/>
    <w:rsid w:val="00FC4D74"/>
    <w:rsid w:val="00FD0880"/>
    <w:rsid w:val="00FD7728"/>
    <w:rsid w:val="00FD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7CC02"/>
  <w15:chartTrackingRefBased/>
  <w15:docId w15:val="{4E959E5E-6019-4462-8CAB-671E3B20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894"/>
    <w:pPr>
      <w:spacing w:after="200" w:line="276" w:lineRule="auto"/>
    </w:pPr>
    <w:rPr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41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F18"/>
    <w:rPr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B2F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F18"/>
    <w:rPr>
      <w:lang w:eastAsia="zh-CN"/>
    </w:rPr>
  </w:style>
  <w:style w:type="character" w:styleId="Hyperlink">
    <w:name w:val="Hyperlink"/>
    <w:basedOn w:val="DefaultParagraphFont"/>
    <w:uiPriority w:val="99"/>
    <w:unhideWhenUsed/>
    <w:rsid w:val="00241DE4"/>
    <w:rPr>
      <w:color w:val="0563C1" w:themeColor="hyperlink"/>
      <w:u w:val="single"/>
    </w:rPr>
  </w:style>
  <w:style w:type="paragraph" w:customStyle="1" w:styleId="a">
    <w:name w:val="바탕글"/>
    <w:basedOn w:val="Normal"/>
    <w:rsid w:val="00241DE4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1D1415"/>
    <w:rPr>
      <w:rFonts w:asciiTheme="majorHAnsi" w:eastAsiaTheme="majorEastAsia" w:hAnsiTheme="majorHAnsi" w:cstheme="majorBidi"/>
      <w:sz w:val="28"/>
      <w:szCs w:val="28"/>
      <w:lang w:eastAsia="zh-CN"/>
    </w:rPr>
  </w:style>
  <w:style w:type="paragraph" w:customStyle="1" w:styleId="paragraph">
    <w:name w:val="paragraph"/>
    <w:basedOn w:val="Normal"/>
    <w:rsid w:val="001D1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normaltextrun">
    <w:name w:val="normaltextrun"/>
    <w:basedOn w:val="DefaultParagraphFont"/>
    <w:rsid w:val="001D1415"/>
  </w:style>
  <w:style w:type="character" w:customStyle="1" w:styleId="eop">
    <w:name w:val="eop"/>
    <w:basedOn w:val="DefaultParagraphFont"/>
    <w:rsid w:val="001D1415"/>
  </w:style>
  <w:style w:type="paragraph" w:styleId="ListParagraph">
    <w:name w:val="List Paragraph"/>
    <w:basedOn w:val="Normal"/>
    <w:uiPriority w:val="34"/>
    <w:qFormat/>
    <w:rsid w:val="00A61A21"/>
    <w:pPr>
      <w:ind w:leftChars="400" w:left="800"/>
    </w:pPr>
  </w:style>
  <w:style w:type="paragraph" w:styleId="NormalWeb">
    <w:name w:val="Normal (Web)"/>
    <w:basedOn w:val="Normal"/>
    <w:uiPriority w:val="99"/>
    <w:semiHidden/>
    <w:unhideWhenUsed/>
    <w:rsid w:val="00D2408E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D7728"/>
    <w:pPr>
      <w:spacing w:after="0" w:line="240" w:lineRule="auto"/>
    </w:pPr>
    <w:rPr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A7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70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707B"/>
    <w:rPr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0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07B"/>
    <w:rPr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3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408B6-8670-4864-852B-E1451616E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1568</Words>
  <Characters>8940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 영식</dc:creator>
  <cp:keywords/>
  <dc:description/>
  <cp:lastModifiedBy>승은 여</cp:lastModifiedBy>
  <cp:revision>3</cp:revision>
  <dcterms:created xsi:type="dcterms:W3CDTF">2026-02-24T06:09:00Z</dcterms:created>
  <dcterms:modified xsi:type="dcterms:W3CDTF">2026-02-24T06:10:00Z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323ea555-bf4a-4517-bab1-e58804627e0b</vt:lpwstr>
  </property>
</Properties>
</file>