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5DB13" w14:textId="0F2A135F" w:rsidR="00191947" w:rsidRPr="00191947" w:rsidRDefault="00191947" w:rsidP="005C23E3">
      <w:pPr>
        <w:pStyle w:val="Standard"/>
        <w:spacing w:line="480" w:lineRule="auto"/>
        <w:jc w:val="both"/>
        <w:rPr>
          <w:rFonts w:ascii="Arial" w:hAnsi="Arial" w:cs="Arial"/>
          <w:b/>
          <w:bCs/>
          <w:lang w:val="en-US"/>
        </w:rPr>
      </w:pPr>
      <w:r w:rsidRPr="00191947">
        <w:rPr>
          <w:rFonts w:ascii="Arial" w:hAnsi="Arial" w:cs="Arial"/>
          <w:b/>
          <w:bCs/>
          <w:lang w:val="en-US"/>
        </w:rPr>
        <w:t>SUPPLEMENTA</w:t>
      </w:r>
      <w:r w:rsidR="00600F92">
        <w:rPr>
          <w:rFonts w:ascii="Arial" w:hAnsi="Arial" w:cs="Arial"/>
          <w:b/>
          <w:bCs/>
          <w:lang w:val="en-US"/>
        </w:rPr>
        <w:t>L</w:t>
      </w:r>
      <w:r w:rsidRPr="00191947">
        <w:rPr>
          <w:rFonts w:ascii="Arial" w:hAnsi="Arial" w:cs="Arial"/>
          <w:b/>
          <w:bCs/>
          <w:lang w:val="en-US"/>
        </w:rPr>
        <w:t xml:space="preserve"> DATA</w:t>
      </w:r>
    </w:p>
    <w:p w14:paraId="66F25884" w14:textId="22A18D4C" w:rsidR="00191947" w:rsidRPr="00191947" w:rsidRDefault="00BB4284" w:rsidP="005C23E3">
      <w:pPr>
        <w:pStyle w:val="Standard"/>
        <w:spacing w:line="480" w:lineRule="auto"/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/>
        </w:rPr>
        <w:drawing>
          <wp:inline distT="0" distB="0" distL="0" distR="0" wp14:anchorId="66127562" wp14:editId="4E58D43F">
            <wp:extent cx="5879132" cy="3300095"/>
            <wp:effectExtent l="0" t="0" r="0" b="0"/>
            <wp:docPr id="33221036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024" cy="33028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3AC061" w14:textId="47EC74CE" w:rsidR="00191947" w:rsidRPr="00191947" w:rsidRDefault="00191947" w:rsidP="005C23E3">
      <w:pPr>
        <w:pStyle w:val="Standard"/>
        <w:spacing w:line="480" w:lineRule="auto"/>
        <w:jc w:val="both"/>
        <w:rPr>
          <w:lang w:val="en-US"/>
        </w:rPr>
      </w:pPr>
      <w:r w:rsidRPr="00191947">
        <w:rPr>
          <w:rStyle w:val="Policepardfaut1"/>
          <w:rFonts w:ascii="Arial" w:hAnsi="Arial" w:cs="Arial"/>
          <w:b/>
          <w:bCs/>
          <w:sz w:val="20"/>
          <w:szCs w:val="20"/>
          <w:lang w:val="en-US"/>
        </w:rPr>
        <w:t>Figure S1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 T</w:t>
      </w:r>
      <w:r w:rsidR="00642690">
        <w:rPr>
          <w:rStyle w:val="Policepardfaut1"/>
          <w:rFonts w:ascii="Arial" w:hAnsi="Arial" w:cs="Arial"/>
          <w:sz w:val="20"/>
          <w:szCs w:val="20"/>
          <w:lang w:val="en-US"/>
        </w:rPr>
        <w:t>-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cell proliferation of all conditions in the presence or absence of IL-2 after stimulation with </w:t>
      </w:r>
      <w:r w:rsidRPr="00191947">
        <w:rPr>
          <w:rFonts w:ascii="Arial" w:hAnsi="Arial" w:cs="Arial"/>
          <w:sz w:val="20"/>
          <w:szCs w:val="20"/>
          <w:lang w:val="en-US"/>
        </w:rPr>
        <w:t>antibody-coated beads (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>Dynabeads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) 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or </w:t>
      </w:r>
      <w:r w:rsidRPr="00DF5ED7">
        <w:rPr>
          <w:rStyle w:val="Policepardfaut1"/>
          <w:rFonts w:ascii="Arial" w:hAnsi="Arial" w:cs="Arial"/>
          <w:sz w:val="20"/>
          <w:szCs w:val="20"/>
          <w:highlight w:val="cyan"/>
          <w:lang w:val="en-US"/>
        </w:rPr>
        <w:t xml:space="preserve">soluble </w:t>
      </w:r>
      <w:r w:rsidR="00DF5ED7" w:rsidRPr="00DF5ED7">
        <w:rPr>
          <w:rStyle w:val="Policepardfaut1"/>
          <w:rFonts w:ascii="Arial" w:hAnsi="Arial" w:cs="Arial"/>
          <w:sz w:val="20"/>
          <w:szCs w:val="20"/>
          <w:highlight w:val="cyan"/>
          <w:lang w:val="en-US"/>
        </w:rPr>
        <w:t>antibody complexes</w:t>
      </w:r>
      <w:r w:rsidR="00DF5ED7"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 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(ImmunoCult). </w:t>
      </w:r>
      <w:r w:rsidRPr="00191947">
        <w:rPr>
          <w:rStyle w:val="Policepardfaut1"/>
          <w:rFonts w:ascii="Arial" w:hAnsi="Arial" w:cs="Arial"/>
          <w:b/>
          <w:bCs/>
          <w:sz w:val="20"/>
          <w:szCs w:val="20"/>
          <w:lang w:val="en-US"/>
        </w:rPr>
        <w:t>A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 Cumulative cell counts and </w:t>
      </w:r>
      <w:r w:rsidRPr="00191947">
        <w:rPr>
          <w:rStyle w:val="Policepardfaut1"/>
          <w:rFonts w:ascii="Arial" w:hAnsi="Arial" w:cs="Arial"/>
          <w:b/>
          <w:bCs/>
          <w:sz w:val="20"/>
          <w:szCs w:val="20"/>
          <w:lang w:val="en-US"/>
        </w:rPr>
        <w:t>B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 T</w:t>
      </w:r>
      <w:r w:rsidR="00642690">
        <w:rPr>
          <w:rStyle w:val="Policepardfaut1"/>
          <w:rFonts w:ascii="Arial" w:hAnsi="Arial" w:cs="Arial"/>
          <w:sz w:val="20"/>
          <w:szCs w:val="20"/>
          <w:lang w:val="en-US"/>
        </w:rPr>
        <w:t>-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>cell viability (%) during the initial stimulation phase (days 0-8), after reseeding in fresh media with or without restimulation on day 8, and throughout the post-restimulation phase (days 10-22). Data represent mean ± SD of four independent donors.</w:t>
      </w:r>
    </w:p>
    <w:p w14:paraId="3AF32FD1" w14:textId="49EFD9CA" w:rsidR="00191947" w:rsidRPr="00191947" w:rsidRDefault="00882B76" w:rsidP="005C23E3">
      <w:pPr>
        <w:pStyle w:val="Standard"/>
        <w:spacing w:line="480" w:lineRule="auto"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C3D9F78" wp14:editId="2670AB4F">
            <wp:extent cx="6362078" cy="2115820"/>
            <wp:effectExtent l="0" t="0" r="0" b="0"/>
            <wp:docPr id="998272812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4880" cy="21167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7E3208" w14:textId="59FAACBF" w:rsidR="00191947" w:rsidRPr="00191947" w:rsidRDefault="00191947" w:rsidP="005C23E3">
      <w:pPr>
        <w:pStyle w:val="Standard"/>
        <w:spacing w:line="480" w:lineRule="auto"/>
        <w:jc w:val="both"/>
        <w:rPr>
          <w:rStyle w:val="Policepardfaut1"/>
          <w:rFonts w:ascii="Arial" w:hAnsi="Arial" w:cs="Arial"/>
          <w:sz w:val="20"/>
          <w:szCs w:val="20"/>
          <w:lang w:val="en-US"/>
        </w:rPr>
      </w:pPr>
      <w:r w:rsidRPr="00191947">
        <w:rPr>
          <w:rStyle w:val="Policepardfaut1"/>
          <w:rFonts w:ascii="Arial" w:hAnsi="Arial" w:cs="Arial"/>
          <w:b/>
          <w:bCs/>
          <w:sz w:val="20"/>
          <w:szCs w:val="20"/>
          <w:lang w:val="en-US"/>
        </w:rPr>
        <w:t>Figure S2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 CD4/CD8 T</w:t>
      </w:r>
      <w:r w:rsidR="00642690">
        <w:rPr>
          <w:rStyle w:val="Policepardfaut1"/>
          <w:rFonts w:ascii="Arial" w:hAnsi="Arial" w:cs="Arial"/>
          <w:sz w:val="20"/>
          <w:szCs w:val="20"/>
          <w:lang w:val="en-US"/>
        </w:rPr>
        <w:t>-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cell composition of all conditions in the presence or absence of IL-2 following stimulation with </w:t>
      </w:r>
      <w:r w:rsidRPr="00191947">
        <w:rPr>
          <w:rFonts w:ascii="Arial" w:hAnsi="Arial" w:cs="Arial"/>
          <w:sz w:val="20"/>
          <w:szCs w:val="20"/>
          <w:lang w:val="en-US"/>
        </w:rPr>
        <w:t>antibody-coated beads (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>Dynabeads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) 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or </w:t>
      </w:r>
      <w:r w:rsidRPr="00DF5ED7">
        <w:rPr>
          <w:rStyle w:val="Policepardfaut1"/>
          <w:rFonts w:ascii="Arial" w:hAnsi="Arial" w:cs="Arial"/>
          <w:sz w:val="20"/>
          <w:szCs w:val="20"/>
          <w:highlight w:val="cyan"/>
          <w:lang w:val="en-US"/>
        </w:rPr>
        <w:t xml:space="preserve">soluble </w:t>
      </w:r>
      <w:r w:rsidR="00DF5ED7" w:rsidRPr="00DF5ED7">
        <w:rPr>
          <w:rStyle w:val="Policepardfaut1"/>
          <w:rFonts w:ascii="Arial" w:hAnsi="Arial" w:cs="Arial"/>
          <w:sz w:val="20"/>
          <w:szCs w:val="20"/>
          <w:highlight w:val="cyan"/>
          <w:lang w:val="en-US"/>
        </w:rPr>
        <w:t>antibody complexes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 (ImmunoCult). Percentage of CD4</w:t>
      </w:r>
      <w:r w:rsidRPr="00191947">
        <w:rPr>
          <w:rStyle w:val="Policepardfaut1"/>
          <w:rFonts w:ascii="Arial" w:hAnsi="Arial" w:cs="Arial"/>
          <w:sz w:val="20"/>
          <w:szCs w:val="20"/>
          <w:vertAlign w:val="superscript"/>
          <w:lang w:val="en-US"/>
        </w:rPr>
        <w:t>+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 (left) and CD8</w:t>
      </w:r>
      <w:r w:rsidRPr="00191947">
        <w:rPr>
          <w:rStyle w:val="Policepardfaut1"/>
          <w:rFonts w:ascii="Arial" w:hAnsi="Arial" w:cs="Arial"/>
          <w:sz w:val="20"/>
          <w:szCs w:val="20"/>
          <w:vertAlign w:val="superscript"/>
          <w:lang w:val="en-US"/>
        </w:rPr>
        <w:t>+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 (right) T cells during the initial stimulation phase (days 0-8), after reseeding with or without restimulation on day 8, and throughout the post-restimulation phase (days 10-22). </w:t>
      </w:r>
      <w:r w:rsidRPr="00191947">
        <w:rPr>
          <w:rFonts w:ascii="Arial" w:hAnsi="Arial" w:cs="Arial"/>
          <w:sz w:val="20"/>
          <w:szCs w:val="20"/>
          <w:lang w:val="en-US"/>
        </w:rPr>
        <w:t>Data represent mean ± SD of four independent donors.</w:t>
      </w:r>
    </w:p>
    <w:p w14:paraId="6A520CDC" w14:textId="77777777" w:rsidR="00191947" w:rsidRPr="00191947" w:rsidRDefault="00191947" w:rsidP="005C23E3">
      <w:pPr>
        <w:pStyle w:val="Standard"/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68C43759" w14:textId="4CB797F6" w:rsidR="00191947" w:rsidRPr="00191947" w:rsidRDefault="007D6FC7" w:rsidP="005C23E3">
      <w:pPr>
        <w:pStyle w:val="Standard"/>
        <w:spacing w:line="480" w:lineRule="auto"/>
        <w:jc w:val="center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noProof/>
          <w:sz w:val="20"/>
          <w:szCs w:val="20"/>
          <w:lang w:val="en-US"/>
        </w:rPr>
        <w:lastRenderedPageBreak/>
        <w:drawing>
          <wp:inline distT="0" distB="0" distL="0" distR="0" wp14:anchorId="46272E37" wp14:editId="3A4DA10B">
            <wp:extent cx="5480685" cy="7047865"/>
            <wp:effectExtent l="0" t="0" r="0" b="0"/>
            <wp:docPr id="34594314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685" cy="7047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8C52F5" w14:textId="0CB6DBDD" w:rsidR="00191947" w:rsidRDefault="00191947" w:rsidP="005C23E3">
      <w:pPr>
        <w:pStyle w:val="Standard"/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191947">
        <w:rPr>
          <w:rStyle w:val="Policepardfaut1"/>
          <w:rFonts w:ascii="Arial" w:hAnsi="Arial" w:cs="Arial"/>
          <w:b/>
          <w:bCs/>
          <w:sz w:val="20"/>
          <w:szCs w:val="20"/>
          <w:lang w:val="en-US"/>
        </w:rPr>
        <w:t>Figure S3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 </w:t>
      </w:r>
      <w:r w:rsidRPr="00191947">
        <w:rPr>
          <w:rFonts w:ascii="Arial" w:hAnsi="Arial" w:cs="Arial"/>
          <w:sz w:val="20"/>
          <w:szCs w:val="20"/>
          <w:lang w:val="en-US"/>
        </w:rPr>
        <w:t>T</w:t>
      </w:r>
      <w:r w:rsidR="00642690">
        <w:rPr>
          <w:rFonts w:ascii="Arial" w:hAnsi="Arial" w:cs="Arial"/>
          <w:sz w:val="20"/>
          <w:szCs w:val="20"/>
          <w:lang w:val="en-US"/>
        </w:rPr>
        <w:t>-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cell activation dynamics 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of all conditions in the presence or absence of IL-2 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after stimulation with antibody-coated beads (Dynabeads) or </w:t>
      </w:r>
      <w:r w:rsidRPr="00DF5ED7">
        <w:rPr>
          <w:rFonts w:ascii="Arial" w:hAnsi="Arial" w:cs="Arial"/>
          <w:sz w:val="20"/>
          <w:szCs w:val="20"/>
          <w:highlight w:val="cyan"/>
          <w:lang w:val="en-US"/>
        </w:rPr>
        <w:t xml:space="preserve">soluble </w:t>
      </w:r>
      <w:r w:rsidR="00DF5ED7" w:rsidRPr="00DF5ED7">
        <w:rPr>
          <w:rStyle w:val="Policepardfaut1"/>
          <w:rFonts w:ascii="Arial" w:hAnsi="Arial" w:cs="Arial"/>
          <w:sz w:val="20"/>
          <w:szCs w:val="20"/>
          <w:highlight w:val="cyan"/>
          <w:lang w:val="en-US"/>
        </w:rPr>
        <w:t>antibody complexes</w:t>
      </w:r>
      <w:r w:rsidR="00DF5ED7"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 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(ImmunoCult) during the initial stimulation phase (days 0-8), after reseeding in fresh media with or without restimulation on day 8, and throughout the post-restimulation phase (days 10-22). Activation marker expression was measured as the Mean Fluorescence Intensity (MFI) of </w:t>
      </w:r>
      <w:r w:rsidRPr="00191947">
        <w:rPr>
          <w:rFonts w:ascii="Arial" w:hAnsi="Arial" w:cs="Arial"/>
          <w:b/>
          <w:bCs/>
          <w:sz w:val="20"/>
          <w:szCs w:val="20"/>
          <w:lang w:val="en-US"/>
        </w:rPr>
        <w:t>A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 CD69 (early activation) </w:t>
      </w:r>
      <w:r w:rsidRPr="00191947">
        <w:rPr>
          <w:rFonts w:ascii="Arial" w:hAnsi="Arial" w:cs="Arial"/>
          <w:b/>
          <w:bCs/>
          <w:sz w:val="20"/>
          <w:szCs w:val="20"/>
          <w:lang w:val="en-US"/>
        </w:rPr>
        <w:t>B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 CD25 (intermediate-late activation), and </w:t>
      </w:r>
      <w:r w:rsidRPr="00191947">
        <w:rPr>
          <w:rFonts w:ascii="Arial" w:hAnsi="Arial" w:cs="Arial"/>
          <w:b/>
          <w:bCs/>
          <w:sz w:val="20"/>
          <w:szCs w:val="20"/>
          <w:lang w:val="en-US"/>
        </w:rPr>
        <w:t>C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 HLA-DR (late activation). Data represent mean ± SD of four independent donors.</w:t>
      </w:r>
    </w:p>
    <w:p w14:paraId="3F512883" w14:textId="77777777" w:rsidR="002E5825" w:rsidRDefault="002E5825" w:rsidP="005C23E3">
      <w:pPr>
        <w:pStyle w:val="Standard"/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3EF9C0D4" w14:textId="0023810E" w:rsidR="002E5825" w:rsidRDefault="002E5825" w:rsidP="005C23E3">
      <w:pPr>
        <w:pStyle w:val="Standard"/>
        <w:spacing w:line="480" w:lineRule="auto"/>
        <w:jc w:val="both"/>
        <w:rPr>
          <w:rStyle w:val="Policepardfaut1"/>
          <w:rFonts w:ascii="Arial" w:hAnsi="Arial" w:cs="Arial"/>
          <w:sz w:val="20"/>
          <w:szCs w:val="20"/>
          <w:lang w:val="en-US"/>
        </w:rPr>
      </w:pPr>
      <w:r>
        <w:rPr>
          <w:rStyle w:val="Policepardfaut1"/>
          <w:rFonts w:ascii="Arial" w:hAnsi="Arial" w:cs="Arial"/>
          <w:noProof/>
          <w:sz w:val="20"/>
          <w:szCs w:val="20"/>
          <w:lang w:val="en-US"/>
        </w:rPr>
        <w:lastRenderedPageBreak/>
        <w:drawing>
          <wp:inline distT="0" distB="0" distL="0" distR="0" wp14:anchorId="03287D7F" wp14:editId="50E1C3DB">
            <wp:extent cx="5681980" cy="7059930"/>
            <wp:effectExtent l="0" t="0" r="0" b="0"/>
            <wp:docPr id="156059181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980" cy="7059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4E988F" w14:textId="2B7CE354" w:rsidR="002E5825" w:rsidRDefault="002E5825" w:rsidP="002E5825">
      <w:pPr>
        <w:pStyle w:val="Standard"/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191947">
        <w:rPr>
          <w:rStyle w:val="Policepardfaut1"/>
          <w:rFonts w:ascii="Arial" w:hAnsi="Arial" w:cs="Arial"/>
          <w:b/>
          <w:bCs/>
          <w:sz w:val="20"/>
          <w:szCs w:val="20"/>
          <w:lang w:val="en-US"/>
        </w:rPr>
        <w:t>Figure S</w:t>
      </w:r>
      <w:r>
        <w:rPr>
          <w:rStyle w:val="Policepardfaut1"/>
          <w:rFonts w:ascii="Arial" w:hAnsi="Arial" w:cs="Arial"/>
          <w:b/>
          <w:bCs/>
          <w:sz w:val="20"/>
          <w:szCs w:val="20"/>
          <w:lang w:val="en-US"/>
        </w:rPr>
        <w:t>4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 </w:t>
      </w:r>
      <w:r w:rsidRPr="00A537F5">
        <w:rPr>
          <w:rStyle w:val="Policepardfaut1"/>
          <w:rFonts w:ascii="Arial" w:hAnsi="Arial" w:cs="Arial"/>
          <w:sz w:val="20"/>
          <w:szCs w:val="20"/>
          <w:highlight w:val="cyan"/>
          <w:lang w:val="en-US"/>
        </w:rPr>
        <w:t>CD4</w:t>
      </w:r>
      <w:r w:rsidRPr="00A537F5">
        <w:rPr>
          <w:rStyle w:val="Policepardfaut1"/>
          <w:rFonts w:ascii="Arial" w:hAnsi="Arial" w:cs="Arial"/>
          <w:sz w:val="20"/>
          <w:szCs w:val="20"/>
          <w:highlight w:val="cyan"/>
          <w:vertAlign w:val="superscript"/>
          <w:lang w:val="en-US"/>
        </w:rPr>
        <w:t>+</w:t>
      </w:r>
      <w:r w:rsidRPr="00A537F5">
        <w:rPr>
          <w:rStyle w:val="Policepardfaut1"/>
          <w:rFonts w:ascii="Arial" w:hAnsi="Arial" w:cs="Arial"/>
          <w:sz w:val="20"/>
          <w:szCs w:val="20"/>
          <w:highlight w:val="cyan"/>
          <w:lang w:val="en-US"/>
        </w:rPr>
        <w:t>-</w:t>
      </w:r>
      <w:r w:rsidRPr="00A537F5">
        <w:rPr>
          <w:rFonts w:ascii="Arial" w:hAnsi="Arial" w:cs="Arial"/>
          <w:sz w:val="20"/>
          <w:szCs w:val="20"/>
          <w:highlight w:val="cyan"/>
          <w:lang w:val="en-US"/>
        </w:rPr>
        <w:t>T-cell activation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 dynamics 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of all conditions in the absence of IL-2 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after stimulation with antibody-coated beads (Dynabeads) or </w:t>
      </w:r>
      <w:r w:rsidRPr="00DF5ED7">
        <w:rPr>
          <w:rFonts w:ascii="Arial" w:hAnsi="Arial" w:cs="Arial"/>
          <w:sz w:val="20"/>
          <w:szCs w:val="20"/>
          <w:highlight w:val="cyan"/>
          <w:lang w:val="en-US"/>
        </w:rPr>
        <w:t xml:space="preserve">soluble </w:t>
      </w:r>
      <w:r w:rsidR="00DF5ED7" w:rsidRPr="00DF5ED7">
        <w:rPr>
          <w:rStyle w:val="Policepardfaut1"/>
          <w:rFonts w:ascii="Arial" w:hAnsi="Arial" w:cs="Arial"/>
          <w:sz w:val="20"/>
          <w:szCs w:val="20"/>
          <w:highlight w:val="cyan"/>
          <w:lang w:val="en-US"/>
        </w:rPr>
        <w:t>antibody complexes</w:t>
      </w:r>
      <w:r w:rsidR="00DF5ED7"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 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(ImmunoCult) during the initial stimulation phase (days 0-8), after reseeding in fresh media with or without restimulation on day 8, and throughout the post-restimulation phase (days 10-22). Activation marker expression was measured as the Mean Fluorescence Intensity (MFI) of </w:t>
      </w:r>
      <w:r w:rsidRPr="00191947">
        <w:rPr>
          <w:rFonts w:ascii="Arial" w:hAnsi="Arial" w:cs="Arial"/>
          <w:b/>
          <w:bCs/>
          <w:sz w:val="20"/>
          <w:szCs w:val="20"/>
          <w:lang w:val="en-US"/>
        </w:rPr>
        <w:t>A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 CD69 (early activation) </w:t>
      </w:r>
      <w:r w:rsidRPr="00191947">
        <w:rPr>
          <w:rFonts w:ascii="Arial" w:hAnsi="Arial" w:cs="Arial"/>
          <w:b/>
          <w:bCs/>
          <w:sz w:val="20"/>
          <w:szCs w:val="20"/>
          <w:lang w:val="en-US"/>
        </w:rPr>
        <w:t>B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 CD25 (intermediate-late activation), and </w:t>
      </w:r>
      <w:r w:rsidRPr="00191947">
        <w:rPr>
          <w:rFonts w:ascii="Arial" w:hAnsi="Arial" w:cs="Arial"/>
          <w:b/>
          <w:bCs/>
          <w:sz w:val="20"/>
          <w:szCs w:val="20"/>
          <w:lang w:val="en-US"/>
        </w:rPr>
        <w:t>C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 HLA-DR (late activation). Data represent mean ± SD of four independent donors.</w:t>
      </w:r>
    </w:p>
    <w:p w14:paraId="504A3162" w14:textId="77777777" w:rsidR="002E5825" w:rsidRDefault="002E5825" w:rsidP="002E5825">
      <w:pPr>
        <w:pStyle w:val="Standard"/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692CE6DE" w14:textId="4D17EA57" w:rsidR="002E5825" w:rsidRDefault="002E5825" w:rsidP="002E5825">
      <w:pPr>
        <w:pStyle w:val="Standard"/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noProof/>
          <w:sz w:val="20"/>
          <w:szCs w:val="20"/>
          <w:lang w:val="en-US"/>
        </w:rPr>
        <w:lastRenderedPageBreak/>
        <w:drawing>
          <wp:inline distT="0" distB="0" distL="0" distR="0" wp14:anchorId="2BBB7709" wp14:editId="3FB63B90">
            <wp:extent cx="5681980" cy="7059930"/>
            <wp:effectExtent l="0" t="0" r="0" b="0"/>
            <wp:docPr id="182359990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980" cy="7059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BE9D7C" w14:textId="6C6464D8" w:rsidR="002E5825" w:rsidRDefault="002E5825" w:rsidP="002E5825">
      <w:pPr>
        <w:pStyle w:val="Standard"/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191947">
        <w:rPr>
          <w:rStyle w:val="Policepardfaut1"/>
          <w:rFonts w:ascii="Arial" w:hAnsi="Arial" w:cs="Arial"/>
          <w:b/>
          <w:bCs/>
          <w:sz w:val="20"/>
          <w:szCs w:val="20"/>
          <w:lang w:val="en-US"/>
        </w:rPr>
        <w:t>Figure S</w:t>
      </w:r>
      <w:r>
        <w:rPr>
          <w:rStyle w:val="Policepardfaut1"/>
          <w:rFonts w:ascii="Arial" w:hAnsi="Arial" w:cs="Arial"/>
          <w:b/>
          <w:bCs/>
          <w:sz w:val="20"/>
          <w:szCs w:val="20"/>
          <w:lang w:val="en-US"/>
        </w:rPr>
        <w:t>5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 </w:t>
      </w:r>
      <w:r w:rsidRPr="00A537F5">
        <w:rPr>
          <w:rStyle w:val="Policepardfaut1"/>
          <w:rFonts w:ascii="Arial" w:hAnsi="Arial" w:cs="Arial"/>
          <w:sz w:val="20"/>
          <w:szCs w:val="20"/>
          <w:highlight w:val="cyan"/>
          <w:lang w:val="en-US"/>
        </w:rPr>
        <w:t>CD8</w:t>
      </w:r>
      <w:r w:rsidRPr="00A537F5">
        <w:rPr>
          <w:rStyle w:val="Policepardfaut1"/>
          <w:rFonts w:ascii="Arial" w:hAnsi="Arial" w:cs="Arial"/>
          <w:sz w:val="20"/>
          <w:szCs w:val="20"/>
          <w:highlight w:val="cyan"/>
          <w:vertAlign w:val="superscript"/>
          <w:lang w:val="en-US"/>
        </w:rPr>
        <w:t>+</w:t>
      </w:r>
      <w:r w:rsidRPr="00A537F5">
        <w:rPr>
          <w:rStyle w:val="Policepardfaut1"/>
          <w:rFonts w:ascii="Arial" w:hAnsi="Arial" w:cs="Arial"/>
          <w:sz w:val="20"/>
          <w:szCs w:val="20"/>
          <w:highlight w:val="cyan"/>
          <w:lang w:val="en-US"/>
        </w:rPr>
        <w:t>-</w:t>
      </w:r>
      <w:r w:rsidRPr="00A537F5">
        <w:rPr>
          <w:rFonts w:ascii="Arial" w:hAnsi="Arial" w:cs="Arial"/>
          <w:sz w:val="20"/>
          <w:szCs w:val="20"/>
          <w:highlight w:val="cyan"/>
          <w:lang w:val="en-US"/>
        </w:rPr>
        <w:t>T-cell activation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 dynamics 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of all conditions in the absence of IL-2 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after stimulation with antibody-coated beads (Dynabeads) or </w:t>
      </w:r>
      <w:r w:rsidRPr="00DF5ED7">
        <w:rPr>
          <w:rFonts w:ascii="Arial" w:hAnsi="Arial" w:cs="Arial"/>
          <w:sz w:val="20"/>
          <w:szCs w:val="20"/>
          <w:highlight w:val="cyan"/>
          <w:lang w:val="en-US"/>
        </w:rPr>
        <w:t xml:space="preserve">soluble </w:t>
      </w:r>
      <w:r w:rsidR="00DF5ED7" w:rsidRPr="00DF5ED7">
        <w:rPr>
          <w:rStyle w:val="Policepardfaut1"/>
          <w:rFonts w:ascii="Arial" w:hAnsi="Arial" w:cs="Arial"/>
          <w:sz w:val="20"/>
          <w:szCs w:val="20"/>
          <w:highlight w:val="cyan"/>
          <w:lang w:val="en-US"/>
        </w:rPr>
        <w:t>antibody complexes</w:t>
      </w:r>
      <w:r w:rsidR="00DF5ED7"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 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(ImmunoCult) during the initial stimulation phase (days 0-8), after reseeding in fresh media with or without restimulation on day 8, and throughout the post-restimulation phase (days 10-22). Activation marker expression was measured as the Mean Fluorescence Intensity (MFI) of </w:t>
      </w:r>
      <w:r w:rsidRPr="00191947">
        <w:rPr>
          <w:rFonts w:ascii="Arial" w:hAnsi="Arial" w:cs="Arial"/>
          <w:b/>
          <w:bCs/>
          <w:sz w:val="20"/>
          <w:szCs w:val="20"/>
          <w:lang w:val="en-US"/>
        </w:rPr>
        <w:t>A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 CD69 (early activation) </w:t>
      </w:r>
      <w:r w:rsidRPr="00191947">
        <w:rPr>
          <w:rFonts w:ascii="Arial" w:hAnsi="Arial" w:cs="Arial"/>
          <w:b/>
          <w:bCs/>
          <w:sz w:val="20"/>
          <w:szCs w:val="20"/>
          <w:lang w:val="en-US"/>
        </w:rPr>
        <w:t>B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 CD25 (intermediate-late activation), and </w:t>
      </w:r>
      <w:r w:rsidRPr="00191947">
        <w:rPr>
          <w:rFonts w:ascii="Arial" w:hAnsi="Arial" w:cs="Arial"/>
          <w:b/>
          <w:bCs/>
          <w:sz w:val="20"/>
          <w:szCs w:val="20"/>
          <w:lang w:val="en-US"/>
        </w:rPr>
        <w:t>C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 HLA-DR (late activation). Data represent mean ± SD of four independent donors.</w:t>
      </w:r>
    </w:p>
    <w:p w14:paraId="5C07290C" w14:textId="77777777" w:rsidR="002E5825" w:rsidRDefault="002E5825" w:rsidP="002E5825">
      <w:pPr>
        <w:pStyle w:val="Standard"/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2537B605" w14:textId="77777777" w:rsidR="002E5825" w:rsidRPr="00191947" w:rsidRDefault="002E5825" w:rsidP="005C23E3">
      <w:pPr>
        <w:pStyle w:val="Standard"/>
        <w:spacing w:line="480" w:lineRule="auto"/>
        <w:jc w:val="both"/>
        <w:rPr>
          <w:rStyle w:val="Policepardfaut1"/>
          <w:rFonts w:ascii="Arial" w:hAnsi="Arial" w:cs="Arial"/>
          <w:sz w:val="20"/>
          <w:szCs w:val="20"/>
          <w:lang w:val="en-US"/>
        </w:rPr>
      </w:pPr>
    </w:p>
    <w:p w14:paraId="27A3925D" w14:textId="6CF452FA" w:rsidR="00191947" w:rsidRPr="00191947" w:rsidRDefault="00191947" w:rsidP="005C23E3">
      <w:pPr>
        <w:pStyle w:val="Standard"/>
        <w:spacing w:line="480" w:lineRule="auto"/>
        <w:jc w:val="both"/>
        <w:rPr>
          <w:rStyle w:val="Policepardfaut1"/>
          <w:rFonts w:ascii="Arial" w:hAnsi="Arial" w:cs="Arial"/>
          <w:sz w:val="20"/>
          <w:szCs w:val="20"/>
          <w:lang w:val="en-US"/>
        </w:rPr>
      </w:pPr>
    </w:p>
    <w:p w14:paraId="4932CF21" w14:textId="7BF9E64E" w:rsidR="00191947" w:rsidRPr="00191947" w:rsidRDefault="0064181C" w:rsidP="005C23E3">
      <w:pPr>
        <w:pStyle w:val="Standard"/>
        <w:spacing w:line="480" w:lineRule="auto"/>
        <w:jc w:val="center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520E0348" wp14:editId="3D054342">
            <wp:extent cx="5627370" cy="4761230"/>
            <wp:effectExtent l="0" t="0" r="0" b="0"/>
            <wp:docPr id="68670869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7370" cy="476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40FA8F" w14:textId="0A33CE22" w:rsidR="00191947" w:rsidRDefault="00191947" w:rsidP="005C23E3">
      <w:pPr>
        <w:pStyle w:val="Standard"/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191947">
        <w:rPr>
          <w:rStyle w:val="Policepardfaut1"/>
          <w:rFonts w:ascii="Arial" w:hAnsi="Arial" w:cs="Arial"/>
          <w:b/>
          <w:bCs/>
          <w:sz w:val="20"/>
          <w:szCs w:val="20"/>
          <w:lang w:val="en-US"/>
        </w:rPr>
        <w:t>Figure S</w:t>
      </w:r>
      <w:r w:rsidR="002E5825">
        <w:rPr>
          <w:rStyle w:val="Policepardfaut1"/>
          <w:rFonts w:ascii="Arial" w:hAnsi="Arial" w:cs="Arial"/>
          <w:b/>
          <w:bCs/>
          <w:sz w:val="20"/>
          <w:szCs w:val="20"/>
          <w:lang w:val="en-US"/>
        </w:rPr>
        <w:t>6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 </w:t>
      </w:r>
      <w:r w:rsidRPr="00191947">
        <w:rPr>
          <w:rFonts w:ascii="Arial" w:hAnsi="Arial" w:cs="Arial"/>
          <w:sz w:val="20"/>
          <w:szCs w:val="20"/>
          <w:lang w:val="en-US"/>
        </w:rPr>
        <w:t>T</w:t>
      </w:r>
      <w:r w:rsidR="00642690">
        <w:rPr>
          <w:rFonts w:ascii="Arial" w:hAnsi="Arial" w:cs="Arial"/>
          <w:sz w:val="20"/>
          <w:szCs w:val="20"/>
          <w:lang w:val="en-US"/>
        </w:rPr>
        <w:t>-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cell differentiation dynamics 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of all conditions in the presence or absence of IL-2 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after stimulation with antibody-coated beads (Dynabeads) or </w:t>
      </w:r>
      <w:r w:rsidRPr="00DF5ED7">
        <w:rPr>
          <w:rFonts w:ascii="Arial" w:hAnsi="Arial" w:cs="Arial"/>
          <w:sz w:val="20"/>
          <w:szCs w:val="20"/>
          <w:highlight w:val="cyan"/>
          <w:lang w:val="en-US"/>
        </w:rPr>
        <w:t xml:space="preserve">soluble </w:t>
      </w:r>
      <w:r w:rsidR="00DF5ED7" w:rsidRPr="00DF5ED7">
        <w:rPr>
          <w:rStyle w:val="Policepardfaut1"/>
          <w:rFonts w:ascii="Arial" w:hAnsi="Arial" w:cs="Arial"/>
          <w:sz w:val="20"/>
          <w:szCs w:val="20"/>
          <w:highlight w:val="cyan"/>
          <w:lang w:val="en-US"/>
        </w:rPr>
        <w:t>antibody complexes</w:t>
      </w:r>
      <w:r w:rsidR="00DF5ED7"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 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(ImmunoCult) during the initial stimulation phase (days 0-8), after reseeding in fresh media with or without restimulation on day 8, and throughout the post-restimulation phase (days 10-22). Memory T cells were categorized as </w:t>
      </w:r>
      <w:r w:rsidRPr="00191947">
        <w:rPr>
          <w:rFonts w:ascii="Arial" w:hAnsi="Arial" w:cs="Arial"/>
          <w:b/>
          <w:bCs/>
          <w:sz w:val="20"/>
          <w:szCs w:val="20"/>
          <w:lang w:val="en-US"/>
        </w:rPr>
        <w:t>A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 central memory (% of 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>CD45RA</w:t>
      </w:r>
      <w:r w:rsidRPr="00191947">
        <w:rPr>
          <w:rStyle w:val="Policepardfaut1"/>
          <w:rFonts w:ascii="Arial" w:hAnsi="Arial" w:cs="Arial"/>
          <w:sz w:val="20"/>
          <w:szCs w:val="20"/>
          <w:vertAlign w:val="superscript"/>
          <w:lang w:val="en-US"/>
        </w:rPr>
        <w:t>-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>CD27</w:t>
      </w:r>
      <w:r w:rsidRPr="00191947">
        <w:rPr>
          <w:rStyle w:val="Policepardfaut1"/>
          <w:rFonts w:ascii="Arial" w:hAnsi="Arial" w:cs="Arial"/>
          <w:sz w:val="20"/>
          <w:szCs w:val="20"/>
          <w:vertAlign w:val="superscript"/>
          <w:lang w:val="en-US"/>
        </w:rPr>
        <w:t>+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>CD62L</w:t>
      </w:r>
      <w:r w:rsidRPr="00191947">
        <w:rPr>
          <w:rStyle w:val="Policepardfaut1"/>
          <w:rFonts w:ascii="Arial" w:hAnsi="Arial" w:cs="Arial"/>
          <w:sz w:val="20"/>
          <w:szCs w:val="20"/>
          <w:vertAlign w:val="superscript"/>
          <w:lang w:val="en-US"/>
        </w:rPr>
        <w:t>+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) or </w:t>
      </w:r>
      <w:r w:rsidRPr="00191947">
        <w:rPr>
          <w:rFonts w:ascii="Arial" w:hAnsi="Arial" w:cs="Arial"/>
          <w:b/>
          <w:bCs/>
          <w:sz w:val="20"/>
          <w:szCs w:val="20"/>
          <w:lang w:val="en-US"/>
        </w:rPr>
        <w:t>B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 effector memory (% of 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>CD45RA</w:t>
      </w:r>
      <w:r w:rsidRPr="00191947">
        <w:rPr>
          <w:rStyle w:val="Policepardfaut1"/>
          <w:rFonts w:ascii="Arial" w:hAnsi="Arial" w:cs="Arial"/>
          <w:sz w:val="20"/>
          <w:szCs w:val="20"/>
          <w:vertAlign w:val="superscript"/>
          <w:lang w:val="en-US"/>
        </w:rPr>
        <w:t>-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>CD27</w:t>
      </w:r>
      <w:r w:rsidRPr="00191947">
        <w:rPr>
          <w:rStyle w:val="Policepardfaut1"/>
          <w:rFonts w:ascii="Arial" w:hAnsi="Arial" w:cs="Arial"/>
          <w:sz w:val="20"/>
          <w:szCs w:val="20"/>
          <w:vertAlign w:val="superscript"/>
          <w:lang w:val="en-US"/>
        </w:rPr>
        <w:t>+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>CD62L</w:t>
      </w:r>
      <w:r w:rsidRPr="00191947">
        <w:rPr>
          <w:rStyle w:val="Policepardfaut1"/>
          <w:rFonts w:ascii="Arial" w:hAnsi="Arial" w:cs="Arial"/>
          <w:sz w:val="20"/>
          <w:szCs w:val="20"/>
          <w:vertAlign w:val="superscript"/>
          <w:lang w:val="en-US"/>
        </w:rPr>
        <w:t>-</w:t>
      </w:r>
      <w:r w:rsidRPr="00191947">
        <w:rPr>
          <w:rFonts w:ascii="Arial" w:hAnsi="Arial" w:cs="Arial"/>
          <w:sz w:val="20"/>
          <w:szCs w:val="20"/>
          <w:lang w:val="en-US"/>
        </w:rPr>
        <w:t>). Data represent mean ± SD of four independent donors.</w:t>
      </w:r>
    </w:p>
    <w:p w14:paraId="31E5AE5F" w14:textId="535F4FF3" w:rsidR="002E5825" w:rsidRDefault="002E5825">
      <w:pPr>
        <w:widowControl/>
        <w:suppressAutoHyphens w:val="0"/>
        <w:autoSpaceDN/>
        <w:spacing w:after="160" w:line="278" w:lineRule="auto"/>
        <w:textAlignment w:val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br w:type="page"/>
      </w:r>
    </w:p>
    <w:p w14:paraId="0A8AEFAA" w14:textId="214E0263" w:rsidR="002E5825" w:rsidRDefault="002E5825" w:rsidP="005C23E3">
      <w:pPr>
        <w:pStyle w:val="Standard"/>
        <w:spacing w:line="480" w:lineRule="auto"/>
        <w:jc w:val="both"/>
        <w:rPr>
          <w:rStyle w:val="Policepardfaut1"/>
          <w:rFonts w:ascii="Arial" w:hAnsi="Arial" w:cs="Arial"/>
          <w:sz w:val="20"/>
          <w:szCs w:val="20"/>
          <w:lang w:val="en-US"/>
        </w:rPr>
      </w:pPr>
      <w:r>
        <w:rPr>
          <w:rStyle w:val="Policepardfaut1"/>
          <w:rFonts w:ascii="Arial" w:hAnsi="Arial" w:cs="Arial"/>
          <w:noProof/>
          <w:sz w:val="20"/>
          <w:szCs w:val="20"/>
          <w:lang w:val="en-US"/>
        </w:rPr>
        <w:lastRenderedPageBreak/>
        <w:drawing>
          <wp:inline distT="0" distB="0" distL="0" distR="0" wp14:anchorId="4E64215F" wp14:editId="3E140699">
            <wp:extent cx="5858510" cy="4798060"/>
            <wp:effectExtent l="0" t="0" r="0" b="0"/>
            <wp:docPr id="158134996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4798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E9AAB5" w14:textId="08D5B033" w:rsidR="002E5825" w:rsidRDefault="002E5825" w:rsidP="002E5825">
      <w:pPr>
        <w:pStyle w:val="Standard"/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191947">
        <w:rPr>
          <w:rStyle w:val="Policepardfaut1"/>
          <w:rFonts w:ascii="Arial" w:hAnsi="Arial" w:cs="Arial"/>
          <w:b/>
          <w:bCs/>
          <w:sz w:val="20"/>
          <w:szCs w:val="20"/>
          <w:lang w:val="en-US"/>
        </w:rPr>
        <w:t>Figure S</w:t>
      </w:r>
      <w:r>
        <w:rPr>
          <w:rStyle w:val="Policepardfaut1"/>
          <w:rFonts w:ascii="Arial" w:hAnsi="Arial" w:cs="Arial"/>
          <w:b/>
          <w:bCs/>
          <w:sz w:val="20"/>
          <w:szCs w:val="20"/>
          <w:lang w:val="en-US"/>
        </w:rPr>
        <w:t>7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 </w:t>
      </w:r>
      <w:r w:rsidRPr="00A537F5">
        <w:rPr>
          <w:rStyle w:val="Policepardfaut1"/>
          <w:rFonts w:ascii="Arial" w:hAnsi="Arial" w:cs="Arial"/>
          <w:sz w:val="20"/>
          <w:szCs w:val="20"/>
          <w:highlight w:val="cyan"/>
          <w:lang w:val="en-US"/>
        </w:rPr>
        <w:t>CD4</w:t>
      </w:r>
      <w:r w:rsidRPr="00A537F5">
        <w:rPr>
          <w:rStyle w:val="Policepardfaut1"/>
          <w:rFonts w:ascii="Arial" w:hAnsi="Arial" w:cs="Arial"/>
          <w:sz w:val="20"/>
          <w:szCs w:val="20"/>
          <w:highlight w:val="cyan"/>
          <w:vertAlign w:val="superscript"/>
          <w:lang w:val="en-US"/>
        </w:rPr>
        <w:t>+</w:t>
      </w:r>
      <w:r w:rsidRPr="00A537F5">
        <w:rPr>
          <w:rStyle w:val="Policepardfaut1"/>
          <w:rFonts w:ascii="Arial" w:hAnsi="Arial" w:cs="Arial"/>
          <w:sz w:val="20"/>
          <w:szCs w:val="20"/>
          <w:highlight w:val="cyan"/>
          <w:lang w:val="en-US"/>
        </w:rPr>
        <w:t>-</w:t>
      </w:r>
      <w:r w:rsidRPr="00A537F5">
        <w:rPr>
          <w:rFonts w:ascii="Arial" w:hAnsi="Arial" w:cs="Arial"/>
          <w:sz w:val="20"/>
          <w:szCs w:val="20"/>
          <w:highlight w:val="cyan"/>
          <w:lang w:val="en-US"/>
        </w:rPr>
        <w:t>T-cell differentiation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 dynamics 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of all conditions in the absence of IL-2 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after stimulation with antibody-coated beads (Dynabeads) or </w:t>
      </w:r>
      <w:r w:rsidRPr="00DF5ED7">
        <w:rPr>
          <w:rFonts w:ascii="Arial" w:hAnsi="Arial" w:cs="Arial"/>
          <w:sz w:val="20"/>
          <w:szCs w:val="20"/>
          <w:highlight w:val="cyan"/>
          <w:lang w:val="en-US"/>
        </w:rPr>
        <w:t xml:space="preserve">soluble </w:t>
      </w:r>
      <w:r w:rsidR="00DF5ED7" w:rsidRPr="00DF5ED7">
        <w:rPr>
          <w:rStyle w:val="Policepardfaut1"/>
          <w:rFonts w:ascii="Arial" w:hAnsi="Arial" w:cs="Arial"/>
          <w:sz w:val="20"/>
          <w:szCs w:val="20"/>
          <w:highlight w:val="cyan"/>
          <w:lang w:val="en-US"/>
        </w:rPr>
        <w:t>antibody complexes</w:t>
      </w:r>
      <w:r w:rsidR="00DF5ED7"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 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(ImmunoCult) during the initial stimulation phase (days 0-8), after reseeding in fresh media with or without restimulation on day 8, and throughout the post-restimulation phase (days 10-22). Memory T cells were categorized as </w:t>
      </w:r>
      <w:r w:rsidRPr="00191947">
        <w:rPr>
          <w:rFonts w:ascii="Arial" w:hAnsi="Arial" w:cs="Arial"/>
          <w:b/>
          <w:bCs/>
          <w:sz w:val="20"/>
          <w:szCs w:val="20"/>
          <w:lang w:val="en-US"/>
        </w:rPr>
        <w:t>A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 central memory (% of 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>CD45RA</w:t>
      </w:r>
      <w:r w:rsidRPr="00191947">
        <w:rPr>
          <w:rStyle w:val="Policepardfaut1"/>
          <w:rFonts w:ascii="Arial" w:hAnsi="Arial" w:cs="Arial"/>
          <w:sz w:val="20"/>
          <w:szCs w:val="20"/>
          <w:vertAlign w:val="superscript"/>
          <w:lang w:val="en-US"/>
        </w:rPr>
        <w:t>-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>CD27</w:t>
      </w:r>
      <w:r w:rsidRPr="00191947">
        <w:rPr>
          <w:rStyle w:val="Policepardfaut1"/>
          <w:rFonts w:ascii="Arial" w:hAnsi="Arial" w:cs="Arial"/>
          <w:sz w:val="20"/>
          <w:szCs w:val="20"/>
          <w:vertAlign w:val="superscript"/>
          <w:lang w:val="en-US"/>
        </w:rPr>
        <w:t>+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>CD62L</w:t>
      </w:r>
      <w:r w:rsidRPr="00191947">
        <w:rPr>
          <w:rStyle w:val="Policepardfaut1"/>
          <w:rFonts w:ascii="Arial" w:hAnsi="Arial" w:cs="Arial"/>
          <w:sz w:val="20"/>
          <w:szCs w:val="20"/>
          <w:vertAlign w:val="superscript"/>
          <w:lang w:val="en-US"/>
        </w:rPr>
        <w:t>+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) or </w:t>
      </w:r>
      <w:r w:rsidRPr="00191947">
        <w:rPr>
          <w:rFonts w:ascii="Arial" w:hAnsi="Arial" w:cs="Arial"/>
          <w:b/>
          <w:bCs/>
          <w:sz w:val="20"/>
          <w:szCs w:val="20"/>
          <w:lang w:val="en-US"/>
        </w:rPr>
        <w:t>B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 effector memory (% of 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>CD45RA</w:t>
      </w:r>
      <w:r w:rsidRPr="00191947">
        <w:rPr>
          <w:rStyle w:val="Policepardfaut1"/>
          <w:rFonts w:ascii="Arial" w:hAnsi="Arial" w:cs="Arial"/>
          <w:sz w:val="20"/>
          <w:szCs w:val="20"/>
          <w:vertAlign w:val="superscript"/>
          <w:lang w:val="en-US"/>
        </w:rPr>
        <w:t>-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>CD27</w:t>
      </w:r>
      <w:r w:rsidRPr="00191947">
        <w:rPr>
          <w:rStyle w:val="Policepardfaut1"/>
          <w:rFonts w:ascii="Arial" w:hAnsi="Arial" w:cs="Arial"/>
          <w:sz w:val="20"/>
          <w:szCs w:val="20"/>
          <w:vertAlign w:val="superscript"/>
          <w:lang w:val="en-US"/>
        </w:rPr>
        <w:t>+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>CD62L</w:t>
      </w:r>
      <w:r w:rsidRPr="00191947">
        <w:rPr>
          <w:rStyle w:val="Policepardfaut1"/>
          <w:rFonts w:ascii="Arial" w:hAnsi="Arial" w:cs="Arial"/>
          <w:sz w:val="20"/>
          <w:szCs w:val="20"/>
          <w:vertAlign w:val="superscript"/>
          <w:lang w:val="en-US"/>
        </w:rPr>
        <w:t>-</w:t>
      </w:r>
      <w:r w:rsidRPr="00191947">
        <w:rPr>
          <w:rFonts w:ascii="Arial" w:hAnsi="Arial" w:cs="Arial"/>
          <w:sz w:val="20"/>
          <w:szCs w:val="20"/>
          <w:lang w:val="en-US"/>
        </w:rPr>
        <w:t>). Data represent mean ± SD of four independent donors.</w:t>
      </w:r>
    </w:p>
    <w:p w14:paraId="6FC30347" w14:textId="2761A498" w:rsidR="002E5825" w:rsidRDefault="002E5825">
      <w:pPr>
        <w:widowControl/>
        <w:suppressAutoHyphens w:val="0"/>
        <w:autoSpaceDN/>
        <w:spacing w:after="160" w:line="278" w:lineRule="auto"/>
        <w:textAlignment w:val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br w:type="page"/>
      </w:r>
    </w:p>
    <w:p w14:paraId="67F420FA" w14:textId="4451DA69" w:rsidR="002E5825" w:rsidRDefault="002E5825" w:rsidP="002E5825">
      <w:pPr>
        <w:pStyle w:val="Standard"/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noProof/>
          <w:sz w:val="20"/>
          <w:szCs w:val="20"/>
          <w:lang w:val="en-US"/>
        </w:rPr>
        <w:lastRenderedPageBreak/>
        <w:drawing>
          <wp:inline distT="0" distB="0" distL="0" distR="0" wp14:anchorId="2F386DF4" wp14:editId="1C2EA3E2">
            <wp:extent cx="5858510" cy="4798060"/>
            <wp:effectExtent l="0" t="0" r="0" b="0"/>
            <wp:docPr id="1671810961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4798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D4D57F" w14:textId="79B985B7" w:rsidR="002E5825" w:rsidRDefault="002E5825" w:rsidP="002E5825">
      <w:pPr>
        <w:pStyle w:val="Standard"/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191947">
        <w:rPr>
          <w:rStyle w:val="Policepardfaut1"/>
          <w:rFonts w:ascii="Arial" w:hAnsi="Arial" w:cs="Arial"/>
          <w:b/>
          <w:bCs/>
          <w:sz w:val="20"/>
          <w:szCs w:val="20"/>
          <w:lang w:val="en-US"/>
        </w:rPr>
        <w:t>Figure S</w:t>
      </w:r>
      <w:r>
        <w:rPr>
          <w:rStyle w:val="Policepardfaut1"/>
          <w:rFonts w:ascii="Arial" w:hAnsi="Arial" w:cs="Arial"/>
          <w:b/>
          <w:bCs/>
          <w:sz w:val="20"/>
          <w:szCs w:val="20"/>
          <w:lang w:val="en-US"/>
        </w:rPr>
        <w:t>8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 </w:t>
      </w:r>
      <w:r w:rsidRPr="00A537F5">
        <w:rPr>
          <w:rStyle w:val="Policepardfaut1"/>
          <w:rFonts w:ascii="Arial" w:hAnsi="Arial" w:cs="Arial"/>
          <w:sz w:val="20"/>
          <w:szCs w:val="20"/>
          <w:highlight w:val="cyan"/>
          <w:lang w:val="en-US"/>
        </w:rPr>
        <w:t>CD8</w:t>
      </w:r>
      <w:r w:rsidRPr="00A537F5">
        <w:rPr>
          <w:rStyle w:val="Policepardfaut1"/>
          <w:rFonts w:ascii="Arial" w:hAnsi="Arial" w:cs="Arial"/>
          <w:sz w:val="20"/>
          <w:szCs w:val="20"/>
          <w:highlight w:val="cyan"/>
          <w:vertAlign w:val="superscript"/>
          <w:lang w:val="en-US"/>
        </w:rPr>
        <w:t>+</w:t>
      </w:r>
      <w:r w:rsidRPr="00A537F5">
        <w:rPr>
          <w:rStyle w:val="Policepardfaut1"/>
          <w:rFonts w:ascii="Arial" w:hAnsi="Arial" w:cs="Arial"/>
          <w:sz w:val="20"/>
          <w:szCs w:val="20"/>
          <w:highlight w:val="cyan"/>
          <w:lang w:val="en-US"/>
        </w:rPr>
        <w:t>-</w:t>
      </w:r>
      <w:r w:rsidRPr="00A537F5">
        <w:rPr>
          <w:rFonts w:ascii="Arial" w:hAnsi="Arial" w:cs="Arial"/>
          <w:sz w:val="20"/>
          <w:szCs w:val="20"/>
          <w:highlight w:val="cyan"/>
          <w:lang w:val="en-US"/>
        </w:rPr>
        <w:t>T-cell differentiation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 dynamics 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of all conditions in the absence of IL-2 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after stimulation with antibody-coated beads (Dynabeads) or </w:t>
      </w:r>
      <w:r w:rsidRPr="00DF5ED7">
        <w:rPr>
          <w:rFonts w:ascii="Arial" w:hAnsi="Arial" w:cs="Arial"/>
          <w:sz w:val="20"/>
          <w:szCs w:val="20"/>
          <w:highlight w:val="cyan"/>
          <w:lang w:val="en-US"/>
        </w:rPr>
        <w:t xml:space="preserve">soluble </w:t>
      </w:r>
      <w:r w:rsidR="00DF5ED7" w:rsidRPr="00DF5ED7">
        <w:rPr>
          <w:rStyle w:val="Policepardfaut1"/>
          <w:rFonts w:ascii="Arial" w:hAnsi="Arial" w:cs="Arial"/>
          <w:sz w:val="20"/>
          <w:szCs w:val="20"/>
          <w:highlight w:val="cyan"/>
          <w:lang w:val="en-US"/>
        </w:rPr>
        <w:t>antibody complexes</w:t>
      </w:r>
      <w:r w:rsidR="00DF5ED7"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 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(ImmunoCult) during the initial stimulation phase (days 0-8), after reseeding in fresh media with or without restimulation on day 8, and throughout the post-restimulation phase (days 10-22). Memory T cells were categorized as </w:t>
      </w:r>
      <w:r w:rsidRPr="00191947">
        <w:rPr>
          <w:rFonts w:ascii="Arial" w:hAnsi="Arial" w:cs="Arial"/>
          <w:b/>
          <w:bCs/>
          <w:sz w:val="20"/>
          <w:szCs w:val="20"/>
          <w:lang w:val="en-US"/>
        </w:rPr>
        <w:t>A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 central memory (% of 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>CD45RA</w:t>
      </w:r>
      <w:r w:rsidRPr="00191947">
        <w:rPr>
          <w:rStyle w:val="Policepardfaut1"/>
          <w:rFonts w:ascii="Arial" w:hAnsi="Arial" w:cs="Arial"/>
          <w:sz w:val="20"/>
          <w:szCs w:val="20"/>
          <w:vertAlign w:val="superscript"/>
          <w:lang w:val="en-US"/>
        </w:rPr>
        <w:t>-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>CD27</w:t>
      </w:r>
      <w:r w:rsidRPr="00191947">
        <w:rPr>
          <w:rStyle w:val="Policepardfaut1"/>
          <w:rFonts w:ascii="Arial" w:hAnsi="Arial" w:cs="Arial"/>
          <w:sz w:val="20"/>
          <w:szCs w:val="20"/>
          <w:vertAlign w:val="superscript"/>
          <w:lang w:val="en-US"/>
        </w:rPr>
        <w:t>+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>CD62L</w:t>
      </w:r>
      <w:r w:rsidRPr="00191947">
        <w:rPr>
          <w:rStyle w:val="Policepardfaut1"/>
          <w:rFonts w:ascii="Arial" w:hAnsi="Arial" w:cs="Arial"/>
          <w:sz w:val="20"/>
          <w:szCs w:val="20"/>
          <w:vertAlign w:val="superscript"/>
          <w:lang w:val="en-US"/>
        </w:rPr>
        <w:t>+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) or </w:t>
      </w:r>
      <w:r w:rsidRPr="00191947">
        <w:rPr>
          <w:rFonts w:ascii="Arial" w:hAnsi="Arial" w:cs="Arial"/>
          <w:b/>
          <w:bCs/>
          <w:sz w:val="20"/>
          <w:szCs w:val="20"/>
          <w:lang w:val="en-US"/>
        </w:rPr>
        <w:t>B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 effector memory (% of 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>CD45RA</w:t>
      </w:r>
      <w:r w:rsidRPr="00191947">
        <w:rPr>
          <w:rStyle w:val="Policepardfaut1"/>
          <w:rFonts w:ascii="Arial" w:hAnsi="Arial" w:cs="Arial"/>
          <w:sz w:val="20"/>
          <w:szCs w:val="20"/>
          <w:vertAlign w:val="superscript"/>
          <w:lang w:val="en-US"/>
        </w:rPr>
        <w:t>-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>CD27</w:t>
      </w:r>
      <w:r w:rsidRPr="00191947">
        <w:rPr>
          <w:rStyle w:val="Policepardfaut1"/>
          <w:rFonts w:ascii="Arial" w:hAnsi="Arial" w:cs="Arial"/>
          <w:sz w:val="20"/>
          <w:szCs w:val="20"/>
          <w:vertAlign w:val="superscript"/>
          <w:lang w:val="en-US"/>
        </w:rPr>
        <w:t>+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>CD62L</w:t>
      </w:r>
      <w:r w:rsidRPr="00191947">
        <w:rPr>
          <w:rStyle w:val="Policepardfaut1"/>
          <w:rFonts w:ascii="Arial" w:hAnsi="Arial" w:cs="Arial"/>
          <w:sz w:val="20"/>
          <w:szCs w:val="20"/>
          <w:vertAlign w:val="superscript"/>
          <w:lang w:val="en-US"/>
        </w:rPr>
        <w:t>-</w:t>
      </w:r>
      <w:r w:rsidRPr="00191947">
        <w:rPr>
          <w:rFonts w:ascii="Arial" w:hAnsi="Arial" w:cs="Arial"/>
          <w:sz w:val="20"/>
          <w:szCs w:val="20"/>
          <w:lang w:val="en-US"/>
        </w:rPr>
        <w:t>). Data represent mean ± SD of four independent donors.</w:t>
      </w:r>
    </w:p>
    <w:p w14:paraId="636856BF" w14:textId="77777777" w:rsidR="002E5825" w:rsidRDefault="002E5825" w:rsidP="002E5825">
      <w:pPr>
        <w:pStyle w:val="Standard"/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770599C9" w14:textId="77777777" w:rsidR="002E5825" w:rsidRPr="00191947" w:rsidRDefault="002E5825" w:rsidP="005C23E3">
      <w:pPr>
        <w:pStyle w:val="Standard"/>
        <w:spacing w:line="480" w:lineRule="auto"/>
        <w:jc w:val="both"/>
        <w:rPr>
          <w:rStyle w:val="Policepardfaut1"/>
          <w:rFonts w:ascii="Arial" w:hAnsi="Arial" w:cs="Arial"/>
          <w:sz w:val="20"/>
          <w:szCs w:val="20"/>
          <w:lang w:val="en-US"/>
        </w:rPr>
      </w:pPr>
    </w:p>
    <w:p w14:paraId="00D90410" w14:textId="663B6759" w:rsidR="00191947" w:rsidRPr="00191947" w:rsidRDefault="00191947" w:rsidP="005C23E3">
      <w:pPr>
        <w:pStyle w:val="Standard"/>
        <w:spacing w:line="480" w:lineRule="auto"/>
        <w:jc w:val="center"/>
        <w:rPr>
          <w:rFonts w:ascii="Arial" w:hAnsi="Arial" w:cs="Arial"/>
          <w:sz w:val="20"/>
          <w:szCs w:val="20"/>
          <w:lang w:val="en-US"/>
        </w:rPr>
      </w:pPr>
    </w:p>
    <w:p w14:paraId="207D9190" w14:textId="3C5F96C9" w:rsidR="00191947" w:rsidRPr="00191947" w:rsidRDefault="0064181C" w:rsidP="005C23E3">
      <w:pPr>
        <w:pStyle w:val="Standard"/>
        <w:spacing w:line="480" w:lineRule="auto"/>
        <w:jc w:val="center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noProof/>
          <w:sz w:val="20"/>
          <w:szCs w:val="20"/>
          <w:lang w:val="en-US"/>
        </w:rPr>
        <w:lastRenderedPageBreak/>
        <w:drawing>
          <wp:inline distT="0" distB="0" distL="0" distR="0" wp14:anchorId="56B3A29E" wp14:editId="3A288240">
            <wp:extent cx="5401310" cy="4761230"/>
            <wp:effectExtent l="0" t="0" r="0" b="0"/>
            <wp:docPr id="110031710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476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BD3ACE" w14:textId="3B0E0300" w:rsidR="00191947" w:rsidRPr="00191947" w:rsidRDefault="00191947" w:rsidP="005C23E3">
      <w:pPr>
        <w:pStyle w:val="Standard"/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191947">
        <w:rPr>
          <w:rStyle w:val="Policepardfaut1"/>
          <w:rFonts w:ascii="Arial" w:hAnsi="Arial" w:cs="Arial"/>
          <w:b/>
          <w:bCs/>
          <w:sz w:val="20"/>
          <w:szCs w:val="20"/>
          <w:lang w:val="en-US"/>
        </w:rPr>
        <w:t>Figure S</w:t>
      </w:r>
      <w:r w:rsidR="002E5825">
        <w:rPr>
          <w:rStyle w:val="Policepardfaut1"/>
          <w:rFonts w:ascii="Arial" w:hAnsi="Arial" w:cs="Arial"/>
          <w:b/>
          <w:bCs/>
          <w:sz w:val="20"/>
          <w:szCs w:val="20"/>
          <w:lang w:val="en-US"/>
        </w:rPr>
        <w:t>9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 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Immune checkpoint receptor dynamics </w:t>
      </w:r>
      <w:r w:rsidRPr="00191947">
        <w:rPr>
          <w:rStyle w:val="Policepardfaut1"/>
          <w:rFonts w:ascii="Arial" w:hAnsi="Arial" w:cs="Arial"/>
          <w:sz w:val="20"/>
          <w:szCs w:val="20"/>
          <w:lang w:val="en-US"/>
        </w:rPr>
        <w:t>of all conditions in the presence or absence of IL-2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 after stimulation with antibody-coated beads (Dynabeads) or </w:t>
      </w:r>
      <w:r w:rsidRPr="00DF5ED7">
        <w:rPr>
          <w:rFonts w:ascii="Arial" w:hAnsi="Arial" w:cs="Arial"/>
          <w:sz w:val="20"/>
          <w:szCs w:val="20"/>
          <w:highlight w:val="cyan"/>
          <w:lang w:val="en-US"/>
        </w:rPr>
        <w:t xml:space="preserve">soluble </w:t>
      </w:r>
      <w:r w:rsidR="00DF5ED7" w:rsidRPr="00DF5ED7">
        <w:rPr>
          <w:rStyle w:val="Policepardfaut1"/>
          <w:rFonts w:ascii="Arial" w:hAnsi="Arial" w:cs="Arial"/>
          <w:sz w:val="20"/>
          <w:szCs w:val="20"/>
          <w:highlight w:val="cyan"/>
          <w:lang w:val="en-US"/>
        </w:rPr>
        <w:t>antibody complexes</w:t>
      </w:r>
      <w:r w:rsidR="00DF5ED7" w:rsidRPr="00191947">
        <w:rPr>
          <w:rStyle w:val="Policepardfaut1"/>
          <w:rFonts w:ascii="Arial" w:hAnsi="Arial" w:cs="Arial"/>
          <w:sz w:val="20"/>
          <w:szCs w:val="20"/>
          <w:lang w:val="en-US"/>
        </w:rPr>
        <w:t xml:space="preserve"> 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(ImmunoCult) during the initial stimulation phase (days 0-8), after reseeding in fresh media with or without restimulation on day 8, and throughout the post-restimulation phase (days 10-22). Receptor expression was measured as the Mean Fluorescence Intensity (MFI) of </w:t>
      </w:r>
      <w:r w:rsidRPr="00191947">
        <w:rPr>
          <w:rFonts w:ascii="Arial" w:hAnsi="Arial" w:cs="Arial"/>
          <w:b/>
          <w:bCs/>
          <w:sz w:val="20"/>
          <w:szCs w:val="20"/>
          <w:lang w:val="en-US"/>
        </w:rPr>
        <w:t>A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 TIM-3 or </w:t>
      </w:r>
      <w:r w:rsidRPr="00191947">
        <w:rPr>
          <w:rFonts w:ascii="Arial" w:hAnsi="Arial" w:cs="Arial"/>
          <w:b/>
          <w:bCs/>
          <w:sz w:val="20"/>
          <w:szCs w:val="20"/>
          <w:lang w:val="en-US"/>
        </w:rPr>
        <w:t>B</w:t>
      </w:r>
      <w:r w:rsidRPr="00191947">
        <w:rPr>
          <w:rFonts w:ascii="Arial" w:hAnsi="Arial" w:cs="Arial"/>
          <w:sz w:val="20"/>
          <w:szCs w:val="20"/>
          <w:lang w:val="en-US"/>
        </w:rPr>
        <w:t xml:space="preserve"> PD-1.</w:t>
      </w:r>
    </w:p>
    <w:sectPr w:rsidR="00191947" w:rsidRPr="00191947" w:rsidSect="00191947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20B0603030804020204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rlito">
    <w:altName w:val="Calibri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217FE"/>
    <w:multiLevelType w:val="hybridMultilevel"/>
    <w:tmpl w:val="696E099C"/>
    <w:lvl w:ilvl="0" w:tplc="6292F3BE">
      <w:start w:val="4"/>
      <w:numFmt w:val="bullet"/>
      <w:lvlText w:val=""/>
      <w:lvlJc w:val="left"/>
      <w:pPr>
        <w:ind w:left="720" w:hanging="360"/>
      </w:pPr>
      <w:rPr>
        <w:rFonts w:ascii="Wingdings" w:eastAsia="DejaVu Sans" w:hAnsi="Wingdings" w:cs="Mang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72C1E"/>
    <w:multiLevelType w:val="hybridMultilevel"/>
    <w:tmpl w:val="B3DA27DE"/>
    <w:lvl w:ilvl="0" w:tplc="C01EF452">
      <w:start w:val="4"/>
      <w:numFmt w:val="bullet"/>
      <w:lvlText w:val=""/>
      <w:lvlJc w:val="left"/>
      <w:pPr>
        <w:ind w:left="720" w:hanging="360"/>
      </w:pPr>
      <w:rPr>
        <w:rFonts w:ascii="Wingdings" w:eastAsia="DejaVu Sans" w:hAnsi="Wingdings" w:cs="Mang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3848665">
    <w:abstractNumId w:val="0"/>
  </w:num>
  <w:num w:numId="2" w16cid:durableId="575436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M0NDYwsLQ0MTMzMTRX0lEKTi0uzszPAykwqgUAeAKwMSwAAAA="/>
  </w:docVars>
  <w:rsids>
    <w:rsidRoot w:val="00191947"/>
    <w:rsid w:val="00003145"/>
    <w:rsid w:val="00005330"/>
    <w:rsid w:val="000059BF"/>
    <w:rsid w:val="000128A7"/>
    <w:rsid w:val="000177F4"/>
    <w:rsid w:val="00020FB8"/>
    <w:rsid w:val="0003584D"/>
    <w:rsid w:val="00041148"/>
    <w:rsid w:val="000518FF"/>
    <w:rsid w:val="00061DEE"/>
    <w:rsid w:val="00063045"/>
    <w:rsid w:val="00085804"/>
    <w:rsid w:val="000D39DE"/>
    <w:rsid w:val="000D4BE1"/>
    <w:rsid w:val="00100B13"/>
    <w:rsid w:val="00102866"/>
    <w:rsid w:val="00127CB4"/>
    <w:rsid w:val="0013174E"/>
    <w:rsid w:val="00151989"/>
    <w:rsid w:val="00173170"/>
    <w:rsid w:val="0017424F"/>
    <w:rsid w:val="00191947"/>
    <w:rsid w:val="001A7265"/>
    <w:rsid w:val="001B72EA"/>
    <w:rsid w:val="001C0584"/>
    <w:rsid w:val="001E5F67"/>
    <w:rsid w:val="00205526"/>
    <w:rsid w:val="00207929"/>
    <w:rsid w:val="00230418"/>
    <w:rsid w:val="00234BDB"/>
    <w:rsid w:val="00261E4D"/>
    <w:rsid w:val="00262EFD"/>
    <w:rsid w:val="002731AD"/>
    <w:rsid w:val="002A0C2B"/>
    <w:rsid w:val="002E5825"/>
    <w:rsid w:val="003067A1"/>
    <w:rsid w:val="00311468"/>
    <w:rsid w:val="00311EC2"/>
    <w:rsid w:val="0035149F"/>
    <w:rsid w:val="0039271C"/>
    <w:rsid w:val="0045333C"/>
    <w:rsid w:val="00456080"/>
    <w:rsid w:val="004868DD"/>
    <w:rsid w:val="004A2F5E"/>
    <w:rsid w:val="004A3E2E"/>
    <w:rsid w:val="004A5C9D"/>
    <w:rsid w:val="004C3F7F"/>
    <w:rsid w:val="004D15AB"/>
    <w:rsid w:val="004D2C1C"/>
    <w:rsid w:val="004E6B9F"/>
    <w:rsid w:val="004F3EB9"/>
    <w:rsid w:val="00501185"/>
    <w:rsid w:val="00507A30"/>
    <w:rsid w:val="005235B1"/>
    <w:rsid w:val="00540508"/>
    <w:rsid w:val="00545C9F"/>
    <w:rsid w:val="0054688C"/>
    <w:rsid w:val="005A3D58"/>
    <w:rsid w:val="005A695B"/>
    <w:rsid w:val="005C23E3"/>
    <w:rsid w:val="005C49EA"/>
    <w:rsid w:val="00600F92"/>
    <w:rsid w:val="00614609"/>
    <w:rsid w:val="0064181C"/>
    <w:rsid w:val="00642690"/>
    <w:rsid w:val="006510EA"/>
    <w:rsid w:val="00655C4E"/>
    <w:rsid w:val="00677A99"/>
    <w:rsid w:val="0068368C"/>
    <w:rsid w:val="00686217"/>
    <w:rsid w:val="006866A3"/>
    <w:rsid w:val="00687F4A"/>
    <w:rsid w:val="006C152C"/>
    <w:rsid w:val="006C3EDD"/>
    <w:rsid w:val="006D1D04"/>
    <w:rsid w:val="00723135"/>
    <w:rsid w:val="007277A0"/>
    <w:rsid w:val="00755B3D"/>
    <w:rsid w:val="007C0DED"/>
    <w:rsid w:val="007C10A0"/>
    <w:rsid w:val="007C40E4"/>
    <w:rsid w:val="007D3B57"/>
    <w:rsid w:val="007D6FC7"/>
    <w:rsid w:val="007E7FA3"/>
    <w:rsid w:val="007F106B"/>
    <w:rsid w:val="00820ECE"/>
    <w:rsid w:val="0085382B"/>
    <w:rsid w:val="008616D0"/>
    <w:rsid w:val="008676CF"/>
    <w:rsid w:val="00876C3B"/>
    <w:rsid w:val="008813BD"/>
    <w:rsid w:val="00882B76"/>
    <w:rsid w:val="00884ECF"/>
    <w:rsid w:val="008A170C"/>
    <w:rsid w:val="008A5BF2"/>
    <w:rsid w:val="008D3039"/>
    <w:rsid w:val="008F06BE"/>
    <w:rsid w:val="008F2EA6"/>
    <w:rsid w:val="00912A06"/>
    <w:rsid w:val="0091672B"/>
    <w:rsid w:val="009432F8"/>
    <w:rsid w:val="0096639F"/>
    <w:rsid w:val="00967102"/>
    <w:rsid w:val="009A73A9"/>
    <w:rsid w:val="009C2100"/>
    <w:rsid w:val="009D5B92"/>
    <w:rsid w:val="009E5201"/>
    <w:rsid w:val="009F16AF"/>
    <w:rsid w:val="00A32905"/>
    <w:rsid w:val="00A438C1"/>
    <w:rsid w:val="00A531CF"/>
    <w:rsid w:val="00A537F5"/>
    <w:rsid w:val="00A56B70"/>
    <w:rsid w:val="00A74DC8"/>
    <w:rsid w:val="00A86DA3"/>
    <w:rsid w:val="00A9433B"/>
    <w:rsid w:val="00A97A27"/>
    <w:rsid w:val="00AC275C"/>
    <w:rsid w:val="00AC3B6E"/>
    <w:rsid w:val="00AC71CA"/>
    <w:rsid w:val="00AE3370"/>
    <w:rsid w:val="00AE5C1B"/>
    <w:rsid w:val="00AF78DE"/>
    <w:rsid w:val="00B168CB"/>
    <w:rsid w:val="00B31903"/>
    <w:rsid w:val="00B57CF6"/>
    <w:rsid w:val="00B67E7A"/>
    <w:rsid w:val="00B777BA"/>
    <w:rsid w:val="00B83289"/>
    <w:rsid w:val="00B86562"/>
    <w:rsid w:val="00BA4A27"/>
    <w:rsid w:val="00BB1265"/>
    <w:rsid w:val="00BB4284"/>
    <w:rsid w:val="00BC3BBB"/>
    <w:rsid w:val="00BC7901"/>
    <w:rsid w:val="00BD710C"/>
    <w:rsid w:val="00BF19BD"/>
    <w:rsid w:val="00C04F47"/>
    <w:rsid w:val="00C20DCB"/>
    <w:rsid w:val="00C30AFA"/>
    <w:rsid w:val="00C31B17"/>
    <w:rsid w:val="00C965C7"/>
    <w:rsid w:val="00CA505B"/>
    <w:rsid w:val="00CB38BC"/>
    <w:rsid w:val="00D17255"/>
    <w:rsid w:val="00D36C78"/>
    <w:rsid w:val="00D47E79"/>
    <w:rsid w:val="00D81A63"/>
    <w:rsid w:val="00D929F3"/>
    <w:rsid w:val="00DA1C42"/>
    <w:rsid w:val="00DA79F0"/>
    <w:rsid w:val="00DF5ED7"/>
    <w:rsid w:val="00E02CAF"/>
    <w:rsid w:val="00E16026"/>
    <w:rsid w:val="00E231E3"/>
    <w:rsid w:val="00E319E4"/>
    <w:rsid w:val="00E334E7"/>
    <w:rsid w:val="00E50DC7"/>
    <w:rsid w:val="00E617E4"/>
    <w:rsid w:val="00E727E9"/>
    <w:rsid w:val="00EA0120"/>
    <w:rsid w:val="00EC644F"/>
    <w:rsid w:val="00ED22B3"/>
    <w:rsid w:val="00ED38DF"/>
    <w:rsid w:val="00F50999"/>
    <w:rsid w:val="00F53698"/>
    <w:rsid w:val="00F557AE"/>
    <w:rsid w:val="00F8111C"/>
    <w:rsid w:val="00F81767"/>
    <w:rsid w:val="00FA505B"/>
    <w:rsid w:val="00FC4EDC"/>
    <w:rsid w:val="00FC7AA4"/>
    <w:rsid w:val="00FD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82D6E"/>
  <w15:chartTrackingRefBased/>
  <w15:docId w15:val="{D6337A01-92E2-E34B-B290-2CA67E413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947"/>
    <w:pPr>
      <w:widowControl w:val="0"/>
      <w:suppressAutoHyphens/>
      <w:autoSpaceDN w:val="0"/>
      <w:spacing w:after="0" w:line="240" w:lineRule="auto"/>
      <w:textAlignment w:val="baseline"/>
    </w:pPr>
    <w:rPr>
      <w:rFonts w:ascii="Carlito" w:eastAsia="DejaVu Sans" w:hAnsi="Carlito" w:cs="DejaVu Sans"/>
      <w:kern w:val="3"/>
      <w:lang w:val="en-GB" w:eastAsia="zh-CN" w:bidi="hi-IN"/>
      <w14:ligatures w14:val="none"/>
    </w:rPr>
  </w:style>
  <w:style w:type="paragraph" w:styleId="Titre1">
    <w:name w:val="heading 1"/>
    <w:basedOn w:val="Normal"/>
    <w:next w:val="Normal"/>
    <w:link w:val="Titre1Car1"/>
    <w:uiPriority w:val="9"/>
    <w:qFormat/>
    <w:rsid w:val="001919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919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919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919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919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919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919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919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919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1">
    <w:name w:val="Titre 1 Car1"/>
    <w:basedOn w:val="Policepardfaut"/>
    <w:link w:val="Titre1"/>
    <w:uiPriority w:val="9"/>
    <w:rsid w:val="001919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919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919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9194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9194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9194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9194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9194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9194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919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919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919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919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919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9194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9194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9194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919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9194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91947"/>
    <w:rPr>
      <w:b/>
      <w:bCs/>
      <w:smallCaps/>
      <w:color w:val="0F4761" w:themeColor="accent1" w:themeShade="BF"/>
      <w:spacing w:val="5"/>
    </w:rPr>
  </w:style>
  <w:style w:type="paragraph" w:customStyle="1" w:styleId="Titre11">
    <w:name w:val="Titre 11"/>
    <w:basedOn w:val="Normal"/>
    <w:rsid w:val="00191947"/>
    <w:pPr>
      <w:widowControl/>
      <w:suppressAutoHyphens w:val="0"/>
      <w:spacing w:before="100" w:after="100"/>
      <w:textAlignment w:val="auto"/>
      <w:outlineLvl w:val="0"/>
    </w:pPr>
    <w:rPr>
      <w:rFonts w:ascii="Times New Roman" w:eastAsia="Calibri" w:hAnsi="Times New Roman" w:cs="Times New Roman"/>
      <w:b/>
      <w:bCs/>
      <w:sz w:val="48"/>
      <w:szCs w:val="48"/>
      <w:lang w:val="fr-FR" w:eastAsia="ja-JP" w:bidi="ar-SA"/>
    </w:rPr>
  </w:style>
  <w:style w:type="character" w:customStyle="1" w:styleId="Policepardfaut1">
    <w:name w:val="Police par défaut1"/>
    <w:rsid w:val="00191947"/>
  </w:style>
  <w:style w:type="paragraph" w:customStyle="1" w:styleId="Standard">
    <w:name w:val="Standard"/>
    <w:rsid w:val="00191947"/>
    <w:pPr>
      <w:widowControl w:val="0"/>
      <w:suppressAutoHyphens/>
      <w:autoSpaceDN w:val="0"/>
      <w:spacing w:after="0" w:line="240" w:lineRule="auto"/>
      <w:textAlignment w:val="baseline"/>
    </w:pPr>
    <w:rPr>
      <w:rFonts w:ascii="Carlito" w:eastAsia="DejaVu Sans" w:hAnsi="Carlito" w:cs="DejaVu Sans"/>
      <w:kern w:val="3"/>
      <w:lang w:val="en-GB" w:eastAsia="zh-CN" w:bidi="hi-IN"/>
      <w14:ligatures w14:val="none"/>
    </w:rPr>
  </w:style>
  <w:style w:type="paragraph" w:customStyle="1" w:styleId="Textbody">
    <w:name w:val="Text body"/>
    <w:basedOn w:val="Standard"/>
    <w:rsid w:val="00191947"/>
    <w:pPr>
      <w:spacing w:after="283" w:line="276" w:lineRule="auto"/>
    </w:pPr>
  </w:style>
  <w:style w:type="paragraph" w:customStyle="1" w:styleId="Commentaire1">
    <w:name w:val="Commentaire1"/>
    <w:basedOn w:val="Normal"/>
    <w:rsid w:val="00191947"/>
    <w:rPr>
      <w:rFonts w:cs="Mangal"/>
      <w:sz w:val="20"/>
      <w:szCs w:val="18"/>
    </w:rPr>
  </w:style>
  <w:style w:type="character" w:customStyle="1" w:styleId="CommentaireCar">
    <w:name w:val="Commentaire Car"/>
    <w:basedOn w:val="Policepardfaut1"/>
    <w:rsid w:val="00191947"/>
    <w:rPr>
      <w:rFonts w:cs="Mangal"/>
      <w:sz w:val="20"/>
      <w:szCs w:val="18"/>
    </w:rPr>
  </w:style>
  <w:style w:type="character" w:customStyle="1" w:styleId="Marquedecommentaire1">
    <w:name w:val="Marque de commentaire1"/>
    <w:basedOn w:val="Policepardfaut1"/>
    <w:rsid w:val="00191947"/>
    <w:rPr>
      <w:sz w:val="16"/>
      <w:szCs w:val="16"/>
    </w:rPr>
  </w:style>
  <w:style w:type="character" w:customStyle="1" w:styleId="Titre1Car">
    <w:name w:val="Titre 1 Car"/>
    <w:basedOn w:val="Policepardfaut1"/>
    <w:rsid w:val="00191947"/>
    <w:rPr>
      <w:rFonts w:ascii="Times New Roman" w:eastAsia="Calibri" w:hAnsi="Times New Roman" w:cs="Times New Roman"/>
      <w:b/>
      <w:bCs/>
      <w:kern w:val="3"/>
      <w:sz w:val="48"/>
      <w:szCs w:val="48"/>
      <w:lang w:val="fr-FR" w:eastAsia="ja-JP" w:bidi="ar-SA"/>
    </w:rPr>
  </w:style>
  <w:style w:type="character" w:styleId="Marquedecommentaire">
    <w:name w:val="annotation reference"/>
    <w:basedOn w:val="Policepardfaut"/>
    <w:uiPriority w:val="99"/>
    <w:semiHidden/>
    <w:unhideWhenUsed/>
    <w:rsid w:val="00191947"/>
    <w:rPr>
      <w:sz w:val="16"/>
      <w:szCs w:val="16"/>
    </w:rPr>
  </w:style>
  <w:style w:type="paragraph" w:styleId="Commentaire">
    <w:name w:val="annotation text"/>
    <w:basedOn w:val="Normal"/>
    <w:link w:val="CommentaireCar1"/>
    <w:uiPriority w:val="99"/>
    <w:semiHidden/>
    <w:unhideWhenUsed/>
    <w:rsid w:val="00191947"/>
    <w:rPr>
      <w:rFonts w:cs="Mangal"/>
      <w:sz w:val="20"/>
      <w:szCs w:val="18"/>
    </w:rPr>
  </w:style>
  <w:style w:type="character" w:customStyle="1" w:styleId="CommentaireCar1">
    <w:name w:val="Commentaire Car1"/>
    <w:basedOn w:val="Policepardfaut"/>
    <w:link w:val="Commentaire"/>
    <w:uiPriority w:val="99"/>
    <w:semiHidden/>
    <w:rsid w:val="00191947"/>
    <w:rPr>
      <w:rFonts w:ascii="Carlito" w:eastAsia="DejaVu Sans" w:hAnsi="Carlito" w:cs="Mangal"/>
      <w:kern w:val="3"/>
      <w:sz w:val="20"/>
      <w:szCs w:val="18"/>
      <w:lang w:val="en-GB" w:eastAsia="zh-CN" w:bidi="hi-IN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91947"/>
    <w:rPr>
      <w:b/>
      <w:bCs/>
    </w:rPr>
  </w:style>
  <w:style w:type="character" w:customStyle="1" w:styleId="ObjetducommentaireCar">
    <w:name w:val="Objet du commentaire Car"/>
    <w:basedOn w:val="CommentaireCar1"/>
    <w:link w:val="Objetducommentaire"/>
    <w:uiPriority w:val="99"/>
    <w:semiHidden/>
    <w:rsid w:val="00191947"/>
    <w:rPr>
      <w:rFonts w:ascii="Carlito" w:eastAsia="DejaVu Sans" w:hAnsi="Carlito" w:cs="Mangal"/>
      <w:b/>
      <w:bCs/>
      <w:kern w:val="3"/>
      <w:sz w:val="20"/>
      <w:szCs w:val="18"/>
      <w:lang w:val="en-GB" w:eastAsia="zh-CN" w:bidi="hi-IN"/>
      <w14:ligatures w14:val="none"/>
    </w:rPr>
  </w:style>
  <w:style w:type="paragraph" w:styleId="Rvision">
    <w:name w:val="Revision"/>
    <w:hidden/>
    <w:uiPriority w:val="99"/>
    <w:semiHidden/>
    <w:rsid w:val="00191947"/>
    <w:pPr>
      <w:spacing w:after="0" w:line="240" w:lineRule="auto"/>
    </w:pPr>
    <w:rPr>
      <w:rFonts w:ascii="Carlito" w:eastAsia="DejaVu Sans" w:hAnsi="Carlito" w:cs="Mangal"/>
      <w:kern w:val="3"/>
      <w:szCs w:val="21"/>
      <w:lang w:val="en-GB" w:eastAsia="zh-CN" w:bidi="hi-IN"/>
      <w14:ligatures w14:val="none"/>
    </w:rPr>
  </w:style>
  <w:style w:type="character" w:styleId="Lienhypertexte">
    <w:name w:val="Hyperlink"/>
    <w:basedOn w:val="Policepardfaut"/>
    <w:uiPriority w:val="99"/>
    <w:unhideWhenUsed/>
    <w:rsid w:val="00191947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91947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5A695B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D2C1C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val="fr-CA" w:eastAsia="fr-CA" w:bidi="ar-SA"/>
    </w:rPr>
  </w:style>
  <w:style w:type="paragraph" w:customStyle="1" w:styleId="p1">
    <w:name w:val="p1"/>
    <w:basedOn w:val="Normal"/>
    <w:rsid w:val="00D36C78"/>
    <w:pPr>
      <w:widowControl/>
      <w:suppressAutoHyphens w:val="0"/>
      <w:autoSpaceDN/>
      <w:textAlignment w:val="auto"/>
    </w:pPr>
    <w:rPr>
      <w:rFonts w:ascii="Helvetica" w:eastAsia="Times New Roman" w:hAnsi="Helvetica" w:cs="Times New Roman"/>
      <w:color w:val="000000"/>
      <w:kern w:val="0"/>
      <w:sz w:val="12"/>
      <w:szCs w:val="12"/>
      <w:lang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BBE4A-55D7-41B3-A475-D6A48BC56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752</Words>
  <Characters>4140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E Silva</dc:creator>
  <cp:keywords/>
  <dc:description/>
  <cp:lastModifiedBy>Mégane Jassin</cp:lastModifiedBy>
  <cp:revision>3</cp:revision>
  <cp:lastPrinted>2025-10-18T07:41:00Z</cp:lastPrinted>
  <dcterms:created xsi:type="dcterms:W3CDTF">2026-02-24T16:44:00Z</dcterms:created>
  <dcterms:modified xsi:type="dcterms:W3CDTF">2026-02-24T19:57:00Z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4505f6c6-553f-3778-9f3a-e0904dd1859d</vt:lpwstr>
  </property>
  <property fmtid="{D5CDD505-2E9C-101B-9397-08002B2CF9AE}" pid="24" name="Mendeley Citation Style_1">
    <vt:lpwstr>http://www.zotero.org/styles/ieee</vt:lpwstr>
  </property>
</Properties>
</file>