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DC86" w14:textId="5CA4AC9B" w:rsidR="00C644A8" w:rsidRDefault="00785444" w:rsidP="0078544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F4863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</w:t>
      </w:r>
    </w:p>
    <w:p w14:paraId="79D15BD4" w14:textId="3985B7B0" w:rsidR="00785444" w:rsidRPr="00B746D2" w:rsidRDefault="002161A0" w:rsidP="00B746D2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3D69DF4" wp14:editId="29EF2FB4">
            <wp:extent cx="6559929" cy="4431157"/>
            <wp:effectExtent l="0" t="0" r="0" b="7620"/>
            <wp:docPr id="585763812" name="Imagem 2" descr="Uma imagem com texto, diagrama, file, Gráfic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63812" name="Imagem 2" descr="Uma imagem com texto, diagrama, file, Gráfic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74" cy="448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1BB4B" w14:textId="77777777" w:rsidR="00B746D2" w:rsidRDefault="00B746D2" w:rsidP="002161A0">
      <w:pPr>
        <w:pStyle w:val="Legenda"/>
        <w:jc w:val="both"/>
        <w:rPr>
          <w:b/>
          <w:bCs/>
          <w:color w:val="auto"/>
          <w:lang w:val="en-US"/>
        </w:rPr>
      </w:pPr>
    </w:p>
    <w:p w14:paraId="3C5C9372" w14:textId="0CE75FB6" w:rsidR="00785444" w:rsidRPr="002161A0" w:rsidRDefault="00785444" w:rsidP="002161A0">
      <w:pPr>
        <w:pStyle w:val="Legenda"/>
        <w:jc w:val="both"/>
        <w:rPr>
          <w:color w:val="auto"/>
          <w:lang w:val="en-US"/>
        </w:rPr>
      </w:pPr>
      <w:r w:rsidRPr="002161A0">
        <w:rPr>
          <w:b/>
          <w:bCs/>
          <w:color w:val="auto"/>
          <w:lang w:val="en-US"/>
        </w:rPr>
        <w:t xml:space="preserve">Supplementary Figure S1. </w:t>
      </w:r>
      <w:r w:rsidRPr="002161A0">
        <w:rPr>
          <w:color w:val="auto"/>
          <w:lang w:val="en-US"/>
        </w:rPr>
        <w:t>Standard curves and RT-qPCR amplification efficiencies for 16S rRNA</w:t>
      </w:r>
      <w:r w:rsidR="002161A0" w:rsidRPr="002161A0">
        <w:rPr>
          <w:color w:val="auto"/>
          <w:lang w:val="en-US"/>
        </w:rPr>
        <w:t xml:space="preserve"> a)</w:t>
      </w:r>
      <w:r w:rsidRPr="002161A0">
        <w:rPr>
          <w:color w:val="auto"/>
          <w:lang w:val="en-US"/>
        </w:rPr>
        <w:t xml:space="preserve">, </w:t>
      </w:r>
      <w:proofErr w:type="spellStart"/>
      <w:r w:rsidRPr="002161A0">
        <w:rPr>
          <w:color w:val="auto"/>
          <w:lang w:val="en-US"/>
        </w:rPr>
        <w:t>Bacteroidota</w:t>
      </w:r>
      <w:proofErr w:type="spellEnd"/>
      <w:r w:rsidR="002161A0" w:rsidRPr="002161A0">
        <w:rPr>
          <w:color w:val="auto"/>
          <w:lang w:val="en-US"/>
        </w:rPr>
        <w:t xml:space="preserve"> b)</w:t>
      </w:r>
      <w:r w:rsidRPr="002161A0">
        <w:rPr>
          <w:color w:val="auto"/>
          <w:lang w:val="en-US"/>
        </w:rPr>
        <w:t xml:space="preserve">, and </w:t>
      </w:r>
      <w:proofErr w:type="spellStart"/>
      <w:r w:rsidRPr="002161A0">
        <w:rPr>
          <w:color w:val="auto"/>
          <w:lang w:val="en-US"/>
        </w:rPr>
        <w:t>Bacillota</w:t>
      </w:r>
      <w:proofErr w:type="spellEnd"/>
      <w:r w:rsidR="002161A0" w:rsidRPr="002161A0">
        <w:rPr>
          <w:color w:val="auto"/>
          <w:lang w:val="en-US"/>
        </w:rPr>
        <w:t xml:space="preserve"> c)</w:t>
      </w:r>
      <w:r w:rsidRPr="002161A0">
        <w:rPr>
          <w:color w:val="auto"/>
          <w:lang w:val="en-US"/>
        </w:rPr>
        <w:t>. The Ct values were plotted against the logarithm of template concentration to assess assay performance. Amplification efficiencies (E) and correlation coefficients (R²) were calculated from the slope of each curve. All three assays demonstrated high linearity and efficiency within the acceptable range (90–110%), indicating reliable quantification of each microbial group.</w:t>
      </w:r>
    </w:p>
    <w:p w14:paraId="0AE786E6" w14:textId="46915E58" w:rsidR="00785444" w:rsidRPr="00785444" w:rsidRDefault="00785444" w:rsidP="00785444">
      <w:pPr>
        <w:pStyle w:val="Legenda"/>
        <w:rPr>
          <w:lang w:val="en-US"/>
        </w:rPr>
      </w:pPr>
    </w:p>
    <w:sectPr w:rsidR="00785444" w:rsidRPr="00785444" w:rsidSect="002161A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8E46" w14:textId="77777777" w:rsidR="00557237" w:rsidRDefault="00557237" w:rsidP="00785444">
      <w:pPr>
        <w:spacing w:after="0" w:line="240" w:lineRule="auto"/>
      </w:pPr>
      <w:r>
        <w:separator/>
      </w:r>
    </w:p>
  </w:endnote>
  <w:endnote w:type="continuationSeparator" w:id="0">
    <w:p w14:paraId="766F0DF3" w14:textId="77777777" w:rsidR="00557237" w:rsidRDefault="00557237" w:rsidP="0078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097721"/>
      <w:docPartObj>
        <w:docPartGallery w:val="Page Numbers (Bottom of Page)"/>
        <w:docPartUnique/>
      </w:docPartObj>
    </w:sdtPr>
    <w:sdtContent>
      <w:p w14:paraId="593A59C4" w14:textId="4AB00784" w:rsidR="00C22FFE" w:rsidRDefault="00C22FF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75EF84" w14:textId="77777777" w:rsidR="00C22FFE" w:rsidRDefault="00C22F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EDCC" w14:textId="77777777" w:rsidR="00557237" w:rsidRDefault="00557237" w:rsidP="00785444">
      <w:pPr>
        <w:spacing w:after="0" w:line="240" w:lineRule="auto"/>
      </w:pPr>
      <w:r>
        <w:separator/>
      </w:r>
    </w:p>
  </w:footnote>
  <w:footnote w:type="continuationSeparator" w:id="0">
    <w:p w14:paraId="4A4EE377" w14:textId="77777777" w:rsidR="00557237" w:rsidRDefault="00557237" w:rsidP="0078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12C1" w14:textId="7849D785" w:rsidR="00785444" w:rsidRPr="00785444" w:rsidRDefault="00785444" w:rsidP="00B746D2">
    <w:pPr>
      <w:pStyle w:val="Cabealho"/>
      <w:jc w:val="right"/>
      <w:rPr>
        <w:lang w:val="en-US"/>
      </w:rPr>
    </w:pPr>
    <w:r w:rsidRPr="00785444">
      <w:rPr>
        <w:lang w:val="en-US"/>
      </w:rPr>
      <w:t xml:space="preserve">Mendes et al.                                 </w:t>
    </w:r>
    <w:r>
      <w:rPr>
        <w:lang w:val="en-US"/>
      </w:rPr>
      <w:t xml:space="preserve">                     </w:t>
    </w:r>
    <w:r w:rsidR="00B746D2">
      <w:rPr>
        <w:lang w:val="en-US"/>
      </w:rPr>
      <w:t xml:space="preserve">                                           </w:t>
    </w:r>
    <w:r w:rsidRPr="00785444">
      <w:rPr>
        <w:lang w:val="en-US"/>
      </w:rPr>
      <w:t xml:space="preserve">Standardizing Oral Microbiome Sampling for qPCR: </w:t>
    </w:r>
    <w:r>
      <w:rPr>
        <w:lang w:val="en-US"/>
      </w:rPr>
      <w:t xml:space="preserve">                </w:t>
    </w:r>
    <w:r w:rsidR="00B746D2">
      <w:rPr>
        <w:lang w:val="en-US"/>
      </w:rPr>
      <w:t xml:space="preserve">       </w:t>
    </w:r>
    <w:r w:rsidRPr="00785444">
      <w:rPr>
        <w:lang w:val="en-US"/>
      </w:rPr>
      <w:t>Methodological and Exploratory Insights into Nutritional Status</w:t>
    </w:r>
  </w:p>
  <w:p w14:paraId="07996D8C" w14:textId="77777777" w:rsidR="00785444" w:rsidRPr="00785444" w:rsidRDefault="00785444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61"/>
    <w:rsid w:val="00116467"/>
    <w:rsid w:val="001636D2"/>
    <w:rsid w:val="002161A0"/>
    <w:rsid w:val="00373761"/>
    <w:rsid w:val="00497084"/>
    <w:rsid w:val="0052404C"/>
    <w:rsid w:val="00557237"/>
    <w:rsid w:val="005705B9"/>
    <w:rsid w:val="005D2D55"/>
    <w:rsid w:val="007808B0"/>
    <w:rsid w:val="00785444"/>
    <w:rsid w:val="00844591"/>
    <w:rsid w:val="00A40CFE"/>
    <w:rsid w:val="00B746D2"/>
    <w:rsid w:val="00C22FFE"/>
    <w:rsid w:val="00C644A8"/>
    <w:rsid w:val="00CE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E6C75"/>
  <w15:chartTrackingRefBased/>
  <w15:docId w15:val="{0FC5315C-5978-42EF-B34D-13DFFFFC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444"/>
    <w:pPr>
      <w:spacing w:line="25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737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737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7376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7376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7376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7376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7376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7376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7376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73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73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73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737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7376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737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7376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737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737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73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73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7376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73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7376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737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376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3737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73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7376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7376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785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85444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85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85444"/>
    <w:rPr>
      <w:kern w:val="0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78544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8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Mendes</dc:creator>
  <cp:keywords/>
  <dc:description/>
  <cp:lastModifiedBy>Karina Mendes</cp:lastModifiedBy>
  <cp:revision>15</cp:revision>
  <dcterms:created xsi:type="dcterms:W3CDTF">2026-02-24T14:19:00Z</dcterms:created>
  <dcterms:modified xsi:type="dcterms:W3CDTF">2026-02-26T11:39:00Z</dcterms:modified>
</cp:coreProperties>
</file>