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0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  <w:lang w:val="en-US" w:eastAsia="zh-CN"/>
        </w:rPr>
        <w:t>. The staging of CKM Syndrome stages 0-3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tbl>
      <w:tblPr>
        <w:tblStyle w:val="4"/>
        <w:tblW w:w="14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12854"/>
      </w:tblGrid>
      <w:tr w14:paraId="7372B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4DE83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Stage 0</w:t>
            </w:r>
          </w:p>
        </w:tc>
        <w:tc>
          <w:tcPr>
            <w:tcW w:w="12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AEE05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No CKM syndrome risk factors</w:t>
            </w:r>
          </w:p>
        </w:tc>
      </w:tr>
      <w:tr w14:paraId="2B8D2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8202A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Stage 1</w:t>
            </w:r>
          </w:p>
        </w:tc>
        <w:tc>
          <w:tcPr>
            <w:tcW w:w="12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4F0FF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Overweight/ Abdominal obesity:</w:t>
            </w:r>
          </w:p>
          <w:p w14:paraId="1AD9438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BMI≥23kg/m2;</w:t>
            </w:r>
          </w:p>
          <w:p w14:paraId="1A9956D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WC ≥ 80/90 cm in female/male;</w:t>
            </w:r>
          </w:p>
          <w:p w14:paraId="328F982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FBG ≥ 100-124 mg/dL or HbA1c between 5.7% and 6.4%</w:t>
            </w:r>
          </w:p>
        </w:tc>
      </w:tr>
      <w:tr w14:paraId="2D17E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3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EAEEC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Stage 2</w:t>
            </w:r>
          </w:p>
        </w:tc>
        <w:tc>
          <w:tcPr>
            <w:tcW w:w="12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DF1B1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Diabetes [1]: FPG ≥ 126 mg/dl or HbA1c ≥ 6.5%, and/or a self-reported physician-diagnosed, and/or taking hypoglycemic agents;</w:t>
            </w:r>
          </w:p>
          <w:p w14:paraId="0D331AA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Hypertension [2]: a self-reported physician-diagnosed, and/or any antihypertensive medication use, and/or an average systolic/diastolic blood pressure (SBP/DBP) ≥ 130/80 mmHg;</w:t>
            </w:r>
          </w:p>
          <w:p w14:paraId="30E7EA5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Metabolic syndrome [3]: Meet any three or more of the five: (1) WC ≥ 90 cm for males and ≥ 85 cm for females; (2) FBG ≥ 6.1 mmol/L or 2-hour post-glucose load blood glucose ≥ 7.8 mmol/L and/or diagnosed with diabetes and receiving treatment; (3) SBP/DBP ≥ 130/85 mmHg and/or diagnosed with hypertension and receiving treatment; (4) TG ≥ 1.70 mmol/L; (5) HDL-C&lt;1.04 mmol/L;</w:t>
            </w:r>
          </w:p>
          <w:p w14:paraId="49A51A7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Dyslipidemia [4]: a self-reported physician-diagnosed, and/or current use of lipid-lowering drugs, and/or TC ≥ 240 mg/dl, TG≥ 150 mg/dl, HDL-C &lt; 40 mg/dl, LDL-C ≥ 160 mg/dl;</w:t>
            </w:r>
          </w:p>
          <w:p w14:paraId="639FC24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CKD [5]: self-reported history of chronic kidney disease or eGFR &lt; 60 ml/min/1.73m2.</w:t>
            </w:r>
          </w:p>
        </w:tc>
      </w:tr>
      <w:tr w14:paraId="08B6E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FE9C0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Stage 3</w:t>
            </w:r>
          </w:p>
        </w:tc>
        <w:tc>
          <w:tcPr>
            <w:tcW w:w="12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24C4B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Subclinical CVD:</w:t>
            </w:r>
          </w:p>
          <w:p w14:paraId="721D4D0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(1) eGFR &lt; 30 ml/min/1.73m2;</w:t>
            </w:r>
          </w:p>
          <w:p w14:paraId="33E800C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</w:rPr>
              <w:t>(2) the AHA’s PREVENT</w:t>
            </w: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[6] ≥ 20%.</w:t>
            </w:r>
          </w:p>
        </w:tc>
      </w:tr>
    </w:tbl>
    <w:p w14:paraId="20345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lang w:val="en-US" w:eastAsia="zh-CN"/>
        </w:rPr>
        <w:t>References of Table s1</w:t>
      </w:r>
    </w:p>
    <w:p w14:paraId="08CCC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[1]: ElSayed NA, Aleppo G, Aroda VR, Bannuru RR, Brown FM, Bruemmer D, et al. 2. Classification and diagnosis of diabetes: standards of Care in Diabetes-2023. Diabetes Care. 2023;46(Suppl 1):S19–40.</w:t>
      </w:r>
    </w:p>
    <w:p w14:paraId="1AD73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[2]: Williams B, Mancia G, Spiering W, Agabiti Rosei E, Azizi M, Burnier M, et al. 2018 ESC/ESH guidelines for the management of arterial hypertension. Eur Heart J. 2018;39(33):3021–104.</w:t>
      </w:r>
    </w:p>
    <w:p w14:paraId="66F1F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[3]: Diabetes Branch of Chinese Medical Association.(2021). Guidelines for the Prevention and Treatment of Type 2 Diabetes in China(2020 Edition)(Part 2). Chinese Journal of Practical Internal Medicine (09),757-784.</w:t>
      </w:r>
    </w:p>
    <w:p w14:paraId="40625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[4]:Zhou Z, Ong KL, Whelton SP, Allison MA, Curtis AJ, Blaha MJ, et al. Impact of blood lipids on 10-year cardiovascular risk in individuals without dyslipidemia and with low risk factor burden. Mayo Clin Proc. 2022;97(10):1883–93.</w:t>
      </w:r>
    </w:p>
    <w:p w14:paraId="33FAE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[5]: Kalantar-Zadeh, K., Jafar, T. H., Nitsch, D., Neuen, B. L., &amp; Perkovic, V. (2021). Chronic kidney disease. The lancet, 398(10302), 786-802.</w:t>
      </w:r>
    </w:p>
    <w:p w14:paraId="10F48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[6]: D’Agostino RB, Sr., Vasan RS, Pencina MJ, Wolf PA, Cobain M, Massaro JM, et al. General cardiovascular risk profile for use in primary care: the Framingham Heart Study. Circulation. 2008;117(6):743–53.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Table S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. The basic PREVENT 10-year risk estimation model equations</w:t>
      </w:r>
      <w:r>
        <w:rPr>
          <w:rFonts w:hint="default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</w:rPr>
        <w:br w:type="textWrapping"/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099"/>
      </w:tblGrid>
      <w:tr w14:paraId="746C0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228" w:type="dxa"/>
            <w:gridSpan w:val="2"/>
            <w:shd w:val="clear" w:color="auto" w:fill="FFFFFF" w:themeFill="background1"/>
            <w:vAlign w:val="center"/>
          </w:tcPr>
          <w:p w14:paraId="10A3B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14:ligatures w14:val="none"/>
              </w:rPr>
            </w:pPr>
            <w:r>
              <w:rPr>
                <w:rFonts w:hint="default" w:ascii="Times New Roman" w:hAnsi="Times New Roman" w:cs="Times New Roman"/>
                <w14:ligatures w14:val="none"/>
              </w:rPr>
              <w:t>10-year CVD risk assessment equation</w:t>
            </w:r>
          </w:p>
        </w:tc>
      </w:tr>
      <w:tr w14:paraId="07017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restart"/>
            <w:vAlign w:val="center"/>
          </w:tcPr>
          <w:p w14:paraId="708EA9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14:ligatures w14:val="none"/>
              </w:rPr>
            </w:pPr>
            <w:r>
              <w:rPr>
                <w:rFonts w:hint="default" w:ascii="Times New Roman" w:hAnsi="Times New Roman" w:cs="Times New Roman"/>
                <w14:ligatures w14:val="none"/>
              </w:rPr>
              <w:t>Men</w:t>
            </w:r>
          </w:p>
        </w:tc>
        <w:tc>
          <w:tcPr>
            <w:tcW w:w="12099" w:type="dxa"/>
            <w:vAlign w:val="center"/>
          </w:tcPr>
          <w:p w14:paraId="2C02EB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14:ligatures w14:val="none"/>
              </w:rPr>
            </w:pPr>
            <w:r>
              <w:rPr>
                <w:rFonts w:hint="default" w:ascii="Times New Roman" w:hAnsi="Times New Roman" w:cs="Times New Roman"/>
                <w14:ligatures w14:val="none"/>
              </w:rPr>
              <w:t>log-Odds = -3.031168 + 0.7688528 × (age – 55) /10 + 0.0736174 × ((TC – HDL-C) × 0.02586 – 3.5) – 0.0954431 × (HDL-C × 0.02586 – 1.3) /0.3 – 0.4347345 × (min(SBP, 110) – 110) /20 + 0.3362658 × (max(SBP, 110) – 130) /20 + 0.7692857 × (if diabetes) + 0.4386871 × (if current smoker) + 0.5378979 × (min(eGFR, 60) – 60) / -15 + 0.0164827 × (max(eGFR, 60) – 90) / -15 + 0.288879 × (if using anti hypertensive medication) – 0.1337349 × (if using statin) – 0.0475924 × (if using anti-hypertensive medication) × (max(SBP, 110) – 130) /20 + 0.150273 × (if using statin) × ((TC – HDL-C) × 0.02586 – 3.5) – 0.0517874 × (age – 55) /10 × ((TC – HDL-C) × 0.02586 – 3.5) + 0.0191169 × (age – 55) /10 × (HDL-C × 0.02586 – 1.3) /0.3 – 0.1049477 × (age – 55) /10 × (max(SBP, 110) – 130) /20 – 0.2251948 × (age – 55) /10 × (if diabetes) – 0.0895067 × (age – 55) /10 × (if current smoker) – 0.1543702 × (age – 55) /10 × (min(eGFR, 60) – 60) / -15</w:t>
            </w:r>
          </w:p>
        </w:tc>
      </w:tr>
      <w:tr w14:paraId="18DC6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vAlign w:val="center"/>
          </w:tcPr>
          <w:p w14:paraId="5D3E1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14:ligatures w14:val="none"/>
              </w:rPr>
            </w:pPr>
          </w:p>
        </w:tc>
        <w:tc>
          <w:tcPr>
            <w:tcW w:w="12099" w:type="dxa"/>
            <w:vAlign w:val="center"/>
          </w:tcPr>
          <w:p w14:paraId="31A4C3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14:ligatures w14:val="none"/>
              </w:rPr>
            </w:pPr>
            <w:r>
              <w:rPr>
                <w:rFonts w:hint="default" w:ascii="Times New Roman" w:hAnsi="Times New Roman" w:cs="Times New Roman"/>
                <w14:ligatures w14:val="none"/>
              </w:rPr>
              <w:t>Risk= 1 / (1 + exp(-log-Odds))</w:t>
            </w:r>
          </w:p>
        </w:tc>
      </w:tr>
      <w:tr w14:paraId="19596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restart"/>
            <w:vAlign w:val="center"/>
          </w:tcPr>
          <w:p w14:paraId="59FCF0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14:ligatures w14:val="none"/>
              </w:rPr>
            </w:pPr>
            <w:r>
              <w:rPr>
                <w:rFonts w:hint="default" w:ascii="Times New Roman" w:hAnsi="Times New Roman" w:cs="Times New Roman"/>
                <w14:ligatures w14:val="none"/>
              </w:rPr>
              <w:t>Women</w:t>
            </w:r>
          </w:p>
        </w:tc>
        <w:tc>
          <w:tcPr>
            <w:tcW w:w="12099" w:type="dxa"/>
            <w:vAlign w:val="center"/>
          </w:tcPr>
          <w:p w14:paraId="57A2B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14:ligatures w14:val="none"/>
              </w:rPr>
            </w:pPr>
            <w:r>
              <w:rPr>
                <w:rFonts w:hint="default" w:ascii="Times New Roman" w:hAnsi="Times New Roman" w:cs="Times New Roman"/>
                <w14:ligatures w14:val="none"/>
              </w:rPr>
              <w:t>log-Odds = -3.307728 + 0.7939329 × (age – 55) /10 + 0.0305239 × ((TC – HDL-C) × 0.02586 – 3.5) – 0.1606857 × (HDL-C × 0.02586 – 1.3) /0.3 – 0.2394003 × (min(SBP, 110) – 110) /20 + 0.360078 × (max(SBP, 110) – 130) /20 + 0.8667604 × (if diabetes) + 0.5360739 × (if current smoker) + 0.6045917 × (min(eGFR, 60) – 60) / -15 + 0.0433769 × (max(eGFR, 60) – 90) / -15 + 0.3151672 × (if using anti hypertensive medication) – 0.1477655 × (if using statin) – 0.0663612 × (if using anti-hypertensive medication) × (max(SBP, 110) – 130) /20 + 0.1197879 × (if using statin) × ((TC – HDL-C) × 0.02586 – 3.5) – 0.0819715 × (age – 55) /10 × ((TC – HDL-C) × 0.02586 – 3.5) + 0.0306769 × (age – 55) /10 × (HDL-C × 0.02586 × 0.02586 – 1.3) /0.3 – 0.0946348 × (age – 55) /10 × (max(SBP, 110) – 130) /20 – 0.27057 × (age – 55) /10 × (if diabetes) – 0.078715 × (age – 55) /10 × (if current smoker) – 0.1637806 × (age – 55) /10 × (min(eGFR, 60) – 60) / -15</w:t>
            </w:r>
          </w:p>
        </w:tc>
      </w:tr>
      <w:tr w14:paraId="6160C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129" w:type="dxa"/>
            <w:vMerge w:val="continue"/>
            <w:vAlign w:val="center"/>
          </w:tcPr>
          <w:p w14:paraId="15C6B8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14:ligatures w14:val="none"/>
              </w:rPr>
            </w:pPr>
          </w:p>
        </w:tc>
        <w:tc>
          <w:tcPr>
            <w:tcW w:w="12099" w:type="dxa"/>
            <w:vAlign w:val="center"/>
          </w:tcPr>
          <w:p w14:paraId="03B211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14:ligatures w14:val="none"/>
              </w:rPr>
            </w:pPr>
            <w:r>
              <w:rPr>
                <w:rFonts w:hint="default" w:ascii="Times New Roman" w:hAnsi="Times New Roman" w:cs="Times New Roman"/>
                <w14:ligatures w14:val="none"/>
              </w:rPr>
              <w:t>Risk= 1 / (1 + exp(-log-Odds))</w:t>
            </w:r>
          </w:p>
        </w:tc>
      </w:tr>
    </w:tbl>
    <w:p w14:paraId="59DBB18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Abbreviations: TC, total cholesterol; HDL-C, high-density lipoprotein cholesterol; SBP, systolic blood pressure; eGFR, estimated glomerular filtration rate.</w:t>
      </w:r>
    </w:p>
    <w:p w14:paraId="450DC23E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br w:type="textWrapping"/>
      </w:r>
    </w:p>
    <w:p w14:paraId="7E819942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highlight w:val="yellow"/>
          <w:lang w:val="en-US" w:eastAsia="zh-CN"/>
        </w:rPr>
        <w:t>Table S3. Collinearity Statistics.</w:t>
      </w:r>
      <w:r>
        <w:rPr>
          <w:rFonts w:hint="default" w:ascii="Times New Roman" w:hAnsi="Times New Roman" w:cs="Times New Roman"/>
          <w:lang w:val="en-US" w:eastAsia="zh-CN"/>
        </w:rPr>
        <w:br w:type="textWrapping"/>
      </w:r>
    </w:p>
    <w:tbl>
      <w:tblPr>
        <w:tblStyle w:val="4"/>
        <w:tblW w:w="0" w:type="auto"/>
        <w:tblInd w:w="99" w:type="dxa"/>
        <w:tblBorders>
          <w:top w:val="single" w:color="auto" w:sz="12" w:space="0"/>
          <w:left w:val="none" w:color="auto" w:sz="6" w:space="0"/>
          <w:bottom w:val="single" w:color="auto" w:sz="12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0"/>
        <w:gridCol w:w="1574"/>
        <w:gridCol w:w="1443"/>
        <w:gridCol w:w="2763"/>
      </w:tblGrid>
      <w:tr w14:paraId="30EB6A56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2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5F1361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157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02D678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VIF</w:t>
            </w:r>
          </w:p>
        </w:tc>
        <w:tc>
          <w:tcPr>
            <w:tcW w:w="1443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46D5B6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Df</w:t>
            </w:r>
          </w:p>
        </w:tc>
        <w:tc>
          <w:tcPr>
            <w:tcW w:w="2763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11E34E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GVIF_1_2D</w:t>
            </w:r>
          </w:p>
        </w:tc>
      </w:tr>
      <w:tr w14:paraId="6D615F0D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02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626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Gender</w:t>
            </w:r>
          </w:p>
        </w:tc>
        <w:tc>
          <w:tcPr>
            <w:tcW w:w="157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C62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2.087</w:t>
            </w:r>
          </w:p>
        </w:tc>
        <w:tc>
          <w:tcPr>
            <w:tcW w:w="144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06B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0D96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1.445</w:t>
            </w:r>
          </w:p>
        </w:tc>
      </w:tr>
      <w:tr w14:paraId="6184F60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734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Age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475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1.259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42B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55A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1.122</w:t>
            </w:r>
          </w:p>
        </w:tc>
      </w:tr>
      <w:tr w14:paraId="1C239EB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8D0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Smoking Status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6A2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1.589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EF1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67E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1.261</w:t>
            </w:r>
          </w:p>
        </w:tc>
      </w:tr>
      <w:tr w14:paraId="7194E2DD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1A3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Drinking Status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43A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1.311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369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6FD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1.145</w:t>
            </w:r>
          </w:p>
        </w:tc>
      </w:tr>
      <w:tr w14:paraId="065B7B11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ED0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Marital Status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AEE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1.067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61B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336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1.033</w:t>
            </w:r>
          </w:p>
        </w:tc>
      </w:tr>
      <w:tr w14:paraId="1C6282F9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1CF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Education Level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68CD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1.381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679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C24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1.084</w:t>
            </w:r>
          </w:p>
        </w:tc>
      </w:tr>
      <w:tr w14:paraId="178DD732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F34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Rural Residence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733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1.178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043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5FA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1.085</w:t>
            </w:r>
          </w:p>
        </w:tc>
      </w:tr>
      <w:tr w14:paraId="09FE85D0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6A4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HbA1c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09D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1.896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66B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861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1.377</w:t>
            </w:r>
          </w:p>
        </w:tc>
      </w:tr>
      <w:tr w14:paraId="5A82E76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63A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Scr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7E53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1.228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F62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179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1.108</w:t>
            </w:r>
          </w:p>
        </w:tc>
      </w:tr>
      <w:tr w14:paraId="17379CB1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E99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FBG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A9C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1.819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853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45B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1.349</w:t>
            </w:r>
          </w:p>
        </w:tc>
      </w:tr>
      <w:tr w14:paraId="675EE18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D7C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Hypertension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A4E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2.137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62C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519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1.462</w:t>
            </w:r>
          </w:p>
        </w:tc>
      </w:tr>
      <w:tr w14:paraId="67DC003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60A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Diabetes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B3C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2.116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E01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8CD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1.454</w:t>
            </w:r>
          </w:p>
        </w:tc>
      </w:tr>
      <w:tr w14:paraId="6A52387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BC0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Kidney Disease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CA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1.025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01F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E4F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1.004</w:t>
            </w:r>
          </w:p>
        </w:tc>
      </w:tr>
      <w:tr w14:paraId="3A5B77E0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86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Liver Disease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699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1.012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F3B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F4DC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1.002</w:t>
            </w:r>
          </w:p>
        </w:tc>
      </w:tr>
      <w:tr w14:paraId="64D6EE1D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79D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Hypertension med history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CFA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2.181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C1C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6C09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1.477</w:t>
            </w:r>
          </w:p>
        </w:tc>
      </w:tr>
      <w:tr w14:paraId="5A0EA03D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1F8C2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Diabetes med history</w:t>
            </w:r>
          </w:p>
        </w:tc>
        <w:tc>
          <w:tcPr>
            <w:tcW w:w="157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BD577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2.097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F347A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7646F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1.203</w:t>
            </w:r>
          </w:p>
        </w:tc>
      </w:tr>
    </w:tbl>
    <w:p w14:paraId="52325FD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textWrapping"/>
      </w:r>
    </w:p>
    <w:p w14:paraId="67EDE04E">
      <w:pPr>
        <w:rPr>
          <w:rFonts w:hint="default" w:ascii="Times New Roman" w:hAnsi="Times New Roman" w:cs="Times New Roman"/>
        </w:rPr>
        <w:sectPr>
          <w:pgSz w:w="16838" w:h="11906" w:orient="landscape"/>
          <w:pgMar w:top="567" w:right="850" w:bottom="567" w:left="85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0B14C99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Table S</w:t>
      </w:r>
      <w:r>
        <w:rPr>
          <w:rFonts w:hint="default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lang w:val="en-US" w:eastAsia="zh-CN"/>
        </w:rPr>
        <w:t>. Association between the</w:t>
      </w:r>
      <w:r>
        <w:rPr>
          <w:rFonts w:hint="default" w:ascii="Times New Roman" w:hAnsi="Times New Roman" w:cs="Times New Roman"/>
          <w:lang w:val="en-US" w:eastAsia="zh-CN"/>
        </w:rPr>
        <w:t xml:space="preserve"> TyG</w:t>
      </w: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 index and </w:t>
      </w:r>
      <w:r>
        <w:rPr>
          <w:rFonts w:hint="default" w:ascii="Times New Roman" w:hAnsi="Times New Roman" w:cs="Times New Roman"/>
          <w:lang w:val="en-US" w:eastAsia="zh-CN"/>
        </w:rPr>
        <w:t>CVD incidence</w:t>
      </w: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 in a population with CKM syndrome stages 0–3.</w:t>
      </w:r>
      <w:r>
        <w:rPr>
          <w:rFonts w:hint="default" w:ascii="Times New Roman" w:hAnsi="Times New Roman" w:cs="Times New Roman" w:eastAsiaTheme="minorEastAsia"/>
          <w:lang w:val="en-US" w:eastAsia="zh-CN"/>
        </w:rPr>
        <w:br w:type="textWrapping"/>
      </w:r>
    </w:p>
    <w:tbl>
      <w:tblPr>
        <w:tblStyle w:val="4"/>
        <w:tblW w:w="14682" w:type="dxa"/>
        <w:tblInd w:w="-1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66"/>
        <w:gridCol w:w="1380"/>
        <w:gridCol w:w="2220"/>
        <w:gridCol w:w="2184"/>
        <w:gridCol w:w="2283"/>
        <w:gridCol w:w="1165"/>
        <w:gridCol w:w="2384"/>
      </w:tblGrid>
      <w:tr w14:paraId="6FC71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66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2A55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TyG</w:t>
            </w:r>
          </w:p>
        </w:tc>
        <w:tc>
          <w:tcPr>
            <w:tcW w:w="9232" w:type="dxa"/>
            <w:gridSpan w:val="5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EAAD2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Quartiles</w:t>
            </w:r>
          </w:p>
        </w:tc>
        <w:tc>
          <w:tcPr>
            <w:tcW w:w="2384" w:type="dxa"/>
            <w:tcBorders>
              <w:top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C9790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Continuous</w:t>
            </w:r>
          </w:p>
        </w:tc>
      </w:tr>
      <w:tr w14:paraId="7F01C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66" w:type="dxa"/>
            <w:vMerge w:val="continue"/>
            <w:tcBorders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D898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B9E92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Quartile 1</w:t>
            </w:r>
          </w:p>
        </w:tc>
        <w:tc>
          <w:tcPr>
            <w:tcW w:w="222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4188E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Quartile 2</w:t>
            </w:r>
          </w:p>
        </w:tc>
        <w:tc>
          <w:tcPr>
            <w:tcW w:w="2184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4AD1C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Quartile 3</w:t>
            </w:r>
          </w:p>
        </w:tc>
        <w:tc>
          <w:tcPr>
            <w:tcW w:w="2283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9E59B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Quartile 4</w:t>
            </w:r>
          </w:p>
        </w:tc>
        <w:tc>
          <w:tcPr>
            <w:tcW w:w="1165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2CD62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P for trend</w:t>
            </w:r>
          </w:p>
        </w:tc>
        <w:tc>
          <w:tcPr>
            <w:tcW w:w="2384" w:type="dxa"/>
            <w:tcBorders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D578D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Per 1 SD increase</w:t>
            </w:r>
          </w:p>
        </w:tc>
      </w:tr>
      <w:tr w14:paraId="09783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CB097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Crude,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6FF8E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783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1.189 (1.030–1.372)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C256D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1.388 (1.207–1.595)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B25C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1.458 (1.270–1.674)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923E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&lt;0.001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5A95F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1.142 (1.092–1.194)</w:t>
            </w:r>
          </w:p>
        </w:tc>
      </w:tr>
      <w:tr w14:paraId="54262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1B77B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Model 1,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F3793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50C9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1.171 (1.014–1.351)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03EE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1.326 (1.153–1.525)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7353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1.433 (1.248–1.647)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015F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&lt;0.0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62C1A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1.141 (1.090–1.194)</w:t>
            </w:r>
          </w:p>
        </w:tc>
      </w:tr>
      <w:tr w14:paraId="64D3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36CC0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Model 2,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009BE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7A1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1.163 (1.007–1.342)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734C2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1.311 (1.140–1.509)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C797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1.409 (1.226–1.619)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E129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&lt;0.001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5C39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1.136 (1.085–1.189)</w:t>
            </w:r>
          </w:p>
        </w:tc>
      </w:tr>
      <w:tr w14:paraId="0C293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54B83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Model 3, HR (95% CI)</w:t>
            </w:r>
          </w:p>
        </w:tc>
        <w:tc>
          <w:tcPr>
            <w:tcW w:w="1380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73582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Reference</w:t>
            </w:r>
          </w:p>
        </w:tc>
        <w:tc>
          <w:tcPr>
            <w:tcW w:w="2220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BB0DC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1.097 (0.948–1.268)</w:t>
            </w:r>
          </w:p>
        </w:tc>
        <w:tc>
          <w:tcPr>
            <w:tcW w:w="2184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DDDA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1.164 (1.004–1.351)</w:t>
            </w:r>
          </w:p>
        </w:tc>
        <w:tc>
          <w:tcPr>
            <w:tcW w:w="2283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13F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1.086 (0.915–1.289)</w:t>
            </w:r>
          </w:p>
        </w:tc>
        <w:tc>
          <w:tcPr>
            <w:tcW w:w="1165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42CD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0.242</w:t>
            </w:r>
          </w:p>
        </w:tc>
        <w:tc>
          <w:tcPr>
            <w:tcW w:w="2384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18ED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1.023 (0.957–1.094)</w:t>
            </w:r>
          </w:p>
        </w:tc>
      </w:tr>
    </w:tbl>
    <w:p w14:paraId="32B65F67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Crude: No covariates were adjusted. Model 1, adjusted for age and gender; Model 2, adjusted for age, gender, smoking status, drinking status, education level, residence, marital status; Model 3, adjusted for age, gender, smoking status, drinking status, education level, residence, marital status, dyslipidemia, hypertension, diabetes, kidney disease, liver disease, Scr, HbA1c, CI, confidence interval; SD, standard deviation. </w:t>
      </w:r>
    </w:p>
    <w:p w14:paraId="71D01DDD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br w:type="textWrapping"/>
      </w:r>
    </w:p>
    <w:p w14:paraId="266859F1">
      <w:pPr>
        <w:rPr>
          <w:rFonts w:hint="default" w:ascii="Times New Roman" w:hAnsi="Times New Roman" w:cs="Times New Roman" w:eastAsiaTheme="minorEastAsia"/>
          <w:lang w:eastAsia="zh-CN"/>
        </w:rPr>
        <w:sectPr>
          <w:pgSz w:w="16838" w:h="11906" w:orient="landscape"/>
          <w:pgMar w:top="1800" w:right="1440" w:bottom="1800" w:left="144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19C34B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Table S</w:t>
      </w:r>
      <w:r>
        <w:rPr>
          <w:rFonts w:hint="default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Association between the </w:t>
      </w:r>
      <w:r>
        <w:rPr>
          <w:rFonts w:hint="default" w:ascii="Times New Roman" w:hAnsi="Times New Roman" w:cs="Times New Roman"/>
          <w:lang w:val="en-US" w:eastAsia="zh-CN"/>
        </w:rPr>
        <w:t xml:space="preserve">CMI </w:t>
      </w:r>
      <w:r>
        <w:rPr>
          <w:rFonts w:hint="default" w:ascii="Times New Roman" w:hAnsi="Times New Roman" w:cs="Times New Roman"/>
          <w:lang w:val="en-US" w:eastAsia="zh-CN"/>
        </w:rPr>
        <w:t>and stroke or heart disease incidence in a population with CKM syndrome stages 0–3.</w:t>
      </w:r>
      <w:r>
        <w:rPr>
          <w:rFonts w:hint="default" w:ascii="Times New Roman" w:hAnsi="Times New Roman" w:cs="Times New Roman"/>
          <w:lang w:val="en-US" w:eastAsia="zh-CN"/>
        </w:rPr>
        <w:br w:type="textWrapping"/>
      </w:r>
    </w:p>
    <w:tbl>
      <w:tblPr>
        <w:tblStyle w:val="4"/>
        <w:tblW w:w="14682" w:type="dxa"/>
        <w:tblInd w:w="-1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66"/>
        <w:gridCol w:w="1380"/>
        <w:gridCol w:w="2220"/>
        <w:gridCol w:w="2184"/>
        <w:gridCol w:w="2283"/>
        <w:gridCol w:w="1165"/>
        <w:gridCol w:w="2384"/>
      </w:tblGrid>
      <w:tr w14:paraId="1A72C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66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BD17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Stroke incidence</w:t>
            </w:r>
          </w:p>
        </w:tc>
        <w:tc>
          <w:tcPr>
            <w:tcW w:w="9232" w:type="dxa"/>
            <w:gridSpan w:val="5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3FE75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Quartiles</w:t>
            </w:r>
          </w:p>
        </w:tc>
        <w:tc>
          <w:tcPr>
            <w:tcW w:w="2384" w:type="dxa"/>
            <w:tcBorders>
              <w:top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75FB4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Continuous</w:t>
            </w:r>
          </w:p>
        </w:tc>
      </w:tr>
      <w:tr w14:paraId="29DFD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66" w:type="dxa"/>
            <w:vMerge w:val="continue"/>
            <w:tcBorders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092BF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42A4B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1</w:t>
            </w:r>
          </w:p>
        </w:tc>
        <w:tc>
          <w:tcPr>
            <w:tcW w:w="222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434C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2</w:t>
            </w:r>
          </w:p>
        </w:tc>
        <w:tc>
          <w:tcPr>
            <w:tcW w:w="2184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D07D5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3</w:t>
            </w:r>
          </w:p>
        </w:tc>
        <w:tc>
          <w:tcPr>
            <w:tcW w:w="2283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22FA5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4</w:t>
            </w:r>
          </w:p>
        </w:tc>
        <w:tc>
          <w:tcPr>
            <w:tcW w:w="1165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E82F4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for trend</w:t>
            </w:r>
          </w:p>
        </w:tc>
        <w:tc>
          <w:tcPr>
            <w:tcW w:w="2384" w:type="dxa"/>
            <w:tcBorders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46D54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Per 1 SD increase</w:t>
            </w:r>
          </w:p>
        </w:tc>
      </w:tr>
      <w:tr w14:paraId="6BCFC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1D9BD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Crude,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3604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4151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1.312 (1.042–1.652)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88F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1.599 (1.281–1.997)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8E1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1.885 (1.520–2.338)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FD9A6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4DE8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1.209 (1.136–1.286)</w:t>
            </w:r>
          </w:p>
        </w:tc>
      </w:tr>
      <w:tr w14:paraId="1E6F3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34905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Model 1,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567B4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7A53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1.319 (1.047–1.661)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5773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1.601 (1.281–2.001)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9D49B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1.923 (1.548–2.388)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FDD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71C11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1.215 (1.142–1.293)</w:t>
            </w:r>
          </w:p>
        </w:tc>
      </w:tr>
      <w:tr w14:paraId="60005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6FC0C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Model 2,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FA534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061B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1.321 (1.048–1.664)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0362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1.602 (1.280–2.003)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AA20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1.923 (1.546–2.392)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F6B2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&lt;0.0001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B91D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1.215 (1.141–1.293)</w:t>
            </w:r>
          </w:p>
        </w:tc>
      </w:tr>
      <w:tr w14:paraId="149C8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ABAE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Model 3,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5821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9070D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1.280 (1.016–1.614)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DB67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1.424 (1.136–1.784)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6ED9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1.623 (1.298–2.028)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9EC1A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&lt;0.0001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7D70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1.151 (1.079–1.229)</w:t>
            </w:r>
          </w:p>
        </w:tc>
      </w:tr>
      <w:tr w14:paraId="4707A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4" w:hRule="atLeast"/>
        </w:trPr>
        <w:tc>
          <w:tcPr>
            <w:tcW w:w="3066" w:type="dxa"/>
            <w:vMerge w:val="restart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C0A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Heart disease incidence</w:t>
            </w:r>
          </w:p>
        </w:tc>
        <w:tc>
          <w:tcPr>
            <w:tcW w:w="9232" w:type="dxa"/>
            <w:gridSpan w:val="5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DF8B4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Quartiles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31A24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Continuous</w:t>
            </w:r>
          </w:p>
        </w:tc>
      </w:tr>
      <w:tr w14:paraId="64A0B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vMerge w:val="continue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BB666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71A1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Quartile 1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F82EC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Quartile 2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E0B5C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Quartile 3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3028A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Quartile 4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685A6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P for trend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044E6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Per 1 SD increase</w:t>
            </w:r>
          </w:p>
        </w:tc>
      </w:tr>
      <w:tr w14:paraId="20DDA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9BC7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Crude,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BA980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E599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1.227 (1.020–1.475)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0A296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1.454 (1.217–1.738)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7AA6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1.462 (1.224–1.746)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ACD5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&lt;0.0001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A846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1.117 (1.058–1.180)</w:t>
            </w:r>
          </w:p>
        </w:tc>
      </w:tr>
      <w:tr w14:paraId="6F32F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AB840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Model 1,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D55B8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E7B1D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1.197 (0.995–1.440)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D71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1.387 (1.159–1.659)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A95F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1.402 (1.173–1.676)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59AD9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&lt;0.0001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1944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1.105 (1.045–1.167)</w:t>
            </w:r>
          </w:p>
        </w:tc>
      </w:tr>
      <w:tr w14:paraId="0BBC9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DFD3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Model 2,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BBF8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F80C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1.184 (0.984–1.424)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51EB8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1.359 (1.136–1.626)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A71BA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1.358 (1.135–1.625)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04AA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&lt;0.0001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39FDF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1.092 (1.033–1.155)</w:t>
            </w:r>
          </w:p>
        </w:tc>
      </w:tr>
      <w:tr w14:paraId="057BB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1328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Model 3, HR (95% CI)</w:t>
            </w:r>
          </w:p>
        </w:tc>
        <w:tc>
          <w:tcPr>
            <w:tcW w:w="1380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E932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Reference</w:t>
            </w:r>
          </w:p>
        </w:tc>
        <w:tc>
          <w:tcPr>
            <w:tcW w:w="2220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16AA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1.163 (0.966–1.399)</w:t>
            </w:r>
          </w:p>
        </w:tc>
        <w:tc>
          <w:tcPr>
            <w:tcW w:w="2184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E546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1.277 (1.065–1.530)</w:t>
            </w:r>
          </w:p>
        </w:tc>
        <w:tc>
          <w:tcPr>
            <w:tcW w:w="2283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76D2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1.246 (1.037–1.498)</w:t>
            </w:r>
          </w:p>
        </w:tc>
        <w:tc>
          <w:tcPr>
            <w:tcW w:w="1165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59B80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0.0139</w:t>
            </w:r>
          </w:p>
        </w:tc>
        <w:tc>
          <w:tcPr>
            <w:tcW w:w="2384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0ED8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1.058 (0.998–1.121)</w:t>
            </w:r>
          </w:p>
        </w:tc>
      </w:tr>
    </w:tbl>
    <w:p w14:paraId="7402F137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lang w:val="en-US" w:eastAsia="zh-CN"/>
        </w:rPr>
        <w:t xml:space="preserve">Crude: No covariates were adjusted. Model 1, adjusted for age and gender; Model 2, adjusted for age, gender, smoking status, drinking status, education level, residence, marital status; Model 3, adjusted for age, gender, smoking status, drinking status, education level, residence, marital status, hypertension, diabetes, kidney disease, liver disease, Scr, HbA1c, FBG; CMI, cardiometabolic index; CMI, Cardiometabolic Index; CVD, Cardiovascular Disease; CI, confidence interval; SD, standard deviation. </w:t>
      </w:r>
      <w:r>
        <w:rPr>
          <w:rFonts w:hint="default" w:ascii="Times New Roman" w:hAnsi="Times New Roman" w:cs="Times New Roman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lang w:val="en-US" w:eastAsia="zh-CN"/>
        </w:rPr>
        <w:br w:type="textWrapping"/>
      </w:r>
    </w:p>
    <w:p w14:paraId="50281F1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textWrapping"/>
      </w:r>
    </w:p>
    <w:p w14:paraId="791D6C82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default" w:ascii="Times New Roman" w:hAnsi="Times New Roman" w:cs="Times New Roman"/>
          <w:lang w:val="en-US" w:eastAsia="zh-CN"/>
        </w:rPr>
        <w:t>6.</w:t>
      </w:r>
      <w:r>
        <w:rPr>
          <w:rFonts w:hint="default" w:ascii="Times New Roman" w:hAnsi="Times New Roman" w:cs="Times New Roman"/>
          <w:lang w:val="en-US" w:eastAsia="zh-CN"/>
        </w:rPr>
        <w:t xml:space="preserve"> Association between the</w:t>
      </w:r>
      <w:r>
        <w:rPr>
          <w:rFonts w:hint="default" w:ascii="Times New Roman" w:hAnsi="Times New Roman" w:cs="Times New Roman"/>
          <w:lang w:val="en-US" w:eastAsia="zh-CN"/>
        </w:rPr>
        <w:t xml:space="preserve"> CMI </w:t>
      </w:r>
      <w:r>
        <w:rPr>
          <w:rFonts w:hint="default" w:ascii="Times New Roman" w:hAnsi="Times New Roman" w:cs="Times New Roman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lang w:val="en-US" w:eastAsia="zh-CN"/>
        </w:rPr>
        <w:t>CVD incidence</w:t>
      </w:r>
      <w:r>
        <w:rPr>
          <w:rFonts w:hint="default" w:ascii="Times New Roman" w:hAnsi="Times New Roman" w:cs="Times New Roman"/>
          <w:lang w:val="en-US" w:eastAsia="zh-CN"/>
        </w:rPr>
        <w:t xml:space="preserve"> after excluding individuals with any missing value</w:t>
      </w:r>
      <w:r>
        <w:rPr>
          <w:rFonts w:hint="default" w:ascii="Times New Roman" w:hAnsi="Times New Roman" w:cs="Times New Roman"/>
          <w:lang w:val="en-US" w:eastAsia="zh-CN"/>
        </w:rPr>
        <w:t xml:space="preserve"> in a population with CKM syndrome stages 0–3.</w:t>
      </w:r>
      <w:r>
        <w:rPr>
          <w:rFonts w:hint="default" w:ascii="Times New Roman" w:hAnsi="Times New Roman" w:cs="Times New Roman"/>
          <w:lang w:val="en-US" w:eastAsia="zh-CN"/>
        </w:rPr>
        <w:br w:type="textWrapping"/>
      </w:r>
    </w:p>
    <w:tbl>
      <w:tblPr>
        <w:tblStyle w:val="4"/>
        <w:tblW w:w="14682" w:type="dxa"/>
        <w:tblInd w:w="-1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66"/>
        <w:gridCol w:w="1380"/>
        <w:gridCol w:w="2220"/>
        <w:gridCol w:w="2184"/>
        <w:gridCol w:w="2283"/>
        <w:gridCol w:w="1165"/>
        <w:gridCol w:w="2384"/>
      </w:tblGrid>
      <w:tr w14:paraId="18641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66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86F9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CMI</w:t>
            </w:r>
          </w:p>
        </w:tc>
        <w:tc>
          <w:tcPr>
            <w:tcW w:w="9232" w:type="dxa"/>
            <w:gridSpan w:val="5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3AF01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Quartiles</w:t>
            </w:r>
          </w:p>
        </w:tc>
        <w:tc>
          <w:tcPr>
            <w:tcW w:w="2384" w:type="dxa"/>
            <w:tcBorders>
              <w:top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B8ADC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Continuous</w:t>
            </w:r>
          </w:p>
        </w:tc>
      </w:tr>
      <w:tr w14:paraId="0689E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66" w:type="dxa"/>
            <w:vMerge w:val="continue"/>
            <w:tcBorders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5603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19E4D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1</w:t>
            </w:r>
          </w:p>
        </w:tc>
        <w:tc>
          <w:tcPr>
            <w:tcW w:w="222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9515B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2</w:t>
            </w:r>
          </w:p>
        </w:tc>
        <w:tc>
          <w:tcPr>
            <w:tcW w:w="2184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1348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3</w:t>
            </w:r>
          </w:p>
        </w:tc>
        <w:tc>
          <w:tcPr>
            <w:tcW w:w="2283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F87D0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4</w:t>
            </w:r>
          </w:p>
        </w:tc>
        <w:tc>
          <w:tcPr>
            <w:tcW w:w="1165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5FBC0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for trend</w:t>
            </w:r>
          </w:p>
        </w:tc>
        <w:tc>
          <w:tcPr>
            <w:tcW w:w="2384" w:type="dxa"/>
            <w:tcBorders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8FCB2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Per 1 SD increase</w:t>
            </w:r>
          </w:p>
        </w:tc>
      </w:tr>
      <w:tr w14:paraId="39145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16011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Crude, HR (95% CI)</w:t>
            </w:r>
          </w:p>
        </w:tc>
        <w:tc>
          <w:tcPr>
            <w:tcW w:w="1380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83F6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764A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1.260 (1.084–1.464)</w:t>
            </w:r>
          </w:p>
        </w:tc>
        <w:tc>
          <w:tcPr>
            <w:tcW w:w="2184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FC5BC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1.478 (1.277–1.710)</w:t>
            </w:r>
          </w:p>
        </w:tc>
        <w:tc>
          <w:tcPr>
            <w:tcW w:w="2283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01639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1.575 (1.364–1.819)</w:t>
            </w:r>
          </w:p>
        </w:tc>
        <w:tc>
          <w:tcPr>
            <w:tcW w:w="1165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32988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＜0.0001</w:t>
            </w:r>
          </w:p>
        </w:tc>
        <w:tc>
          <w:tcPr>
            <w:tcW w:w="2384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8FD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1.137 (1.088–1.188)</w:t>
            </w:r>
          </w:p>
        </w:tc>
      </w:tr>
      <w:tr w14:paraId="51A50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D2154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Model 1, HR (95% CI)</w:t>
            </w:r>
          </w:p>
        </w:tc>
        <w:tc>
          <w:tcPr>
            <w:tcW w:w="1380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DBCD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7E9C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1.247 (1.072–1.449)</w:t>
            </w:r>
          </w:p>
        </w:tc>
        <w:tc>
          <w:tcPr>
            <w:tcW w:w="2184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41E4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1.440 (1.244–1.667)</w:t>
            </w:r>
          </w:p>
        </w:tc>
        <w:tc>
          <w:tcPr>
            <w:tcW w:w="2283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1CB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1.549 (1.340–1.791)</w:t>
            </w:r>
          </w:p>
        </w:tc>
        <w:tc>
          <w:tcPr>
            <w:tcW w:w="1165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73ED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＜0.0001</w:t>
            </w:r>
          </w:p>
        </w:tc>
        <w:tc>
          <w:tcPr>
            <w:tcW w:w="2384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CA92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1.132 (1.083–1.183)</w:t>
            </w:r>
          </w:p>
        </w:tc>
      </w:tr>
      <w:tr w14:paraId="63501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8BAB3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Model 2, HR (95% CI)</w:t>
            </w:r>
          </w:p>
        </w:tc>
        <w:tc>
          <w:tcPr>
            <w:tcW w:w="1380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B42D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339F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1.237 (1.064–1.438)</w:t>
            </w:r>
          </w:p>
        </w:tc>
        <w:tc>
          <w:tcPr>
            <w:tcW w:w="2184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C3F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1.421 (1.227–1.646)</w:t>
            </w:r>
          </w:p>
        </w:tc>
        <w:tc>
          <w:tcPr>
            <w:tcW w:w="2283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BD24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1.516 (1.311–1.754)</w:t>
            </w:r>
          </w:p>
        </w:tc>
        <w:tc>
          <w:tcPr>
            <w:tcW w:w="1165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E54DE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＜0.0001</w:t>
            </w:r>
          </w:p>
        </w:tc>
        <w:tc>
          <w:tcPr>
            <w:tcW w:w="2384" w:type="dxa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07DE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1.124 (1.074–1.175)</w:t>
            </w:r>
          </w:p>
        </w:tc>
      </w:tr>
      <w:tr w14:paraId="52581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9575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Model 3, HR (95% CI)</w:t>
            </w:r>
          </w:p>
        </w:tc>
        <w:tc>
          <w:tcPr>
            <w:tcW w:w="1380" w:type="dxa"/>
            <w:tcBorders>
              <w:bottom w:val="single" w:color="auto" w:sz="12" w:space="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D97FF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Reference</w:t>
            </w:r>
          </w:p>
        </w:tc>
        <w:tc>
          <w:tcPr>
            <w:tcW w:w="2220" w:type="dxa"/>
            <w:tcBorders>
              <w:bottom w:val="single" w:color="auto" w:sz="12" w:space="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7C3D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1.205 (1.036–1.401)</w:t>
            </w:r>
          </w:p>
        </w:tc>
        <w:tc>
          <w:tcPr>
            <w:tcW w:w="2184" w:type="dxa"/>
            <w:tcBorders>
              <w:bottom w:val="single" w:color="auto" w:sz="12" w:space="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5C0A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1.312 (1.132–1.521)</w:t>
            </w:r>
          </w:p>
        </w:tc>
        <w:tc>
          <w:tcPr>
            <w:tcW w:w="2283" w:type="dxa"/>
            <w:tcBorders>
              <w:bottom w:val="single" w:color="auto" w:sz="12" w:space="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FEDBB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1.352 (1.166–1.569)</w:t>
            </w:r>
          </w:p>
        </w:tc>
        <w:tc>
          <w:tcPr>
            <w:tcW w:w="1165" w:type="dxa"/>
            <w:tcBorders>
              <w:bottom w:val="single" w:color="auto" w:sz="12" w:space="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CC94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0.0001</w:t>
            </w:r>
          </w:p>
        </w:tc>
        <w:tc>
          <w:tcPr>
            <w:tcW w:w="2384" w:type="dxa"/>
            <w:tcBorders>
              <w:bottom w:val="single" w:color="auto" w:sz="12" w:space="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C5FC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1.081 (1.032–1.132)</w:t>
            </w:r>
          </w:p>
        </w:tc>
      </w:tr>
    </w:tbl>
    <w:p w14:paraId="22F57CD7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Crude: No covariates were adjusted. Model 1, adjusted for age and gender; Model 2, adjusted for age, gender, smoking status, drinking status, education level, residence, marital status; Model 3, adjusted for age, gender, smoking status, drinking status, education level, residence, marital status, hypertension, diabetes, kidney disease, liver disease, Scr, HbA1c, FBG; CMI, cardiometabolic index; CMI, Cardiometabolic Index; CVD, Cardiovascular Disease; CI, confidence interval; SD, standard deviation. </w:t>
      </w:r>
      <w:r>
        <w:rPr>
          <w:rFonts w:hint="default" w:ascii="Times New Roman" w:hAnsi="Times New Roman" w:cs="Times New Roman"/>
        </w:rPr>
        <w:br w:type="textWrapping"/>
      </w:r>
    </w:p>
    <w:p w14:paraId="3E395272">
      <w:pPr>
        <w:rPr>
          <w:rFonts w:hint="default" w:ascii="Times New Roman" w:hAnsi="Times New Roman" w:cs="Times New Roman"/>
        </w:rPr>
        <w:sectPr>
          <w:pgSz w:w="16838" w:h="11906" w:orient="landscape"/>
          <w:pgMar w:top="1800" w:right="1440" w:bottom="1800" w:left="144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5C5D74C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default" w:ascii="Times New Roman" w:hAnsi="Times New Roman" w:cs="Times New Roman"/>
          <w:lang w:val="en-US" w:eastAsia="zh-CN"/>
        </w:rPr>
        <w:t>7.</w:t>
      </w:r>
      <w:r>
        <w:rPr>
          <w:rFonts w:hint="default" w:ascii="Times New Roman" w:hAnsi="Times New Roman" w:cs="Times New Roman"/>
          <w:lang w:val="en-US" w:eastAsia="zh-CN"/>
        </w:rPr>
        <w:t xml:space="preserve"> Association between the</w:t>
      </w:r>
      <w:r>
        <w:rPr>
          <w:rFonts w:hint="default" w:ascii="Times New Roman" w:hAnsi="Times New Roman" w:cs="Times New Roman"/>
          <w:lang w:val="en-US" w:eastAsia="zh-CN"/>
        </w:rPr>
        <w:t xml:space="preserve"> CMI </w:t>
      </w:r>
      <w:r>
        <w:rPr>
          <w:rFonts w:hint="default" w:ascii="Times New Roman" w:hAnsi="Times New Roman" w:cs="Times New Roman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lang w:val="en-US" w:eastAsia="zh-CN"/>
        </w:rPr>
        <w:t>CVD incidence</w:t>
      </w:r>
      <w:r>
        <w:rPr>
          <w:rFonts w:hint="default" w:ascii="Times New Roman" w:hAnsi="Times New Roman" w:cs="Times New Roman"/>
          <w:lang w:val="en-US" w:eastAsia="zh-CN"/>
        </w:rPr>
        <w:t xml:space="preserve"> in a population with CKM syndrome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stages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–3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br w:type="textWrapping"/>
      </w:r>
    </w:p>
    <w:tbl>
      <w:tblPr>
        <w:tblStyle w:val="4"/>
        <w:tblW w:w="14682" w:type="dxa"/>
        <w:tblInd w:w="-1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66"/>
        <w:gridCol w:w="1380"/>
        <w:gridCol w:w="2220"/>
        <w:gridCol w:w="2184"/>
        <w:gridCol w:w="2283"/>
        <w:gridCol w:w="1165"/>
        <w:gridCol w:w="2384"/>
      </w:tblGrid>
      <w:tr w14:paraId="723B8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66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863C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CMI</w:t>
            </w:r>
          </w:p>
        </w:tc>
        <w:tc>
          <w:tcPr>
            <w:tcW w:w="9232" w:type="dxa"/>
            <w:gridSpan w:val="5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A5A11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Quartiles</w:t>
            </w:r>
          </w:p>
        </w:tc>
        <w:tc>
          <w:tcPr>
            <w:tcW w:w="2384" w:type="dxa"/>
            <w:tcBorders>
              <w:top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14383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Continuous</w:t>
            </w:r>
          </w:p>
        </w:tc>
      </w:tr>
      <w:tr w14:paraId="51D9D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66" w:type="dxa"/>
            <w:vMerge w:val="continue"/>
            <w:tcBorders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AEC04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C3BE0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1</w:t>
            </w:r>
          </w:p>
        </w:tc>
        <w:tc>
          <w:tcPr>
            <w:tcW w:w="222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4A14DD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2</w:t>
            </w:r>
          </w:p>
        </w:tc>
        <w:tc>
          <w:tcPr>
            <w:tcW w:w="2184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22E148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3</w:t>
            </w:r>
          </w:p>
        </w:tc>
        <w:tc>
          <w:tcPr>
            <w:tcW w:w="2283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4EF41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Quartile 4</w:t>
            </w:r>
          </w:p>
        </w:tc>
        <w:tc>
          <w:tcPr>
            <w:tcW w:w="1165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62CB90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for trend</w:t>
            </w:r>
          </w:p>
        </w:tc>
        <w:tc>
          <w:tcPr>
            <w:tcW w:w="2384" w:type="dxa"/>
            <w:tcBorders>
              <w:bottom w:val="single" w:color="auto" w:sz="8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EA2DF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Per 1 SD increase</w:t>
            </w:r>
          </w:p>
        </w:tc>
      </w:tr>
      <w:tr w14:paraId="67873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3FFF6A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Crude,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D1026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FBCD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1.241 (1.059–1.454)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005B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1.403 (1.204–1.635)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221B1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1.467 (1.262–1.705)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669DA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＜0.0001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BFCE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1.111 (1.062–1.162)</w:t>
            </w:r>
          </w:p>
        </w:tc>
      </w:tr>
      <w:tr w14:paraId="57897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5882B3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Model 1,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0227B1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7829C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1.237 (1.055–1.449)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23C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1.384 (1.187–1.614)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2829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1.467 (1.261–1.706)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88A72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＜0.0001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62377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1.111 (1.061–1.163)</w:t>
            </w:r>
          </w:p>
        </w:tc>
      </w:tr>
      <w:tr w14:paraId="57477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1CB42C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Model 2, HR (95% CI)</w:t>
            </w:r>
          </w:p>
        </w:tc>
        <w:tc>
          <w:tcPr>
            <w:tcW w:w="138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top"/>
          </w:tcPr>
          <w:p w14:paraId="7C1A95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Reference</w:t>
            </w:r>
          </w:p>
        </w:tc>
        <w:tc>
          <w:tcPr>
            <w:tcW w:w="222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30A3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1.229 (1.048–1.441)</w:t>
            </w:r>
          </w:p>
        </w:tc>
        <w:tc>
          <w:tcPr>
            <w:tcW w:w="21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FB70A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1.367 (1.172–1.595)</w:t>
            </w:r>
          </w:p>
        </w:tc>
        <w:tc>
          <w:tcPr>
            <w:tcW w:w="2283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F1C2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1.437 (1.235–1.673)</w:t>
            </w:r>
          </w:p>
        </w:tc>
        <w:tc>
          <w:tcPr>
            <w:tcW w:w="116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275B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＜0.0001</w:t>
            </w:r>
          </w:p>
        </w:tc>
        <w:tc>
          <w:tcPr>
            <w:tcW w:w="2384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2CEF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1.103 (1.053–1.154)</w:t>
            </w:r>
          </w:p>
        </w:tc>
      </w:tr>
      <w:tr w14:paraId="7CF94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66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C2F1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Model 3, HR (95% CI)</w:t>
            </w:r>
          </w:p>
        </w:tc>
        <w:tc>
          <w:tcPr>
            <w:tcW w:w="1380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27936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Reference</w:t>
            </w:r>
          </w:p>
        </w:tc>
        <w:tc>
          <w:tcPr>
            <w:tcW w:w="2220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C6BC1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1.214 (1.035–1.423)</w:t>
            </w:r>
          </w:p>
        </w:tc>
        <w:tc>
          <w:tcPr>
            <w:tcW w:w="2184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2A811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1.289 (1.104–1.505)</w:t>
            </w:r>
          </w:p>
        </w:tc>
        <w:tc>
          <w:tcPr>
            <w:tcW w:w="2283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654B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1.327 (1.138–1.548)</w:t>
            </w:r>
          </w:p>
        </w:tc>
        <w:tc>
          <w:tcPr>
            <w:tcW w:w="1165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770D2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0.000412</w:t>
            </w:r>
          </w:p>
        </w:tc>
        <w:tc>
          <w:tcPr>
            <w:tcW w:w="2384" w:type="dxa"/>
            <w:tcBorders>
              <w:bottom w:val="single" w:color="auto" w:sz="12" w:space="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DDEB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1.072 (1.023–1.124)</w:t>
            </w:r>
          </w:p>
        </w:tc>
      </w:tr>
    </w:tbl>
    <w:p w14:paraId="048B8F4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Crude: No covariates were adjusted. Model 1, adjusted for age and gender; Model 2, adjusted for age, gender, smoking status, drinking status, education level, residence, marital status; Model 3, adjusted for age, gender, smoking status, drinking status, education level, residence, marital status, hypertension, diabetes, kidney disease, liver disease, Scr, HbA1c, FBG; CMI, cardiometabolic index; CMI, Cardiometabolic Index; CVD, Cardiovascular Disease; CI, confidence interval; SD, standard deviation. </w:t>
      </w:r>
      <w:r>
        <w:rPr>
          <w:rFonts w:hint="default" w:ascii="Times New Roman" w:hAnsi="Times New Roman" w:cs="Times New Roman"/>
        </w:rPr>
        <w:br w:type="textWrapping"/>
      </w:r>
    </w:p>
    <w:p w14:paraId="661E4FE4">
      <w:pPr>
        <w:rPr>
          <w:rFonts w:hint="default" w:ascii="Times New Roman" w:hAnsi="Times New Roman" w:cs="Times New Roman"/>
        </w:rPr>
        <w:sectPr>
          <w:pgSz w:w="16838" w:h="11906" w:orient="landscape"/>
          <w:pgMar w:top="1800" w:right="1440" w:bottom="1800" w:left="144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8F314D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highlight w:val="yellow"/>
        </w:rPr>
        <w:t>Table S8 D</w:t>
      </w:r>
      <w:bookmarkStart w:id="0" w:name="_GoBack"/>
      <w:bookmarkEnd w:id="0"/>
      <w:r>
        <w:rPr>
          <w:rFonts w:hint="default" w:ascii="Times New Roman" w:hAnsi="Times New Roman" w:cs="Times New Roman"/>
          <w:highlight w:val="yellow"/>
        </w:rPr>
        <w:t>etailed parameters and results of multiple imputation for missing data</w:t>
      </w:r>
      <w:r>
        <w:rPr>
          <w:rFonts w:hint="default" w:ascii="Times New Roman" w:hAnsi="Times New Roman" w:cs="Times New Roman"/>
          <w:highlight w:val="yellow"/>
          <w:lang w:val="en-US" w:eastAsia="zh-CN"/>
        </w:rPr>
        <w:t>.</w:t>
      </w:r>
      <w:r>
        <w:rPr>
          <w:rFonts w:hint="default" w:ascii="Times New Roman" w:hAnsi="Times New Roman" w:cs="Times New Roman"/>
        </w:rPr>
        <w:br w:type="textWrapping"/>
      </w:r>
    </w:p>
    <w:tbl>
      <w:tblPr>
        <w:tblStyle w:val="4"/>
        <w:tblW w:w="15511" w:type="dxa"/>
        <w:tblInd w:w="-4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66"/>
        <w:gridCol w:w="5345"/>
        <w:gridCol w:w="3584"/>
        <w:gridCol w:w="3416"/>
      </w:tblGrid>
      <w:tr w14:paraId="15078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4" w:hRule="atLeast"/>
        </w:trPr>
        <w:tc>
          <w:tcPr>
            <w:tcW w:w="316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ADE9A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Variable Category</w:t>
            </w:r>
          </w:p>
        </w:tc>
        <w:tc>
          <w:tcPr>
            <w:tcW w:w="534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046E9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Specific Variables</w:t>
            </w:r>
          </w:p>
        </w:tc>
        <w:tc>
          <w:tcPr>
            <w:tcW w:w="358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6C7A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Imputation Method</w:t>
            </w:r>
          </w:p>
        </w:tc>
        <w:tc>
          <w:tcPr>
            <w:tcW w:w="341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C6470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Number of Missing Values (N, %)</w:t>
            </w:r>
          </w:p>
        </w:tc>
      </w:tr>
      <w:tr w14:paraId="5E1EB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8" w:hRule="atLeast"/>
        </w:trPr>
        <w:tc>
          <w:tcPr>
            <w:tcW w:w="316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F3CC4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Continuous variables</w:t>
            </w:r>
          </w:p>
        </w:tc>
        <w:tc>
          <w:tcPr>
            <w:tcW w:w="534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D268A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Diastolic blood pressure (DBP); Fasting blood glucose (FBG); Low-density lipoprotein cholesterol (LDL-c)</w:t>
            </w:r>
          </w:p>
        </w:tc>
        <w:tc>
          <w:tcPr>
            <w:tcW w:w="358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A42B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Predictive Mean Matching (PMM)</w:t>
            </w:r>
          </w:p>
        </w:tc>
        <w:tc>
          <w:tcPr>
            <w:tcW w:w="341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F38DF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1 (0.01%); 1 (0.01%); 1 (0.01%)</w:t>
            </w:r>
          </w:p>
        </w:tc>
      </w:tr>
      <w:tr w14:paraId="2D2F2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4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DE477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Dichotomous categorical variables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6027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Kidney disease; Liver disease</w:t>
            </w:r>
          </w:p>
        </w:tc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81C47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Binary logistic regression (logreg)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25006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13 (0.19%); 10 (0.14%)</w:t>
            </w:r>
          </w:p>
        </w:tc>
      </w:tr>
      <w:tr w14:paraId="43DD5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7" w:hRule="atLeast"/>
        </w:trPr>
        <w:tc>
          <w:tcPr>
            <w:tcW w:w="31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D4904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Ordinal categorical variables</w:t>
            </w:r>
          </w:p>
        </w:tc>
        <w:tc>
          <w:tcPr>
            <w:tcW w:w="534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55E13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Nonoe</w:t>
            </w:r>
          </w:p>
        </w:tc>
        <w:tc>
          <w:tcPr>
            <w:tcW w:w="35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1D6A1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Polytomous logistic regression (polyreg)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0AD9A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 w:eastAsia="zh-CN"/>
              </w:rPr>
              <w:t>0 (0%)</w:t>
            </w:r>
          </w:p>
        </w:tc>
      </w:tr>
    </w:tbl>
    <w:p w14:paraId="6491E9C3">
      <w:pPr>
        <w:rPr>
          <w:rFonts w:hint="default" w:ascii="Times New Roman" w:hAnsi="Times New Roman" w:cs="Times New Roman"/>
        </w:rPr>
      </w:pPr>
    </w:p>
    <w:p w14:paraId="1A2C96CA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Note: Multiple imputation was performed under the MICE framework using R software (version 4.4.1), with 5 imputed datasets (m=5), 20 iterations (maxit=20), and a fixed random seed (seed=1234). All imputed datasets were verified to be free of missing values after the procedure. Final statistical analyses were conducted by pooling results from the 5 imputed datasets in accordance with Rubin’s rules.</w:t>
      </w: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693733"/>
    <w:rsid w:val="04825165"/>
    <w:rsid w:val="32402952"/>
    <w:rsid w:val="346A53A7"/>
    <w:rsid w:val="3D997114"/>
    <w:rsid w:val="3E636D6A"/>
    <w:rsid w:val="41140732"/>
    <w:rsid w:val="420967C8"/>
    <w:rsid w:val="435117C9"/>
    <w:rsid w:val="4AB3212B"/>
    <w:rsid w:val="4C6226A9"/>
    <w:rsid w:val="52A45CAA"/>
    <w:rsid w:val="63B07D2A"/>
    <w:rsid w:val="65D2225B"/>
    <w:rsid w:val="66EF1A7E"/>
    <w:rsid w:val="6A704DEE"/>
    <w:rsid w:val="6F1C418A"/>
    <w:rsid w:val="7141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5">
    <w:name w:val="Table Grid"/>
    <w:basedOn w:val="4"/>
    <w:qFormat/>
    <w:uiPriority w:val="59"/>
    <w:rPr>
      <w:kern w:val="0"/>
      <w:sz w:val="24"/>
      <w:szCs w:val="24"/>
      <w:lang w:eastAsia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TML Code"/>
    <w:basedOn w:val="6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1743</Words>
  <Characters>9684</Characters>
  <Lines>1</Lines>
  <Paragraphs>1</Paragraphs>
  <TotalTime>5</TotalTime>
  <ScaleCrop>false</ScaleCrop>
  <LinksUpToDate>false</LinksUpToDate>
  <CharactersWithSpaces>18863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2025-07-02T14:36:00Z</dcterms:created>
  <dc:creator>拾心。</dc:creator>
  <cp:lastModifiedBy>拾心。</cp:lastModifiedBy>
  <dcterms:modified xsi:type="dcterms:W3CDTF">2026-01-18T02:39:23Z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621EDDA7A13E4E80B3CC2BE4CD2F764F_13</vt:lpwstr>
  </property>
  <property fmtid="{D5CDD505-2E9C-101B-9397-08002B2CF9AE}" pid="4" name="KSOTemplateDocerSaveRecord">
    <vt:lpwstr>eyJoZGlkIjoiNmUxYTYyN2Q2OGNlODIwZmVhNTE1OTNmMmJhYTRjMjkiLCJ1c2VySWQiOiIzMTExMjk5MTUifQ==</vt:lpwstr>
  </property>
</Properties>
</file>