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4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Table 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RCTs included in the pilot.</w:t>
      </w: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95"/>
        <w:gridCol w:w="1305"/>
        <w:gridCol w:w="720"/>
        <w:gridCol w:w="1140"/>
        <w:gridCol w:w="1440"/>
        <w:tblGridChange w:id="0">
          <w:tblGrid>
            <w:gridCol w:w="4395"/>
            <w:gridCol w:w="1305"/>
            <w:gridCol w:w="720"/>
            <w:gridCol w:w="1140"/>
            <w:gridCol w:w="144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First Author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Journal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PMCID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Antibiotic prophylaxis in laparoscopic cholecystectomy: a randomized controlled trial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Matsui Y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PLoS One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PMC4156368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Long-term safety and sustained efficacy of extended-release pramipexole in early and advanced Parkinson's disease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Hauser RA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Eur J Neurol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PMC4282380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Repetitive transcranial magnetic stimulation is as effective as fluoxetine in the treatment of depression in patients with Parkinson's disease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Fregni F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2004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 Neurol Neurosurg Psychiatry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PMC1739189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efficacy of prolotherapy for lateral epicondylosis: a pilot study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Scarpone M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2008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Clin J Sport Med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PMC2751593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Randomized, Double-Blind, Placebo-Controlled Trial of Naproxen With or Without Orphenadrine or Methocarbamol for Acute Low Back Pain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Friedman BW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Ann Emerg Med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PMC5820149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COVID-19 Rebound After VV116 vs Nirmatrelvir-Ritonavir Treatment: A Randomized Clinical Trial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Yang Z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JAMA Netw Open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PMC10938176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Supplemental intravenous crystalloid administration does not reduce the risk of surgical wound infection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Kabon B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2005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Anesth Analg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PMC1388094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hCG priming effect in controlled ovarian stimulation through a long protocol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Beretsos P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2009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Reprod Biol Endocrinol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PMC2744681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phase I trial of PRN1008, a novel reversible covalent inhibitor of Bruton's tyrosine kinase, in healthy volunteers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Smith PF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2017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Br J Clin Pharmacol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PMC5651318</w:t>
            </w:r>
          </w:p>
        </w:tc>
      </w:tr>
    </w:tbl>
    <w:p w:rsidR="00000000" w:rsidDel="00000000" w:rsidP="00000000" w:rsidRDefault="00000000" w:rsidRPr="00000000" w14:paraId="00000034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I+UJucYcR9u+DWjxDIPtu4GD3A==">CgMxLjA4AHIhMXRmRE5mT09kLThtRkZiMk1HdWlWWnhoWGFtdk5sakVt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