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169CD">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default" w:ascii="Times New Roman" w:hAnsi="Times New Roman" w:cs="Times New Roman"/>
          <w:color w:val="auto"/>
          <w:sz w:val="20"/>
          <w:szCs w:val="20"/>
          <w:highlight w:val="none"/>
        </w:rPr>
      </w:pPr>
      <w:r>
        <w:rPr>
          <w:rFonts w:hint="default" w:ascii="Times New Roman" w:hAnsi="Times New Roman" w:cs="Times New Roman"/>
          <w:b/>
          <w:bCs/>
          <w:color w:val="auto"/>
          <w:sz w:val="20"/>
          <w:szCs w:val="20"/>
          <w:highlight w:val="none"/>
        </w:rPr>
        <w:t>Supplementary figure 1</w:t>
      </w:r>
      <w:r>
        <w:rPr>
          <w:rFonts w:hint="eastAsia" w:ascii="Times New Roman" w:hAnsi="Times New Roman" w:cs="Times New Roman"/>
          <w:b/>
          <w:bCs/>
          <w:color w:val="auto"/>
          <w:sz w:val="20"/>
          <w:szCs w:val="20"/>
          <w:highlight w:val="none"/>
          <w:lang w:val="en-US" w:eastAsia="zh-CN"/>
        </w:rPr>
        <w:t>.</w:t>
      </w:r>
      <w:r>
        <w:rPr>
          <w:rFonts w:hint="eastAsia" w:ascii="Times New Roman" w:hAnsi="Times New Roman" w:cs="Times New Roman"/>
          <w:color w:val="auto"/>
          <w:sz w:val="20"/>
          <w:szCs w:val="20"/>
          <w:highlight w:val="none"/>
          <w:lang w:val="en-US" w:eastAsia="zh-CN"/>
        </w:rPr>
        <w:t xml:space="preserve"> Schematic timeline of the animal experimental procedure. F</w:t>
      </w:r>
      <w:r>
        <w:rPr>
          <w:rFonts w:hint="default" w:ascii="Times New Roman" w:hAnsi="Times New Roman" w:cs="Times New Roman"/>
          <w:color w:val="auto"/>
          <w:sz w:val="20"/>
          <w:szCs w:val="20"/>
          <w:highlight w:val="none"/>
        </w:rPr>
        <w:t>ollowing an adaptive feeding period, rats underwent estrus synchronization and subsequent establishment of an endometriosis</w:t>
      </w:r>
      <w:r>
        <w:rPr>
          <w:rFonts w:hint="eastAsia"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rPr>
        <w:t>model via autologous transplantation. After two weeks, endometriosis rats were randomly assigned into three intervention groups receiving purified water, shNC lentivirus, or shSIRT1 lentivirus via tail vein injection for 12 days, alongside β-estradiol 3-benzoate administration. Ectopic lesion volume was measured upon tissue collection at the endpoint.</w:t>
      </w:r>
      <w:bookmarkStart w:id="0" w:name="_GoBack"/>
      <w:bookmarkEnd w:id="0"/>
    </w:p>
    <w:p w14:paraId="7852BFBD">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b/>
          <w:bCs/>
          <w:color w:val="auto"/>
          <w:sz w:val="20"/>
          <w:szCs w:val="20"/>
          <w:highlight w:val="none"/>
          <w:lang w:val="en-US" w:eastAsia="zh-CN"/>
        </w:rPr>
        <w:t>shRNA</w:t>
      </w:r>
      <w:r>
        <w:rPr>
          <w:rFonts w:hint="default" w:ascii="Times New Roman" w:hAnsi="Times New Roman" w:cs="Times New Roman"/>
          <w:b w:val="0"/>
          <w:bCs w:val="0"/>
          <w:color w:val="auto"/>
          <w:sz w:val="20"/>
          <w:szCs w:val="20"/>
          <w:highlight w:val="none"/>
          <w:lang w:val="en-US" w:eastAsia="zh-CN"/>
        </w:rPr>
        <w:t xml:space="preserve">, short hairpin RNA; </w:t>
      </w:r>
      <w:r>
        <w:rPr>
          <w:rFonts w:hint="default" w:ascii="Times New Roman" w:hAnsi="Times New Roman" w:cs="Times New Roman"/>
          <w:b/>
          <w:bCs/>
          <w:color w:val="auto"/>
          <w:sz w:val="20"/>
          <w:szCs w:val="20"/>
          <w:highlight w:val="none"/>
          <w:lang w:val="en-US" w:eastAsia="zh-CN"/>
        </w:rPr>
        <w:t>SIRT1</w:t>
      </w:r>
      <w:r>
        <w:rPr>
          <w:rFonts w:hint="default" w:ascii="Times New Roman" w:hAnsi="Times New Roman" w:cs="Times New Roman"/>
          <w:color w:val="auto"/>
          <w:sz w:val="20"/>
          <w:szCs w:val="20"/>
          <w:highlight w:val="none"/>
          <w:lang w:val="en-US" w:eastAsia="zh-CN"/>
        </w:rPr>
        <w:t>, sirtuin 1</w:t>
      </w:r>
      <w:r>
        <w:rPr>
          <w:rFonts w:hint="eastAsia" w:ascii="Times New Roman" w:hAnsi="Times New Roman" w:cs="Times New Roman"/>
          <w:color w:val="auto"/>
          <w:sz w:val="20"/>
          <w:szCs w:val="20"/>
          <w:highlight w:val="none"/>
          <w:lang w:val="en-US" w:eastAsia="zh-CN"/>
        </w:rPr>
        <w:t>.</w:t>
      </w:r>
      <w:r>
        <w:rPr>
          <w:rFonts w:hint="default" w:ascii="Times New Roman" w:hAnsi="Times New Roman" w:cs="Times New Roman"/>
          <w:color w:val="auto"/>
          <w:sz w:val="20"/>
          <w:szCs w:val="20"/>
          <w:highlight w:val="none"/>
        </w:rPr>
        <w:fldChar w:fldCharType="begin"/>
      </w:r>
      <w:r>
        <w:rPr>
          <w:rFonts w:hint="default" w:ascii="Times New Roman" w:hAnsi="Times New Roman" w:cs="Times New Roman"/>
          <w:color w:val="auto"/>
          <w:sz w:val="20"/>
          <w:szCs w:val="20"/>
          <w:highlight w:val="none"/>
          <w:lang w:eastAsia="zh-CN"/>
        </w:rPr>
        <w:instrText xml:space="preserve"> ADDIN NE.Rep</w:instrText>
      </w:r>
      <w:r>
        <w:rPr>
          <w:rFonts w:hint="default" w:ascii="Times New Roman" w:hAnsi="Times New Roman" w:cs="Times New Roman"/>
          <w:color w:val="auto"/>
          <w:sz w:val="20"/>
          <w:szCs w:val="20"/>
          <w:highlight w:val="none"/>
        </w:rPr>
        <w:fldChar w:fldCharType="separate"/>
      </w:r>
    </w:p>
    <w:p w14:paraId="286B41B7">
      <w:pPr>
        <w:spacing w:beforeLines="0" w:afterLines="0"/>
        <w:jc w:val="both"/>
        <w:rPr>
          <w:rFonts w:hint="eastAsia" w:ascii="Times New Roman" w:hAnsi="Times New Roman" w:cs="Times New Roman" w:eastAsiaTheme="minorEastAsia"/>
          <w:color w:val="auto"/>
          <w:sz w:val="20"/>
          <w:szCs w:val="20"/>
          <w:highlight w:val="none"/>
          <w:lang w:eastAsia="zh-CN"/>
        </w:rPr>
      </w:pPr>
      <w:r>
        <w:rPr>
          <w:rFonts w:hint="default" w:ascii="Times New Roman" w:hAnsi="Times New Roman" w:cs="Times New Roman"/>
          <w:color w:val="auto"/>
          <w:sz w:val="20"/>
          <w:szCs w:val="20"/>
          <w:highlight w:val="none"/>
        </w:rPr>
        <w:fldChar w:fldCharType="end"/>
      </w:r>
      <w:r>
        <w:rPr>
          <w:rFonts w:hint="eastAsia" w:ascii="Times New Roman" w:hAnsi="Times New Roman" w:cs="Times New Roman" w:eastAsiaTheme="minorEastAsia"/>
          <w:color w:val="auto"/>
          <w:sz w:val="20"/>
          <w:szCs w:val="20"/>
          <w:highlight w:val="none"/>
          <w:lang w:eastAsia="zh-CN"/>
        </w:rPr>
        <w:drawing>
          <wp:inline distT="0" distB="0" distL="114300" distR="114300">
            <wp:extent cx="5266055" cy="659765"/>
            <wp:effectExtent l="0" t="0" r="4445" b="635"/>
            <wp:docPr id="1" name="图片 1" descr="supplemental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l figure 1"/>
                    <pic:cNvPicPr>
                      <a:picLocks noChangeAspect="1"/>
                    </pic:cNvPicPr>
                  </pic:nvPicPr>
                  <pic:blipFill>
                    <a:blip r:embed="rId4"/>
                    <a:stretch>
                      <a:fillRect/>
                    </a:stretch>
                  </pic:blipFill>
                  <pic:spPr>
                    <a:xfrm>
                      <a:off x="0" y="0"/>
                      <a:ext cx="5266055" cy="659765"/>
                    </a:xfrm>
                    <a:prstGeom prst="rect">
                      <a:avLst/>
                    </a:prstGeom>
                  </pic:spPr>
                </pic:pic>
              </a:graphicData>
            </a:graphic>
          </wp:inline>
        </w:drawing>
      </w:r>
    </w:p>
    <w:p w14:paraId="140A90B3">
      <w:pPr>
        <w:spacing w:beforeLines="0" w:afterLines="0"/>
        <w:jc w:val="both"/>
        <w:rPr>
          <w:rFonts w:hint="eastAsia" w:ascii="Times New Roman" w:hAnsi="Times New Roman" w:cs="Times New Roman" w:eastAsiaTheme="minorEastAsia"/>
          <w:color w:val="auto"/>
          <w:sz w:val="20"/>
          <w:szCs w:val="20"/>
          <w:highlight w:val="none"/>
          <w:lang w:eastAsia="zh-CN"/>
        </w:rPr>
      </w:pPr>
    </w:p>
    <w:p w14:paraId="3F46C148">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default" w:ascii="Times New Roman" w:hAnsi="Times New Roman" w:cs="Times New Roman"/>
          <w:color w:val="auto"/>
          <w:sz w:val="20"/>
          <w:szCs w:val="20"/>
          <w:highlight w:val="none"/>
          <w:lang w:val="en-US"/>
        </w:rPr>
      </w:pPr>
      <w:r>
        <w:rPr>
          <w:rFonts w:hint="default" w:ascii="Times New Roman" w:hAnsi="Times New Roman" w:cs="Times New Roman"/>
          <w:b/>
          <w:bCs/>
          <w:color w:val="auto"/>
          <w:sz w:val="20"/>
          <w:szCs w:val="20"/>
          <w:highlight w:val="none"/>
        </w:rPr>
        <w:t xml:space="preserve">Supplementary figure </w:t>
      </w:r>
      <w:r>
        <w:rPr>
          <w:rFonts w:hint="eastAsia" w:ascii="Times New Roman" w:hAnsi="Times New Roman" w:cs="Times New Roman"/>
          <w:b/>
          <w:bCs/>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 xml:space="preserve"> Graphical abstract. SIRT1 deacetylates HMGB1 to enhance its protein stability, thereby promoting autophagy, inducing a mesenchymal-to-epithelial-like molecular shift, and driving the progression of endometriosis.</w:t>
      </w:r>
    </w:p>
    <w:p w14:paraId="22BED07F">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default" w:ascii="Times New Roman" w:hAnsi="Times New Roman" w:cs="Times New Roman"/>
          <w:b w:val="0"/>
          <w:bCs w:val="0"/>
          <w:color w:val="auto"/>
          <w:sz w:val="20"/>
          <w:szCs w:val="20"/>
          <w:highlight w:val="none"/>
          <w:lang w:val="en-US" w:eastAsia="zh-CN"/>
        </w:rPr>
      </w:pPr>
      <w:r>
        <w:rPr>
          <w:rFonts w:hint="default" w:ascii="Times New Roman" w:hAnsi="Times New Roman" w:cs="Times New Roman"/>
          <w:b/>
          <w:bCs/>
          <w:color w:val="auto"/>
          <w:sz w:val="20"/>
          <w:szCs w:val="20"/>
          <w:highlight w:val="none"/>
          <w:lang w:val="en-US" w:eastAsia="zh-CN"/>
        </w:rPr>
        <w:t>SIRT1</w:t>
      </w:r>
      <w:r>
        <w:rPr>
          <w:rFonts w:hint="default" w:ascii="Times New Roman" w:hAnsi="Times New Roman" w:cs="Times New Roman"/>
          <w:color w:val="auto"/>
          <w:sz w:val="20"/>
          <w:szCs w:val="20"/>
          <w:highlight w:val="none"/>
          <w:lang w:val="en-US" w:eastAsia="zh-CN"/>
        </w:rPr>
        <w:t>, sirtuin 1;</w:t>
      </w:r>
      <w:r>
        <w:rPr>
          <w:rFonts w:hint="default" w:ascii="Times New Roman" w:hAnsi="Times New Roman" w:cs="Times New Roman"/>
          <w:b/>
          <w:bCs/>
          <w:color w:val="auto"/>
          <w:sz w:val="20"/>
          <w:szCs w:val="20"/>
          <w:highlight w:val="none"/>
          <w:lang w:val="en-US" w:eastAsia="zh-CN"/>
        </w:rPr>
        <w:t xml:space="preserve"> HMGB1</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rPr>
        <w:t>high mobility group box 1</w:t>
      </w:r>
      <w:r>
        <w:rPr>
          <w:rFonts w:hint="default" w:ascii="Times New Roman" w:hAnsi="Times New Roman" w:cs="Times New Roman"/>
          <w:b w:val="0"/>
          <w:bCs w:val="0"/>
          <w:color w:val="auto"/>
          <w:sz w:val="20"/>
          <w:szCs w:val="20"/>
          <w:highlight w:val="none"/>
          <w:lang w:val="en-US" w:eastAsia="zh-CN"/>
        </w:rPr>
        <w:t>.</w:t>
      </w:r>
    </w:p>
    <w:p w14:paraId="3AB0E3EF">
      <w:pPr>
        <w:rPr>
          <w:rFonts w:hint="eastAsia" w:eastAsiaTheme="minorEastAsia"/>
          <w:color w:val="auto"/>
          <w:highlight w:val="none"/>
          <w:lang w:eastAsia="zh-CN"/>
        </w:rPr>
      </w:pPr>
      <w:r>
        <w:rPr>
          <w:rFonts w:hint="eastAsia" w:eastAsiaTheme="minorEastAsia"/>
          <w:color w:val="auto"/>
          <w:highlight w:val="none"/>
          <w:lang w:eastAsia="zh-CN"/>
        </w:rPr>
        <w:drawing>
          <wp:inline distT="0" distB="0" distL="114300" distR="114300">
            <wp:extent cx="3392805" cy="3335655"/>
            <wp:effectExtent l="0" t="0" r="17145" b="17145"/>
            <wp:docPr id="3" name="图片 3" descr="6475c4608fae2a6145cb9395893d5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475c4608fae2a6145cb9395893d5129"/>
                    <pic:cNvPicPr>
                      <a:picLocks noChangeAspect="1"/>
                    </pic:cNvPicPr>
                  </pic:nvPicPr>
                  <pic:blipFill>
                    <a:blip r:embed="rId5"/>
                    <a:stretch>
                      <a:fillRect/>
                    </a:stretch>
                  </pic:blipFill>
                  <pic:spPr>
                    <a:xfrm>
                      <a:off x="0" y="0"/>
                      <a:ext cx="3392805" cy="333565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57A49"/>
    <w:rsid w:val="2C763451"/>
    <w:rsid w:val="3E6F1E55"/>
    <w:rsid w:val="485A14D7"/>
    <w:rsid w:val="4FDB6712"/>
    <w:rsid w:val="72FC1840"/>
    <w:rsid w:val="77D17C66"/>
    <w:rsid w:val="7AD23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113</Words>
  <Characters>759</Characters>
  <Lines>0</Lines>
  <Paragraphs>0</Paragraphs>
  <TotalTime>0</TotalTime>
  <ScaleCrop>false</ScaleCrop>
  <LinksUpToDate>false</LinksUpToDate>
  <CharactersWithSpaces>868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2025-10-24T07:40:00Z</dcterms:created>
  <dc:creator>Administrator</dc:creator>
  <cp:lastModifiedBy>WPS_1681219830</cp:lastModifiedBy>
  <dcterms:modified xsi:type="dcterms:W3CDTF">2025-11-11T08:16:06Z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eyJoZGlkIjoiMGUxY2IwMjY3ZGZhN2RiMDM0ZmVmOTNmZjc4Zjc4MmYiLCJ1c2VySWQiOiIxNDg2Nzc2OTc0In0=</vt:lpwstr>
  </property>
  <property fmtid="{D5CDD505-2E9C-101B-9397-08002B2CF9AE}" pid="4" name="ICV">
    <vt:lpwstr>507CC3BB9B1F48EBA34713326DCF4A90_12</vt:lpwstr>
  </property>
</Properties>
</file>