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87CD" w14:textId="4DD1C5CB" w:rsidR="007C418C" w:rsidRPr="00C0010B" w:rsidRDefault="007B69C6">
      <w:pPr>
        <w:rPr>
          <w:sz w:val="24"/>
          <w:szCs w:val="32"/>
        </w:rPr>
      </w:pPr>
      <w:r w:rsidRPr="00C0010B">
        <w:rPr>
          <w:rFonts w:hint="eastAsia"/>
          <w:b/>
          <w:bCs/>
          <w:sz w:val="24"/>
          <w:szCs w:val="32"/>
        </w:rPr>
        <w:t xml:space="preserve">Figure </w:t>
      </w:r>
      <w:r w:rsidR="008F6350" w:rsidRPr="00C0010B">
        <w:rPr>
          <w:rFonts w:hint="eastAsia"/>
          <w:b/>
          <w:bCs/>
          <w:sz w:val="24"/>
          <w:szCs w:val="32"/>
        </w:rPr>
        <w:t>S</w:t>
      </w:r>
      <w:r w:rsidR="009339B1" w:rsidRPr="00C0010B">
        <w:rPr>
          <w:b/>
          <w:bCs/>
          <w:sz w:val="24"/>
          <w:szCs w:val="32"/>
        </w:rPr>
        <w:t xml:space="preserve">1: </w:t>
      </w:r>
      <w:r w:rsidR="00FF3833" w:rsidRPr="00C0010B">
        <w:rPr>
          <w:sz w:val="24"/>
          <w:szCs w:val="32"/>
        </w:rPr>
        <w:t>Workflow for the Development and Validation of a Predictive Model Distinguishing Colonization from Infectious Pneumonia</w:t>
      </w:r>
    </w:p>
    <w:p w14:paraId="2D0E87CE" w14:textId="39EAE924" w:rsidR="007C418C" w:rsidRDefault="00DD1E45">
      <w:r w:rsidRPr="00DD1E45">
        <w:rPr>
          <w:noProof/>
        </w:rPr>
        <w:drawing>
          <wp:inline distT="0" distB="0" distL="0" distR="0" wp14:anchorId="03FEE33F" wp14:editId="48D72F68">
            <wp:extent cx="5274310" cy="4436110"/>
            <wp:effectExtent l="0" t="0" r="0" b="0"/>
            <wp:docPr id="965709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7099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03DC" w14:textId="6644EE88" w:rsidR="00893B9E" w:rsidRPr="00C0010B" w:rsidRDefault="00893B9E" w:rsidP="00F0058B">
      <w:pPr>
        <w:rPr>
          <w:sz w:val="24"/>
          <w:szCs w:val="32"/>
        </w:rPr>
      </w:pPr>
      <w:r w:rsidRPr="00893B9E">
        <w:rPr>
          <w:b/>
          <w:bCs/>
        </w:rPr>
        <w:t>F</w:t>
      </w:r>
      <w:r w:rsidRPr="00C0010B">
        <w:rPr>
          <w:b/>
          <w:bCs/>
          <w:sz w:val="24"/>
          <w:szCs w:val="32"/>
        </w:rPr>
        <w:t>igure S</w:t>
      </w:r>
      <w:r w:rsidRPr="00C0010B">
        <w:rPr>
          <w:rFonts w:hint="eastAsia"/>
          <w:b/>
          <w:bCs/>
          <w:sz w:val="24"/>
          <w:szCs w:val="32"/>
        </w:rPr>
        <w:t>2</w:t>
      </w:r>
      <w:r w:rsidRPr="00C0010B">
        <w:rPr>
          <w:b/>
          <w:bCs/>
          <w:sz w:val="24"/>
          <w:szCs w:val="32"/>
        </w:rPr>
        <w:t>. Impact of antibiotic exposure on lower respiratory tract microbial diversity.</w:t>
      </w:r>
      <w:r w:rsidRPr="00C0010B">
        <w:rPr>
          <w:sz w:val="24"/>
          <w:szCs w:val="32"/>
        </w:rPr>
        <w:br/>
        <w:t xml:space="preserve">(A) α-diversity assessment based on the Shannon index across different antibiotic regimens at the time of sampling. No significant differences in α diversity were detected (Kruskal–Wallis test, </w:t>
      </w:r>
      <w:r w:rsidRPr="00C0010B">
        <w:rPr>
          <w:i/>
          <w:iCs/>
          <w:sz w:val="24"/>
          <w:szCs w:val="32"/>
        </w:rPr>
        <w:t>P</w:t>
      </w:r>
      <w:r w:rsidRPr="00C0010B">
        <w:rPr>
          <w:sz w:val="24"/>
          <w:szCs w:val="32"/>
        </w:rPr>
        <w:t xml:space="preserve"> = 0.34).</w:t>
      </w:r>
      <w:r w:rsidRPr="00C0010B">
        <w:rPr>
          <w:sz w:val="24"/>
          <w:szCs w:val="32"/>
        </w:rPr>
        <w:br/>
        <w:t xml:space="preserve">(B) Principal coordinates analysis (PCoA) based on Bray–Curtis dissimilarity illustrating β-diversity among antibiotic groups. No significant clustering was observed (PERMANOVA, </w:t>
      </w:r>
      <w:r w:rsidRPr="00C0010B">
        <w:rPr>
          <w:i/>
          <w:iCs/>
          <w:sz w:val="24"/>
          <w:szCs w:val="32"/>
        </w:rPr>
        <w:t>P</w:t>
      </w:r>
      <w:r w:rsidRPr="00C0010B">
        <w:rPr>
          <w:sz w:val="24"/>
          <w:szCs w:val="32"/>
        </w:rPr>
        <w:t xml:space="preserve"> = 0.146).</w:t>
      </w:r>
      <w:r w:rsidRPr="00C0010B">
        <w:rPr>
          <w:sz w:val="24"/>
          <w:szCs w:val="32"/>
        </w:rPr>
        <w:br/>
        <w:t>These results indicate that concurrent antibiotic treatment did not substantially alter the overall community structure of the lower respiratory microbiota in this cohort.</w:t>
      </w:r>
    </w:p>
    <w:p w14:paraId="468B1AC0" w14:textId="7C93E309" w:rsidR="002728DE" w:rsidRDefault="006D16F6">
      <w:pPr>
        <w:jc w:val="left"/>
      </w:pPr>
      <w:r w:rsidRPr="00662057">
        <w:rPr>
          <w:rFonts w:ascii="Arial" w:hAnsi="Arial" w:cs="Arial"/>
          <w:noProof/>
          <w:color w:val="657C9C" w:themeColor="text2" w:themeTint="BF"/>
        </w:rPr>
        <w:lastRenderedPageBreak/>
        <w:drawing>
          <wp:inline distT="0" distB="0" distL="0" distR="0" wp14:anchorId="5079BD37" wp14:editId="57C3D2CF">
            <wp:extent cx="5072455" cy="2580198"/>
            <wp:effectExtent l="0" t="0" r="0" b="0"/>
            <wp:docPr id="1224364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642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9715" cy="261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C8533" w14:textId="06D94884" w:rsidR="006D16F6" w:rsidRPr="00F0058B" w:rsidRDefault="007338DC" w:rsidP="00F0058B">
      <w:pPr>
        <w:rPr>
          <w:sz w:val="24"/>
          <w:szCs w:val="32"/>
        </w:rPr>
      </w:pPr>
      <w:r w:rsidRPr="00F0058B">
        <w:rPr>
          <w:b/>
          <w:bCs/>
          <w:sz w:val="24"/>
          <w:szCs w:val="32"/>
        </w:rPr>
        <w:t>Figure S3. Estimated immune-cell composition of lower respiratory samples in the colonization and infection groups.</w:t>
      </w:r>
      <w:r w:rsidRPr="00F0058B">
        <w:rPr>
          <w:sz w:val="24"/>
          <w:szCs w:val="32"/>
        </w:rPr>
        <w:br/>
        <w:t>CIBERSORT-derived proportions of innate (left) and adaptive (right) immune-cell subsets are shown for patients with microbial colonization (CL) and infectious pneumonia (IM). No statistically significant differences in estimated immune-cell proportions were observed between the two groups, indicating limited confounding from immune-cell composition in the host-response analyses.</w:t>
      </w:r>
    </w:p>
    <w:p w14:paraId="4CA12F50" w14:textId="38448AC3" w:rsidR="006D16F6" w:rsidRDefault="00FF3601">
      <w:pPr>
        <w:jc w:val="left"/>
      </w:pPr>
      <w:r w:rsidRPr="004F6956">
        <w:rPr>
          <w:rFonts w:ascii="Arial" w:hAnsi="Arial" w:cs="Arial"/>
          <w:noProof/>
          <w:color w:val="4874CB" w:themeColor="accent1"/>
        </w:rPr>
        <w:drawing>
          <wp:inline distT="0" distB="0" distL="0" distR="0" wp14:anchorId="388C3C3F" wp14:editId="76F01BD1">
            <wp:extent cx="5273675" cy="4616450"/>
            <wp:effectExtent l="0" t="0" r="3175" b="0"/>
            <wp:docPr id="16119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88FF" w14:textId="021BE6DD" w:rsidR="002F215E" w:rsidRPr="00F0058B" w:rsidRDefault="008F6350" w:rsidP="00F0058B">
      <w:pPr>
        <w:rPr>
          <w:sz w:val="24"/>
          <w:szCs w:val="32"/>
        </w:rPr>
      </w:pPr>
      <w:r w:rsidRPr="00F0058B">
        <w:rPr>
          <w:b/>
          <w:bCs/>
          <w:sz w:val="24"/>
          <w:szCs w:val="32"/>
        </w:rPr>
        <w:lastRenderedPageBreak/>
        <w:t>Figure S4. Performance evaluation of the diagnostic models.</w:t>
      </w:r>
      <w:r w:rsidRPr="00F0058B">
        <w:rPr>
          <w:sz w:val="24"/>
          <w:szCs w:val="32"/>
        </w:rPr>
        <w:br/>
        <w:t xml:space="preserve">(A) Receiver operating characteristic (ROC) curve of the </w:t>
      </w:r>
      <w:r w:rsidR="00AA5C43">
        <w:rPr>
          <w:rFonts w:hint="eastAsia"/>
          <w:sz w:val="24"/>
          <w:szCs w:val="32"/>
        </w:rPr>
        <w:t xml:space="preserve">Logistic Regression </w:t>
      </w:r>
      <w:r w:rsidRPr="00F0058B">
        <w:rPr>
          <w:sz w:val="24"/>
          <w:szCs w:val="32"/>
        </w:rPr>
        <w:t>model in the training cohort, showing an AUC of 0.7</w:t>
      </w:r>
      <w:r w:rsidR="000456C9" w:rsidRPr="00F0058B">
        <w:rPr>
          <w:rFonts w:hint="eastAsia"/>
          <w:sz w:val="24"/>
          <w:szCs w:val="32"/>
        </w:rPr>
        <w:t>56</w:t>
      </w:r>
      <w:r w:rsidRPr="00F0058B">
        <w:rPr>
          <w:sz w:val="24"/>
          <w:szCs w:val="32"/>
        </w:rPr>
        <w:t>.</w:t>
      </w:r>
      <w:r w:rsidRPr="00F0058B">
        <w:rPr>
          <w:sz w:val="24"/>
          <w:szCs w:val="32"/>
        </w:rPr>
        <w:br/>
        <w:t>(B) ROC curves comp</w:t>
      </w:r>
      <w:r w:rsidR="00EA25C7">
        <w:rPr>
          <w:rFonts w:hint="eastAsia"/>
          <w:sz w:val="24"/>
          <w:szCs w:val="32"/>
        </w:rPr>
        <w:t>a</w:t>
      </w:r>
      <w:r w:rsidRPr="00F0058B">
        <w:rPr>
          <w:sz w:val="24"/>
          <w:szCs w:val="32"/>
        </w:rPr>
        <w:t>ring the multi-omics–derived Random Forest model with the clinical-variable–based logistic regression model in the training dataset. The Random Forest model demonstrated significantly superior discriminatory performance (AUC = 0.952 vs. 0.756), as supported by the DeLong test (Z = 2.1294, P = 0.03322).</w:t>
      </w:r>
    </w:p>
    <w:p w14:paraId="2FBD6DFA" w14:textId="0E61B001" w:rsidR="003D20FB" w:rsidRPr="003D20FB" w:rsidRDefault="003D20FB" w:rsidP="003D20FB">
      <w:pPr>
        <w:tabs>
          <w:tab w:val="left" w:pos="4080"/>
        </w:tabs>
        <w:jc w:val="left"/>
        <w:rPr>
          <w:b/>
          <w:bCs/>
          <w:sz w:val="36"/>
          <w:szCs w:val="44"/>
        </w:rPr>
      </w:pPr>
      <w:r w:rsidRPr="003D20FB">
        <w:rPr>
          <w:rFonts w:hint="eastAsia"/>
          <w:b/>
          <w:bCs/>
          <w:sz w:val="36"/>
          <w:szCs w:val="44"/>
        </w:rPr>
        <w:t>A</w:t>
      </w:r>
      <w:r>
        <w:rPr>
          <w:b/>
          <w:bCs/>
          <w:sz w:val="36"/>
          <w:szCs w:val="44"/>
        </w:rPr>
        <w:tab/>
      </w:r>
      <w:r>
        <w:rPr>
          <w:rFonts w:hint="eastAsia"/>
          <w:b/>
          <w:bCs/>
          <w:sz w:val="36"/>
          <w:szCs w:val="44"/>
        </w:rPr>
        <w:t>B</w:t>
      </w:r>
    </w:p>
    <w:p w14:paraId="72A79B3A" w14:textId="7A27DE94" w:rsidR="000456C9" w:rsidRDefault="000456C9" w:rsidP="002F215E">
      <w:pPr>
        <w:jc w:val="left"/>
      </w:pPr>
      <w:r w:rsidRPr="000456C9">
        <w:rPr>
          <w:noProof/>
        </w:rPr>
        <w:drawing>
          <wp:inline distT="0" distB="0" distL="0" distR="0" wp14:anchorId="0EF74665" wp14:editId="131298C5">
            <wp:extent cx="2384938" cy="1677726"/>
            <wp:effectExtent l="0" t="0" r="0" b="0"/>
            <wp:docPr id="450471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711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7375" cy="16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0FB" w:rsidRPr="00E50813">
        <w:rPr>
          <w:rFonts w:ascii="Arial" w:hAnsi="Arial" w:cs="Arial"/>
          <w:noProof/>
        </w:rPr>
        <w:drawing>
          <wp:inline distT="0" distB="0" distL="0" distR="0" wp14:anchorId="6692D8B0" wp14:editId="2A8FBAC5">
            <wp:extent cx="2572078" cy="2536466"/>
            <wp:effectExtent l="0" t="0" r="0" b="0"/>
            <wp:docPr id="1332368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682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5066" cy="253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E87D0" w14:textId="1C9CFA80" w:rsidR="007C418C" w:rsidRDefault="007B69C6">
      <w:pPr>
        <w:jc w:val="left"/>
      </w:pPr>
      <w:r>
        <w:rPr>
          <w:rFonts w:hint="eastAsia"/>
        </w:rPr>
        <w:t xml:space="preserve">Table </w:t>
      </w:r>
      <w:r w:rsidR="00C358F9">
        <w:rPr>
          <w:rFonts w:hint="eastAsia"/>
        </w:rPr>
        <w:t>S</w:t>
      </w:r>
      <w:r>
        <w:rPr>
          <w:rFonts w:hint="eastAsia"/>
        </w:rPr>
        <w:t xml:space="preserve">1: </w:t>
      </w:r>
      <w:r w:rsidR="00090B3A" w:rsidRPr="00090B3A">
        <w:t>Baseline clinical and laboratory characteristics of patients in the training and validation cohorts.</w:t>
      </w:r>
    </w:p>
    <w:p w14:paraId="2BDA24F6" w14:textId="3DF863FF" w:rsidR="00FA7E8D" w:rsidRDefault="007B69C6">
      <w:pPr>
        <w:jc w:val="left"/>
      </w:pPr>
      <w:r>
        <w:rPr>
          <w:noProof/>
        </w:rPr>
        <w:drawing>
          <wp:inline distT="0" distB="0" distL="114300" distR="114300" wp14:anchorId="2D0E87D4" wp14:editId="2D0E87D5">
            <wp:extent cx="5272405" cy="2830195"/>
            <wp:effectExtent l="0" t="0" r="0" b="0"/>
            <wp:docPr id="1881403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03273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B79D" w14:textId="46FFEC60" w:rsidR="008F6350" w:rsidRDefault="00B32A64" w:rsidP="00B32A64">
      <w:pPr>
        <w:jc w:val="left"/>
      </w:pPr>
      <w:r>
        <w:rPr>
          <w:rFonts w:hint="eastAsia"/>
        </w:rPr>
        <w:t xml:space="preserve">Table </w:t>
      </w:r>
      <w:r w:rsidR="00C358F9">
        <w:rPr>
          <w:rFonts w:hint="eastAsia"/>
        </w:rPr>
        <w:t>S</w:t>
      </w:r>
      <w:r>
        <w:rPr>
          <w:rFonts w:hint="eastAsia"/>
        </w:rPr>
        <w:t xml:space="preserve">2: </w:t>
      </w:r>
      <w:r w:rsidR="00F95B82" w:rsidRPr="00F95B82">
        <w:t>Clinical, laboratory, and radiological information of individual patient samples.</w:t>
      </w:r>
    </w:p>
    <w:p w14:paraId="6582A25F" w14:textId="77777777" w:rsidR="003A1F7B" w:rsidRDefault="003A1F7B" w:rsidP="00B32A64">
      <w:pPr>
        <w:jc w:val="left"/>
      </w:pPr>
    </w:p>
    <w:p w14:paraId="142C5C42" w14:textId="3BEC7B02" w:rsidR="00FA7E8D" w:rsidRPr="00B32A64" w:rsidRDefault="00C358F9">
      <w:pPr>
        <w:jc w:val="left"/>
      </w:pPr>
      <w:r>
        <w:rPr>
          <w:rFonts w:hint="eastAsia"/>
        </w:rPr>
        <w:t>T</w:t>
      </w:r>
      <w:r w:rsidR="000210E2">
        <w:rPr>
          <w:rFonts w:hint="eastAsia"/>
        </w:rPr>
        <w:t xml:space="preserve">able </w:t>
      </w:r>
      <w:r>
        <w:rPr>
          <w:rFonts w:hint="eastAsia"/>
        </w:rPr>
        <w:t>S</w:t>
      </w:r>
      <w:r w:rsidR="000210E2">
        <w:rPr>
          <w:rFonts w:hint="eastAsia"/>
        </w:rPr>
        <w:t xml:space="preserve">3: </w:t>
      </w:r>
      <w:r w:rsidR="003C6E5B" w:rsidRPr="003C6E5B">
        <w:t>TRIPOD+AI (Transparent Reporting of a multivariable prediction model for Individual Prognosis or Diagnosis + Artificial Intelligence) checklist for reporting of the diagnostic model.</w:t>
      </w:r>
    </w:p>
    <w:sectPr w:rsidR="00FA7E8D" w:rsidRPr="00B32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1852" w14:textId="77777777" w:rsidR="00411836" w:rsidRDefault="00411836" w:rsidP="009339B1">
      <w:r>
        <w:separator/>
      </w:r>
    </w:p>
  </w:endnote>
  <w:endnote w:type="continuationSeparator" w:id="0">
    <w:p w14:paraId="230FCA9F" w14:textId="77777777" w:rsidR="00411836" w:rsidRDefault="00411836" w:rsidP="0093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CCF6" w14:textId="77777777" w:rsidR="00411836" w:rsidRDefault="00411836" w:rsidP="009339B1">
      <w:r>
        <w:separator/>
      </w:r>
    </w:p>
  </w:footnote>
  <w:footnote w:type="continuationSeparator" w:id="0">
    <w:p w14:paraId="47F0AE36" w14:textId="77777777" w:rsidR="00411836" w:rsidRDefault="00411836" w:rsidP="00933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Y4YjAwNDAyMmZmYjg4NTBjMjM5ZjhmM2Q1YzQzYzEifQ=="/>
  </w:docVars>
  <w:rsids>
    <w:rsidRoot w:val="217C1D4F"/>
    <w:rsid w:val="000210E2"/>
    <w:rsid w:val="000456C9"/>
    <w:rsid w:val="00090B3A"/>
    <w:rsid w:val="001F769F"/>
    <w:rsid w:val="002728DE"/>
    <w:rsid w:val="002F215E"/>
    <w:rsid w:val="003A1F7B"/>
    <w:rsid w:val="003C6E5B"/>
    <w:rsid w:val="003D20FB"/>
    <w:rsid w:val="00411836"/>
    <w:rsid w:val="00422665"/>
    <w:rsid w:val="0045032E"/>
    <w:rsid w:val="005400C4"/>
    <w:rsid w:val="006D16F6"/>
    <w:rsid w:val="007233AB"/>
    <w:rsid w:val="007338DC"/>
    <w:rsid w:val="007B69C6"/>
    <w:rsid w:val="007C06FE"/>
    <w:rsid w:val="007C418C"/>
    <w:rsid w:val="00831EF9"/>
    <w:rsid w:val="00893B9E"/>
    <w:rsid w:val="008F6350"/>
    <w:rsid w:val="009339B1"/>
    <w:rsid w:val="00A43CD6"/>
    <w:rsid w:val="00AA5C43"/>
    <w:rsid w:val="00AC4542"/>
    <w:rsid w:val="00B32A64"/>
    <w:rsid w:val="00BC7795"/>
    <w:rsid w:val="00C0010B"/>
    <w:rsid w:val="00C358F9"/>
    <w:rsid w:val="00D73B92"/>
    <w:rsid w:val="00DD1A0A"/>
    <w:rsid w:val="00DD1E45"/>
    <w:rsid w:val="00E50813"/>
    <w:rsid w:val="00EA25C7"/>
    <w:rsid w:val="00F0058B"/>
    <w:rsid w:val="00F95B82"/>
    <w:rsid w:val="00FA7E8D"/>
    <w:rsid w:val="00FF0DA2"/>
    <w:rsid w:val="00FF3601"/>
    <w:rsid w:val="00FF3833"/>
    <w:rsid w:val="217C1D4F"/>
    <w:rsid w:val="5D98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E87CD"/>
  <w15:docId w15:val="{03F37E12-3FDE-4D09-83B8-5AD87053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9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339B1"/>
    <w:rPr>
      <w:kern w:val="2"/>
      <w:sz w:val="18"/>
      <w:szCs w:val="18"/>
    </w:rPr>
  </w:style>
  <w:style w:type="paragraph" w:styleId="a5">
    <w:name w:val="footer"/>
    <w:basedOn w:val="a"/>
    <w:link w:val="a6"/>
    <w:rsid w:val="009339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339B1"/>
    <w:rPr>
      <w:kern w:val="2"/>
      <w:sz w:val="18"/>
      <w:szCs w:val="18"/>
    </w:rPr>
  </w:style>
  <w:style w:type="paragraph" w:styleId="a7">
    <w:name w:val="Normal (Web)"/>
    <w:basedOn w:val="a"/>
    <w:rsid w:val="00893B9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傅掌璠</dc:creator>
  <cp:lastModifiedBy>掌璠 傅</cp:lastModifiedBy>
  <cp:revision>14</cp:revision>
  <dcterms:created xsi:type="dcterms:W3CDTF">2025-10-27T15:23:00Z</dcterms:created>
  <dcterms:modified xsi:type="dcterms:W3CDTF">2026-03-29T15:15:00Z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49B53653E8D94865B9E7277F4B459962_13</vt:lpwstr>
  </property>
  <property fmtid="{D5CDD505-2E9C-101B-9397-08002B2CF9AE}" pid="4" name="KSOTemplateDocerSaveRecord">
    <vt:lpwstr>eyJoZGlkIjoiMzY4YjAwNDAyMmZmYjg4NTBjMjM5ZjhmM2Q1YzQzYzEiLCJ1c2VySWQiOiIxNDg1MzU4NzQxIn0=</vt:lpwstr>
  </property>
</Properties>
</file>