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5D076" w14:textId="1730579C" w:rsidR="00ED25BB" w:rsidRPr="00ED25BB" w:rsidRDefault="00ED25BB" w:rsidP="006A0D38">
      <w:pPr>
        <w:jc w:val="both"/>
        <w:rPr>
          <w:lang w:val="en-US" w:bidi="en-US"/>
        </w:rPr>
      </w:pPr>
      <w:r w:rsidRPr="006A0D38">
        <w:rPr>
          <w:b/>
          <w:bCs/>
          <w:sz w:val="24"/>
          <w:szCs w:val="20"/>
          <w:lang w:val="en-US" w:bidi="en-US"/>
        </w:rPr>
        <w:t xml:space="preserve">Table S1: </w:t>
      </w:r>
      <w:r w:rsidRPr="006A0D38">
        <w:rPr>
          <w:sz w:val="24"/>
          <w:szCs w:val="20"/>
          <w:lang w:val="en-US" w:bidi="en-US"/>
        </w:rPr>
        <w:t xml:space="preserve">PROCHECK plot and </w:t>
      </w:r>
      <w:r w:rsidRPr="006A0D38">
        <w:rPr>
          <w:sz w:val="24"/>
          <w:szCs w:val="20"/>
        </w:rPr>
        <w:t>statistics</w:t>
      </w:r>
      <w:r w:rsidRPr="006A0D38">
        <w:rPr>
          <w:sz w:val="24"/>
          <w:szCs w:val="20"/>
          <w:lang w:val="en-US" w:bidi="en-US"/>
        </w:rPr>
        <w:t xml:space="preserve"> analysis of receptors models</w:t>
      </w:r>
      <w:r w:rsidRPr="006A0D38">
        <w:rPr>
          <w:lang w:val="en-US" w:bidi="en-US"/>
        </w:rPr>
        <w:t xml:space="preserve"> </w:t>
      </w:r>
    </w:p>
    <w:tbl>
      <w:tblPr>
        <w:tblStyle w:val="TableGrid"/>
        <w:tblW w:w="9039" w:type="dxa"/>
        <w:tblLayout w:type="fixed"/>
        <w:tblLook w:val="04A0" w:firstRow="1" w:lastRow="0" w:firstColumn="1" w:lastColumn="0" w:noHBand="0" w:noVBand="1"/>
      </w:tblPr>
      <w:tblGrid>
        <w:gridCol w:w="1568"/>
        <w:gridCol w:w="2651"/>
        <w:gridCol w:w="1134"/>
        <w:gridCol w:w="1134"/>
        <w:gridCol w:w="1276"/>
        <w:gridCol w:w="1276"/>
      </w:tblGrid>
      <w:tr w:rsidR="00ED25BB" w14:paraId="679C1090" w14:textId="77777777" w:rsidTr="006A0D38">
        <w:trPr>
          <w:trHeight w:val="149"/>
        </w:trPr>
        <w:tc>
          <w:tcPr>
            <w:tcW w:w="1568" w:type="dxa"/>
            <w:vMerge w:val="restart"/>
            <w:vAlign w:val="center"/>
          </w:tcPr>
          <w:p w14:paraId="2A7C54C3" w14:textId="77777777" w:rsidR="00ED25BB" w:rsidRPr="006A0D38" w:rsidRDefault="00ED25BB" w:rsidP="006A0D38">
            <w:pPr>
              <w:pStyle w:val="NormalWeb"/>
              <w:spacing w:line="276" w:lineRule="auto"/>
              <w:ind w:right="-66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6A0D38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2651" w:type="dxa"/>
            <w:vMerge w:val="restart"/>
            <w:vAlign w:val="center"/>
          </w:tcPr>
          <w:p w14:paraId="7ECC7C00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6A0D38">
              <w:rPr>
                <w:rFonts w:asciiTheme="minorBidi" w:eastAsia="Calibri" w:hAnsiTheme="minorBidi" w:cstheme="minorBidi"/>
                <w:b/>
                <w:bCs/>
                <w:sz w:val="20"/>
                <w:szCs w:val="20"/>
                <w:lang w:bidi="en-US"/>
              </w:rPr>
              <w:t>PROCHECK  plot</w:t>
            </w:r>
          </w:p>
        </w:tc>
        <w:tc>
          <w:tcPr>
            <w:tcW w:w="4820" w:type="dxa"/>
            <w:gridSpan w:val="4"/>
          </w:tcPr>
          <w:p w14:paraId="05BE10ED" w14:textId="77777777" w:rsidR="00ED25BB" w:rsidRPr="006A0D38" w:rsidRDefault="00ED25BB" w:rsidP="00326247">
            <w:pPr>
              <w:pStyle w:val="NormalWeb"/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val="ru-RU"/>
              </w:rPr>
            </w:pPr>
            <w:r w:rsidRPr="006A0D38">
              <w:rPr>
                <w:rFonts w:asciiTheme="minorBidi" w:hAnsiTheme="minorBidi" w:cstheme="minorBidi"/>
                <w:b/>
                <w:bCs/>
                <w:sz w:val="20"/>
                <w:szCs w:val="20"/>
                <w:lang w:val="ru-RU"/>
              </w:rPr>
              <w:t>PROCHECK statistics</w:t>
            </w:r>
          </w:p>
        </w:tc>
      </w:tr>
      <w:tr w:rsidR="00ED25BB" w14:paraId="7232A220" w14:textId="77777777" w:rsidTr="006A0D38">
        <w:trPr>
          <w:trHeight w:val="577"/>
        </w:trPr>
        <w:tc>
          <w:tcPr>
            <w:tcW w:w="1568" w:type="dxa"/>
            <w:vMerge/>
          </w:tcPr>
          <w:p w14:paraId="6934548E" w14:textId="77777777" w:rsidR="00ED25BB" w:rsidRPr="00AD6CAF" w:rsidRDefault="00ED25BB" w:rsidP="00326247">
            <w:pPr>
              <w:pStyle w:val="NormalWeb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651" w:type="dxa"/>
            <w:vMerge/>
          </w:tcPr>
          <w:p w14:paraId="179CA92D" w14:textId="77777777" w:rsidR="00ED25BB" w:rsidRPr="00357109" w:rsidRDefault="00ED25BB" w:rsidP="00326247">
            <w:pPr>
              <w:pStyle w:val="NormalWeb"/>
              <w:spacing w:line="276" w:lineRule="auto"/>
              <w:jc w:val="center"/>
              <w:rPr>
                <w:rFonts w:eastAsia="Calibri" w:cs="Arial"/>
                <w:b/>
                <w:bCs/>
                <w:lang w:bidi="en-US"/>
              </w:rPr>
            </w:pPr>
          </w:p>
        </w:tc>
        <w:tc>
          <w:tcPr>
            <w:tcW w:w="1134" w:type="dxa"/>
          </w:tcPr>
          <w:p w14:paraId="7012D1CD" w14:textId="77777777" w:rsidR="00ED25BB" w:rsidRPr="006A0D38" w:rsidRDefault="00ED25BB" w:rsidP="006A0D38">
            <w:pPr>
              <w:jc w:val="center"/>
              <w:rPr>
                <w:rFonts w:asciiTheme="minorBidi" w:eastAsia="Calibri" w:hAnsiTheme="minorBidi"/>
                <w:b/>
                <w:bCs/>
                <w:sz w:val="18"/>
                <w:szCs w:val="18"/>
                <w:lang w:val="en-US" w:bidi="en-US"/>
              </w:rPr>
            </w:pPr>
            <w:r w:rsidRPr="006A0D38">
              <w:rPr>
                <w:rFonts w:asciiTheme="minorBidi" w:eastAsia="Calibri" w:hAnsiTheme="minorBidi"/>
                <w:b/>
                <w:bCs/>
                <w:sz w:val="18"/>
                <w:szCs w:val="18"/>
                <w:lang w:val="en-US" w:bidi="en-US"/>
              </w:rPr>
              <w:t xml:space="preserve">Most favored </w:t>
            </w:r>
            <w:r w:rsidRPr="006A0D38">
              <w:rPr>
                <w:rFonts w:asciiTheme="minorBidi" w:eastAsia="Calibri" w:hAnsiTheme="minorBidi"/>
                <w:b/>
                <w:bCs/>
                <w:sz w:val="18"/>
                <w:szCs w:val="18"/>
                <w:lang w:bidi="en-US"/>
              </w:rPr>
              <w:t>regions%</w:t>
            </w:r>
          </w:p>
        </w:tc>
        <w:tc>
          <w:tcPr>
            <w:tcW w:w="1134" w:type="dxa"/>
          </w:tcPr>
          <w:p w14:paraId="1D0796FE" w14:textId="77777777" w:rsidR="00ED25BB" w:rsidRPr="006A0D38" w:rsidRDefault="00ED25BB" w:rsidP="006A0D38">
            <w:pPr>
              <w:jc w:val="center"/>
              <w:rPr>
                <w:rFonts w:asciiTheme="minorBidi" w:eastAsia="Calibri" w:hAnsiTheme="minorBidi"/>
                <w:b/>
                <w:bCs/>
                <w:sz w:val="18"/>
                <w:szCs w:val="18"/>
                <w:lang w:val="en-US" w:bidi="en-US"/>
              </w:rPr>
            </w:pPr>
            <w:r w:rsidRPr="006A0D38">
              <w:rPr>
                <w:rFonts w:asciiTheme="minorBidi" w:eastAsia="Calibri" w:hAnsiTheme="minorBidi"/>
                <w:b/>
                <w:bCs/>
                <w:sz w:val="18"/>
                <w:szCs w:val="18"/>
                <w:lang w:val="en-US" w:bidi="en-US"/>
              </w:rPr>
              <w:t xml:space="preserve">Additional Allowed </w:t>
            </w:r>
            <w:r w:rsidRPr="006A0D38">
              <w:rPr>
                <w:rFonts w:asciiTheme="minorBidi" w:eastAsia="Calibri" w:hAnsiTheme="minorBidi"/>
                <w:b/>
                <w:bCs/>
                <w:sz w:val="18"/>
                <w:szCs w:val="18"/>
                <w:lang w:bidi="en-US"/>
              </w:rPr>
              <w:t>regions%</w:t>
            </w:r>
          </w:p>
        </w:tc>
        <w:tc>
          <w:tcPr>
            <w:tcW w:w="1276" w:type="dxa"/>
          </w:tcPr>
          <w:p w14:paraId="473848F1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en-US"/>
              </w:rPr>
            </w:pPr>
            <w:r w:rsidRPr="006A0D38">
              <w:rPr>
                <w:rFonts w:asciiTheme="minorBidi" w:hAnsiTheme="minorBidi" w:cstheme="minorBidi"/>
                <w:b/>
                <w:bCs/>
                <w:sz w:val="18"/>
                <w:szCs w:val="18"/>
                <w:lang w:bidi="en-US"/>
              </w:rPr>
              <w:t xml:space="preserve">Generously allowed </w:t>
            </w:r>
            <w:r w:rsidRPr="006A0D38">
              <w:rPr>
                <w:rFonts w:asciiTheme="minorBidi" w:hAnsiTheme="minorBidi" w:cstheme="minorBidi"/>
                <w:b/>
                <w:bCs/>
                <w:sz w:val="18"/>
                <w:szCs w:val="18"/>
                <w:lang w:val="ru-RU"/>
              </w:rPr>
              <w:t>regions%</w:t>
            </w:r>
          </w:p>
        </w:tc>
        <w:tc>
          <w:tcPr>
            <w:tcW w:w="1276" w:type="dxa"/>
          </w:tcPr>
          <w:p w14:paraId="55532801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en-US"/>
              </w:rPr>
            </w:pPr>
            <w:r w:rsidRPr="006A0D38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  <w:lang w:bidi="en-US"/>
              </w:rPr>
              <w:t>Disallowed regions%</w:t>
            </w:r>
          </w:p>
        </w:tc>
      </w:tr>
      <w:tr w:rsidR="00ED25BB" w14:paraId="37E5BD79" w14:textId="77777777" w:rsidTr="006A0D38">
        <w:trPr>
          <w:trHeight w:val="1977"/>
        </w:trPr>
        <w:tc>
          <w:tcPr>
            <w:tcW w:w="1568" w:type="dxa"/>
            <w:vAlign w:val="center"/>
          </w:tcPr>
          <w:p w14:paraId="1B8297D1" w14:textId="77777777" w:rsidR="00ED25BB" w:rsidRPr="00AD6CAF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acetylcholine esterase</w:t>
            </w:r>
          </w:p>
        </w:tc>
        <w:tc>
          <w:tcPr>
            <w:tcW w:w="2651" w:type="dxa"/>
          </w:tcPr>
          <w:p w14:paraId="7C06FFDE" w14:textId="77777777" w:rsidR="00ED25BB" w:rsidRDefault="00ED25BB" w:rsidP="00326247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79899816" wp14:editId="1D0EEE4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40005</wp:posOffset>
                  </wp:positionV>
                  <wp:extent cx="1671320" cy="1241425"/>
                  <wp:effectExtent l="0" t="0" r="5080" b="0"/>
                  <wp:wrapSquare wrapText="bothSides"/>
                  <wp:docPr id="1865095289" name="Picture 1" descr="A yellow and red char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095289" name="Picture 1" descr="A yellow and red chart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4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vAlign w:val="center"/>
          </w:tcPr>
          <w:p w14:paraId="3392EAC6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89.5%</w:t>
            </w:r>
          </w:p>
        </w:tc>
        <w:tc>
          <w:tcPr>
            <w:tcW w:w="1134" w:type="dxa"/>
            <w:vAlign w:val="center"/>
          </w:tcPr>
          <w:p w14:paraId="264582FA" w14:textId="31566B45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1276" w:type="dxa"/>
            <w:vAlign w:val="center"/>
          </w:tcPr>
          <w:p w14:paraId="53BE6A84" w14:textId="5B5DFFB8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0.5%</w:t>
            </w:r>
          </w:p>
        </w:tc>
        <w:tc>
          <w:tcPr>
            <w:tcW w:w="1276" w:type="dxa"/>
            <w:vAlign w:val="center"/>
          </w:tcPr>
          <w:p w14:paraId="4B091E8C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</w:rPr>
              <w:t>0.0</w:t>
            </w:r>
          </w:p>
        </w:tc>
      </w:tr>
      <w:tr w:rsidR="00ED25BB" w14:paraId="3229B93F" w14:textId="77777777" w:rsidTr="006A0D38">
        <w:trPr>
          <w:trHeight w:val="2138"/>
        </w:trPr>
        <w:tc>
          <w:tcPr>
            <w:tcW w:w="1568" w:type="dxa"/>
            <w:vAlign w:val="center"/>
          </w:tcPr>
          <w:p w14:paraId="03A291EB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sodium channel protein</w:t>
            </w:r>
          </w:p>
        </w:tc>
        <w:tc>
          <w:tcPr>
            <w:tcW w:w="2651" w:type="dxa"/>
          </w:tcPr>
          <w:p w14:paraId="0EC49860" w14:textId="77777777" w:rsidR="00ED25BB" w:rsidRDefault="00ED25BB" w:rsidP="00326247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421B8B6E" wp14:editId="4DA5B9D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71755</wp:posOffset>
                  </wp:positionV>
                  <wp:extent cx="1733550" cy="1226820"/>
                  <wp:effectExtent l="0" t="0" r="0" b="0"/>
                  <wp:wrapSquare wrapText="bothSides"/>
                  <wp:docPr id="1396132365" name="Picture 1" descr="A yellow and red char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132365" name="Picture 1" descr="A yellow and red char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22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vAlign w:val="center"/>
          </w:tcPr>
          <w:p w14:paraId="2716509A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82.8%,</w:t>
            </w:r>
          </w:p>
        </w:tc>
        <w:tc>
          <w:tcPr>
            <w:tcW w:w="1134" w:type="dxa"/>
            <w:vAlign w:val="center"/>
          </w:tcPr>
          <w:p w14:paraId="1E1EE07D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14.8</w:t>
            </w:r>
          </w:p>
        </w:tc>
        <w:tc>
          <w:tcPr>
            <w:tcW w:w="1276" w:type="dxa"/>
            <w:vAlign w:val="center"/>
          </w:tcPr>
          <w:p w14:paraId="2196EC43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2.1%</w:t>
            </w:r>
          </w:p>
        </w:tc>
        <w:tc>
          <w:tcPr>
            <w:tcW w:w="1276" w:type="dxa"/>
            <w:vAlign w:val="center"/>
          </w:tcPr>
          <w:p w14:paraId="35F27971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0.3</w:t>
            </w:r>
          </w:p>
        </w:tc>
      </w:tr>
      <w:tr w:rsidR="00ED25BB" w14:paraId="27C2DC49" w14:textId="77777777" w:rsidTr="006A0D38">
        <w:trPr>
          <w:trHeight w:val="1407"/>
        </w:trPr>
        <w:tc>
          <w:tcPr>
            <w:tcW w:w="1568" w:type="dxa"/>
            <w:vAlign w:val="center"/>
          </w:tcPr>
          <w:p w14:paraId="05B46D86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Glutamate-gated chloride channel receptors</w:t>
            </w:r>
          </w:p>
        </w:tc>
        <w:tc>
          <w:tcPr>
            <w:tcW w:w="2651" w:type="dxa"/>
          </w:tcPr>
          <w:p w14:paraId="75DA53AA" w14:textId="77777777" w:rsidR="00ED25BB" w:rsidRDefault="00ED25BB" w:rsidP="00326247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25A2684" wp14:editId="7CF07F73">
                  <wp:extent cx="1602029" cy="1104049"/>
                  <wp:effectExtent l="0" t="0" r="0" b="1270"/>
                  <wp:docPr id="1870709979" name="Picture 2" descr="A yellow and red squares with black do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709979" name="Picture 2" descr="A yellow and red squares with black dot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227" cy="11083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53C8A47B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82.1%</w:t>
            </w:r>
          </w:p>
        </w:tc>
        <w:tc>
          <w:tcPr>
            <w:tcW w:w="1134" w:type="dxa"/>
            <w:vAlign w:val="center"/>
          </w:tcPr>
          <w:p w14:paraId="535AE91C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17.6</w:t>
            </w:r>
          </w:p>
        </w:tc>
        <w:tc>
          <w:tcPr>
            <w:tcW w:w="1276" w:type="dxa"/>
            <w:vAlign w:val="center"/>
          </w:tcPr>
          <w:p w14:paraId="61ADBCA0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0.3%</w:t>
            </w:r>
          </w:p>
        </w:tc>
        <w:tc>
          <w:tcPr>
            <w:tcW w:w="1276" w:type="dxa"/>
            <w:vAlign w:val="center"/>
          </w:tcPr>
          <w:p w14:paraId="612A1DB7" w14:textId="77777777" w:rsidR="00ED25BB" w:rsidRPr="006A0D38" w:rsidRDefault="00ED25BB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</w:rPr>
              <w:t>0.0</w:t>
            </w:r>
          </w:p>
        </w:tc>
      </w:tr>
    </w:tbl>
    <w:p w14:paraId="7F98F858" w14:textId="77777777" w:rsidR="00ED25BB" w:rsidRDefault="00ED25BB" w:rsidP="0083375E">
      <w:pPr>
        <w:jc w:val="both"/>
        <w:rPr>
          <w:lang w:val="en-US"/>
        </w:rPr>
      </w:pPr>
    </w:p>
    <w:p w14:paraId="625D4A9B" w14:textId="5F1BF9A5" w:rsidR="0083375E" w:rsidRPr="006A0D38" w:rsidRDefault="0083375E" w:rsidP="006A0D38">
      <w:pPr>
        <w:jc w:val="both"/>
        <w:rPr>
          <w:sz w:val="24"/>
          <w:szCs w:val="20"/>
          <w:lang w:val="en-US"/>
        </w:rPr>
      </w:pPr>
      <w:r w:rsidRPr="006A0D38">
        <w:rPr>
          <w:b/>
          <w:bCs/>
          <w:sz w:val="24"/>
          <w:szCs w:val="20"/>
          <w:lang w:val="en-US"/>
        </w:rPr>
        <w:t xml:space="preserve">Table S2: </w:t>
      </w:r>
      <w:r w:rsidRPr="006A0D38">
        <w:rPr>
          <w:sz w:val="24"/>
          <w:szCs w:val="20"/>
          <w:lang w:val="en-US"/>
        </w:rPr>
        <w:t xml:space="preserve">Molecular interactions of </w:t>
      </w:r>
      <w:proofErr w:type="spellStart"/>
      <w:r w:rsidRPr="006A0D38">
        <w:rPr>
          <w:sz w:val="24"/>
          <w:szCs w:val="20"/>
          <w:lang w:val="en-US"/>
        </w:rPr>
        <w:t>Emamectin</w:t>
      </w:r>
      <w:proofErr w:type="spellEnd"/>
      <w:r w:rsidRPr="006A0D38">
        <w:rPr>
          <w:sz w:val="24"/>
          <w:szCs w:val="20"/>
          <w:lang w:val="en-US"/>
        </w:rPr>
        <w:t xml:space="preserve"> benzoate with the active-site residues of target protein receptor</w:t>
      </w:r>
    </w:p>
    <w:tbl>
      <w:tblPr>
        <w:tblStyle w:val="TableGrid"/>
        <w:tblW w:w="0" w:type="auto"/>
        <w:jc w:val="center"/>
        <w:tblInd w:w="-635" w:type="dxa"/>
        <w:tblLook w:val="04A0" w:firstRow="1" w:lastRow="0" w:firstColumn="1" w:lastColumn="0" w:noHBand="0" w:noVBand="1"/>
      </w:tblPr>
      <w:tblGrid>
        <w:gridCol w:w="2430"/>
        <w:gridCol w:w="2282"/>
        <w:gridCol w:w="2127"/>
        <w:gridCol w:w="2551"/>
      </w:tblGrid>
      <w:tr w:rsidR="0083375E" w:rsidRPr="00D23F01" w14:paraId="187E52D1" w14:textId="77777777" w:rsidTr="006A0D38">
        <w:trPr>
          <w:jc w:val="center"/>
        </w:trPr>
        <w:tc>
          <w:tcPr>
            <w:tcW w:w="2430" w:type="dxa"/>
            <w:vAlign w:val="center"/>
          </w:tcPr>
          <w:p w14:paraId="057459C7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6A0D38">
              <w:rPr>
                <w:b/>
                <w:bCs/>
                <w:sz w:val="22"/>
                <w:szCs w:val="22"/>
              </w:rPr>
              <w:t>Docking characters</w:t>
            </w:r>
          </w:p>
        </w:tc>
        <w:tc>
          <w:tcPr>
            <w:tcW w:w="2282" w:type="dxa"/>
            <w:vAlign w:val="center"/>
          </w:tcPr>
          <w:p w14:paraId="5BA4EA0D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acetylcholine esterase</w:t>
            </w:r>
          </w:p>
        </w:tc>
        <w:tc>
          <w:tcPr>
            <w:tcW w:w="2127" w:type="dxa"/>
            <w:vAlign w:val="center"/>
          </w:tcPr>
          <w:p w14:paraId="60B3EEDB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 xml:space="preserve">sodium channel </w:t>
            </w:r>
            <w:r w:rsidRPr="006A0D38">
              <w:rPr>
                <w:b/>
                <w:bCs/>
                <w:sz w:val="22"/>
                <w:szCs w:val="22"/>
              </w:rPr>
              <w:t>receptors</w:t>
            </w:r>
          </w:p>
        </w:tc>
        <w:tc>
          <w:tcPr>
            <w:tcW w:w="2551" w:type="dxa"/>
            <w:vAlign w:val="center"/>
          </w:tcPr>
          <w:p w14:paraId="71DF243E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0D38">
              <w:rPr>
                <w:b/>
                <w:bCs/>
                <w:sz w:val="22"/>
                <w:szCs w:val="22"/>
                <w:lang w:val="ru-RU"/>
              </w:rPr>
              <w:t>Glutamate-gated chloride channel receptors</w:t>
            </w:r>
          </w:p>
        </w:tc>
      </w:tr>
      <w:tr w:rsidR="0083375E" w:rsidRPr="00D23F01" w14:paraId="7CD2B113" w14:textId="77777777" w:rsidTr="006A0D38">
        <w:trPr>
          <w:jc w:val="center"/>
        </w:trPr>
        <w:tc>
          <w:tcPr>
            <w:tcW w:w="2430" w:type="dxa"/>
            <w:vAlign w:val="center"/>
          </w:tcPr>
          <w:p w14:paraId="413BCBCE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rFonts w:eastAsia="Calibri"/>
                <w:b/>
                <w:bCs/>
                <w:sz w:val="20"/>
                <w:szCs w:val="20"/>
                <w:lang w:val="ru-RU"/>
              </w:rPr>
              <w:t>interaction affinity score</w:t>
            </w:r>
            <w:r w:rsidRPr="006A0D38">
              <w:rPr>
                <w:rFonts w:eastAsia="Calibri"/>
                <w:b/>
                <w:bCs/>
                <w:sz w:val="20"/>
                <w:szCs w:val="20"/>
              </w:rPr>
              <w:t xml:space="preserve"> (</w:t>
            </w:r>
            <w:r w:rsidRPr="006A0D38">
              <w:rPr>
                <w:rFonts w:eastAsia="Calibri"/>
                <w:b/>
                <w:bCs/>
                <w:sz w:val="20"/>
                <w:szCs w:val="20"/>
                <w:lang w:val="ru-RU"/>
              </w:rPr>
              <w:t>kcal/mol</w:t>
            </w:r>
            <w:r w:rsidRPr="006A0D38">
              <w:rPr>
                <w:rFonts w:eastAsia="Calibri"/>
                <w:b/>
                <w:bCs/>
                <w:sz w:val="20"/>
                <w:szCs w:val="20"/>
              </w:rPr>
              <w:t>), RMSD (</w:t>
            </w:r>
            <w:r w:rsidRPr="006A0D38">
              <w:rPr>
                <w:rFonts w:eastAsia="Calibri"/>
                <w:b/>
                <w:bCs/>
                <w:sz w:val="20"/>
                <w:szCs w:val="20"/>
                <w:lang w:val="ru-RU"/>
              </w:rPr>
              <w:t>Å</w:t>
            </w:r>
            <w:r w:rsidRPr="006A0D38">
              <w:rPr>
                <w:rFonts w:eastAsia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82" w:type="dxa"/>
            <w:vAlign w:val="center"/>
          </w:tcPr>
          <w:p w14:paraId="2E067A4D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rFonts w:eastAsia="+mn-ea"/>
                <w:b/>
                <w:bCs/>
                <w:color w:val="000000"/>
                <w:kern w:val="24"/>
                <w:sz w:val="20"/>
                <w:szCs w:val="20"/>
              </w:rPr>
              <w:t xml:space="preserve">- 9.8, </w:t>
            </w:r>
            <w:r w:rsidRPr="006A0D38">
              <w:rPr>
                <w:rFonts w:eastAsia="+mn-ea"/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1.5</w:t>
            </w:r>
          </w:p>
        </w:tc>
        <w:tc>
          <w:tcPr>
            <w:tcW w:w="2127" w:type="dxa"/>
            <w:vAlign w:val="center"/>
          </w:tcPr>
          <w:p w14:paraId="498E94FE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  <w:lang w:val="ru-RU"/>
              </w:rPr>
              <w:t>-8.5</w:t>
            </w:r>
            <w:r w:rsidRPr="006A0D38">
              <w:rPr>
                <w:b/>
                <w:bCs/>
                <w:sz w:val="20"/>
                <w:szCs w:val="20"/>
              </w:rPr>
              <w:t>, 1.3</w:t>
            </w:r>
          </w:p>
        </w:tc>
        <w:tc>
          <w:tcPr>
            <w:tcW w:w="2551" w:type="dxa"/>
            <w:vAlign w:val="center"/>
          </w:tcPr>
          <w:p w14:paraId="7DF6B6E0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  <w:lang w:val="ru-RU"/>
              </w:rPr>
              <w:t>-6.8</w:t>
            </w:r>
            <w:r w:rsidRPr="006A0D38">
              <w:rPr>
                <w:b/>
                <w:bCs/>
                <w:sz w:val="20"/>
                <w:szCs w:val="20"/>
              </w:rPr>
              <w:t>, 1.3</w:t>
            </w:r>
          </w:p>
        </w:tc>
      </w:tr>
      <w:tr w:rsidR="0083375E" w:rsidRPr="00D23F01" w14:paraId="41DB92B9" w14:textId="77777777" w:rsidTr="006A0D38">
        <w:trPr>
          <w:jc w:val="center"/>
        </w:trPr>
        <w:tc>
          <w:tcPr>
            <w:tcW w:w="2430" w:type="dxa"/>
            <w:vAlign w:val="center"/>
          </w:tcPr>
          <w:p w14:paraId="39E00FED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</w:rPr>
              <w:t>Interactions other than hydrogen bond</w:t>
            </w:r>
          </w:p>
        </w:tc>
        <w:tc>
          <w:tcPr>
            <w:tcW w:w="2282" w:type="dxa"/>
            <w:vAlign w:val="center"/>
          </w:tcPr>
          <w:p w14:paraId="63CFD1D5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</w:rPr>
              <w:t>Alkyl, Pi-Alkyl, attractive charge, and caron hydrogen bond</w:t>
            </w:r>
          </w:p>
        </w:tc>
        <w:tc>
          <w:tcPr>
            <w:tcW w:w="2127" w:type="dxa"/>
            <w:vAlign w:val="center"/>
          </w:tcPr>
          <w:p w14:paraId="36B1D74F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  <w:lang w:val="ru-RU"/>
              </w:rPr>
              <w:t>Alkyl,</w:t>
            </w:r>
            <w:r w:rsidRPr="006A0D38">
              <w:rPr>
                <w:b/>
                <w:bCs/>
                <w:sz w:val="20"/>
                <w:szCs w:val="20"/>
              </w:rPr>
              <w:t xml:space="preserve"> </w:t>
            </w:r>
            <w:r w:rsidRPr="006A0D38">
              <w:rPr>
                <w:b/>
                <w:bCs/>
                <w:sz w:val="20"/>
                <w:szCs w:val="20"/>
                <w:lang w:val="ru-RU"/>
              </w:rPr>
              <w:t>attractive charge, and caron hydrogen</w:t>
            </w:r>
          </w:p>
        </w:tc>
        <w:tc>
          <w:tcPr>
            <w:tcW w:w="2551" w:type="dxa"/>
            <w:vAlign w:val="center"/>
          </w:tcPr>
          <w:p w14:paraId="5F9DBFFF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  <w:lang w:val="ru-RU"/>
              </w:rPr>
              <w:t>Alkyl, Pi-Alkyl,</w:t>
            </w:r>
            <w:r w:rsidRPr="006A0D38">
              <w:rPr>
                <w:b/>
                <w:bCs/>
                <w:sz w:val="20"/>
                <w:szCs w:val="20"/>
              </w:rPr>
              <w:t xml:space="preserve"> and</w:t>
            </w:r>
            <w:r w:rsidRPr="006A0D38">
              <w:rPr>
                <w:rFonts w:eastAsiaTheme="minorHAnsi" w:cstheme="min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A0D38">
              <w:rPr>
                <w:b/>
                <w:bCs/>
                <w:sz w:val="20"/>
                <w:szCs w:val="20"/>
                <w:lang w:val="ru-RU"/>
              </w:rPr>
              <w:t>caron hydrogen</w:t>
            </w:r>
          </w:p>
        </w:tc>
      </w:tr>
      <w:tr w:rsidR="0083375E" w:rsidRPr="00D23F01" w14:paraId="479C397E" w14:textId="77777777" w:rsidTr="006A0D38">
        <w:trPr>
          <w:jc w:val="center"/>
        </w:trPr>
        <w:tc>
          <w:tcPr>
            <w:tcW w:w="2430" w:type="dxa"/>
            <w:vAlign w:val="center"/>
          </w:tcPr>
          <w:p w14:paraId="1F988B11" w14:textId="77777777" w:rsidR="0083375E" w:rsidRPr="006A0D38" w:rsidRDefault="0083375E" w:rsidP="006A0D38">
            <w:pPr>
              <w:pStyle w:val="NormalWeb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</w:rPr>
              <w:t>Amino acids involved in  hydrogen bonds: distance</w:t>
            </w:r>
          </w:p>
        </w:tc>
        <w:tc>
          <w:tcPr>
            <w:tcW w:w="2282" w:type="dxa"/>
            <w:vAlign w:val="center"/>
          </w:tcPr>
          <w:p w14:paraId="3A1BC612" w14:textId="77777777" w:rsidR="0083375E" w:rsidRPr="006A0D38" w:rsidRDefault="0083375E" w:rsidP="006A0D3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</w:rPr>
            </w:pPr>
            <w:bookmarkStart w:id="1" w:name="_Hlk214901339"/>
            <w:r w:rsidRPr="006A0D38">
              <w:rPr>
                <w:b/>
                <w:bCs/>
                <w:sz w:val="20"/>
                <w:szCs w:val="20"/>
              </w:rPr>
              <w:t>Gly 231: 2.09</w:t>
            </w:r>
          </w:p>
          <w:p w14:paraId="568A7189" w14:textId="77777777" w:rsidR="0083375E" w:rsidRPr="006A0D38" w:rsidRDefault="0083375E" w:rsidP="006A0D38">
            <w:pPr>
              <w:pStyle w:val="NormalWeb"/>
              <w:spacing w:before="0" w:beforeAutospacing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</w:rPr>
              <w:t>TRP 446</w:t>
            </w:r>
            <w:bookmarkEnd w:id="1"/>
            <w:r w:rsidRPr="006A0D38">
              <w:rPr>
                <w:b/>
                <w:bCs/>
                <w:sz w:val="20"/>
                <w:szCs w:val="20"/>
              </w:rPr>
              <w:t>: 2.11</w:t>
            </w:r>
          </w:p>
        </w:tc>
        <w:tc>
          <w:tcPr>
            <w:tcW w:w="2127" w:type="dxa"/>
            <w:vAlign w:val="center"/>
          </w:tcPr>
          <w:p w14:paraId="18327C2C" w14:textId="77777777" w:rsidR="0083375E" w:rsidRPr="006A0D38" w:rsidRDefault="0083375E" w:rsidP="006A0D3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</w:rPr>
              <w:t>ASP 1840: 2.04</w:t>
            </w:r>
          </w:p>
          <w:p w14:paraId="63D270EF" w14:textId="77777777" w:rsidR="0083375E" w:rsidRPr="006A0D38" w:rsidRDefault="0083375E" w:rsidP="006A0D3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</w:rPr>
              <w:t>ASP 1847: 1.8</w:t>
            </w:r>
          </w:p>
          <w:p w14:paraId="1B436F92" w14:textId="77777777" w:rsidR="0083375E" w:rsidRPr="006A0D38" w:rsidRDefault="0083375E" w:rsidP="006A0D3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</w:rPr>
              <w:t>ASN 595: 3.07</w:t>
            </w:r>
          </w:p>
        </w:tc>
        <w:tc>
          <w:tcPr>
            <w:tcW w:w="2551" w:type="dxa"/>
            <w:vAlign w:val="center"/>
          </w:tcPr>
          <w:p w14:paraId="051BF95A" w14:textId="77777777" w:rsidR="0083375E" w:rsidRPr="006A0D38" w:rsidRDefault="0083375E" w:rsidP="006A0D3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</w:rPr>
              <w:t>GLN 253: 2.3</w:t>
            </w:r>
          </w:p>
          <w:p w14:paraId="1D39A5D9" w14:textId="77777777" w:rsidR="0083375E" w:rsidRPr="006A0D38" w:rsidRDefault="0083375E" w:rsidP="006A0D3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6A0D38">
              <w:rPr>
                <w:b/>
                <w:bCs/>
                <w:sz w:val="20"/>
                <w:szCs w:val="20"/>
              </w:rPr>
              <w:t>TYR 249: 2.9</w:t>
            </w:r>
          </w:p>
        </w:tc>
      </w:tr>
    </w:tbl>
    <w:p w14:paraId="27878D9E" w14:textId="77777777" w:rsidR="0083375E" w:rsidRPr="00ED25BB" w:rsidRDefault="0083375E" w:rsidP="006C0B77">
      <w:pPr>
        <w:ind w:firstLine="709"/>
        <w:jc w:val="both"/>
        <w:rPr>
          <w:lang w:val="en-US"/>
        </w:rPr>
      </w:pPr>
    </w:p>
    <w:sectPr w:rsidR="0083375E" w:rsidRPr="00ED25B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0BC"/>
    <w:rsid w:val="00071276"/>
    <w:rsid w:val="000F182A"/>
    <w:rsid w:val="00622B32"/>
    <w:rsid w:val="006A0D38"/>
    <w:rsid w:val="006C0B77"/>
    <w:rsid w:val="008242FF"/>
    <w:rsid w:val="0083375E"/>
    <w:rsid w:val="00870751"/>
    <w:rsid w:val="00922C48"/>
    <w:rsid w:val="009B50BC"/>
    <w:rsid w:val="00B915B7"/>
    <w:rsid w:val="00B96B30"/>
    <w:rsid w:val="00EA59DF"/>
    <w:rsid w:val="00ED25BB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3157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5BB"/>
    <w:pPr>
      <w:spacing w:after="0"/>
    </w:pPr>
    <w:rPr>
      <w:rFonts w:ascii="Times New Roman" w:hAnsi="Times New Roman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5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0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0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0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0B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0B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0B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0B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0BC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0BC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0BC"/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0BC"/>
    <w:rPr>
      <w:rFonts w:eastAsiaTheme="majorEastAsia" w:cstheme="majorBidi"/>
      <w:i/>
      <w:iCs/>
      <w:color w:val="2E74B5" w:themeColor="accent1" w:themeShade="BF"/>
      <w:kern w:val="0"/>
      <w:sz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0BC"/>
    <w:rPr>
      <w:rFonts w:eastAsiaTheme="majorEastAsia" w:cstheme="majorBidi"/>
      <w:color w:val="2E74B5" w:themeColor="accent1" w:themeShade="BF"/>
      <w:kern w:val="0"/>
      <w:sz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0BC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0BC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0BC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0BC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B50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0B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0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0B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B50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0BC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ListParagraph">
    <w:name w:val="List Paragraph"/>
    <w:basedOn w:val="Normal"/>
    <w:uiPriority w:val="34"/>
    <w:qFormat/>
    <w:rsid w:val="009B5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0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0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0BC"/>
    <w:rPr>
      <w:rFonts w:ascii="Times New Roman" w:hAnsi="Times New Roman"/>
      <w:i/>
      <w:iCs/>
      <w:color w:val="2E74B5" w:themeColor="accent1" w:themeShade="BF"/>
      <w:kern w:val="0"/>
      <w:sz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B50BC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D25BB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ED25B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0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3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5BB"/>
    <w:pPr>
      <w:spacing w:after="0"/>
    </w:pPr>
    <w:rPr>
      <w:rFonts w:ascii="Times New Roman" w:hAnsi="Times New Roman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5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0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0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0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0B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0B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0B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0B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0BC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0BC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0BC"/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0BC"/>
    <w:rPr>
      <w:rFonts w:eastAsiaTheme="majorEastAsia" w:cstheme="majorBidi"/>
      <w:i/>
      <w:iCs/>
      <w:color w:val="2E74B5" w:themeColor="accent1" w:themeShade="BF"/>
      <w:kern w:val="0"/>
      <w:sz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0BC"/>
    <w:rPr>
      <w:rFonts w:eastAsiaTheme="majorEastAsia" w:cstheme="majorBidi"/>
      <w:color w:val="2E74B5" w:themeColor="accent1" w:themeShade="BF"/>
      <w:kern w:val="0"/>
      <w:sz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0BC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0BC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0BC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0BC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B50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0B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0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0B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B50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0BC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ListParagraph">
    <w:name w:val="List Paragraph"/>
    <w:basedOn w:val="Normal"/>
    <w:uiPriority w:val="34"/>
    <w:qFormat/>
    <w:rsid w:val="009B5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0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0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0BC"/>
    <w:rPr>
      <w:rFonts w:ascii="Times New Roman" w:hAnsi="Times New Roman"/>
      <w:i/>
      <w:iCs/>
      <w:color w:val="2E74B5" w:themeColor="accent1" w:themeShade="BF"/>
      <w:kern w:val="0"/>
      <w:sz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B50BC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D25BB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ED25B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0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3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Ghada Mostafa El-Sayed</dc:creator>
  <cp:lastModifiedBy>Sherif Nouh</cp:lastModifiedBy>
  <cp:revision>2</cp:revision>
  <dcterms:created xsi:type="dcterms:W3CDTF">2025-11-26T13:16:00Z</dcterms:created>
  <dcterms:modified xsi:type="dcterms:W3CDTF">2025-11-26T13:16:00Z</dcterms:modified>
</cp:coreProperties>
</file>