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2E6A6" w14:textId="5CE52DA6" w:rsidR="00D901E1" w:rsidRPr="006A4376" w:rsidRDefault="00C335A4" w:rsidP="00D901E1">
      <w:pPr>
        <w:spacing w:line="360" w:lineRule="auto"/>
        <w:rPr>
          <w:rFonts w:ascii="Times New Roman" w:hAnsi="Times New Roman" w:cs="Times New Roman"/>
          <w:bCs/>
          <w:sz w:val="24"/>
          <w:szCs w:val="24"/>
        </w:rPr>
      </w:pPr>
      <w:r>
        <w:rPr>
          <w:rFonts w:ascii="Times New Roman" w:hAnsi="Times New Roman" w:cs="Times New Roman"/>
          <w:b/>
          <w:bCs/>
          <w:sz w:val="24"/>
          <w:szCs w:val="24"/>
        </w:rPr>
        <w:t xml:space="preserve">Supplementary </w:t>
      </w:r>
      <w:r w:rsidR="00ED2890">
        <w:rPr>
          <w:rFonts w:ascii="Times New Roman" w:hAnsi="Times New Roman" w:cs="Times New Roman"/>
          <w:b/>
          <w:bCs/>
          <w:sz w:val="24"/>
          <w:szCs w:val="24"/>
        </w:rPr>
        <w:t>Table</w:t>
      </w:r>
      <w:r w:rsidR="005134ED" w:rsidRPr="006A4376">
        <w:rPr>
          <w:rFonts w:ascii="Times New Roman" w:hAnsi="Times New Roman" w:cs="Times New Roman"/>
          <w:b/>
          <w:bCs/>
          <w:sz w:val="24"/>
          <w:szCs w:val="24"/>
        </w:rPr>
        <w:t xml:space="preserve"> 1.</w:t>
      </w:r>
      <w:r w:rsidR="005134ED" w:rsidRPr="006A4376">
        <w:rPr>
          <w:rFonts w:ascii="Times New Roman" w:hAnsi="Times New Roman" w:cs="Times New Roman"/>
          <w:sz w:val="24"/>
          <w:szCs w:val="24"/>
        </w:rPr>
        <w:t xml:space="preserve"> </w:t>
      </w:r>
      <w:r w:rsidR="00D901E1" w:rsidRPr="006A4376">
        <w:rPr>
          <w:rFonts w:ascii="Times New Roman" w:hAnsi="Times New Roman" w:cs="Times New Roman"/>
          <w:bCs/>
          <w:sz w:val="24"/>
          <w:szCs w:val="24"/>
        </w:rPr>
        <w:t xml:space="preserve">Overview of published </w:t>
      </w:r>
      <w:r w:rsidR="00D901E1" w:rsidRPr="006A4376">
        <w:rPr>
          <w:rFonts w:ascii="Times New Roman" w:hAnsi="Times New Roman" w:cs="Times New Roman"/>
          <w:bCs/>
          <w:i/>
          <w:iCs/>
          <w:sz w:val="24"/>
          <w:szCs w:val="24"/>
        </w:rPr>
        <w:t>in</w:t>
      </w:r>
      <w:r w:rsidR="006A4376" w:rsidRPr="006A4376">
        <w:rPr>
          <w:rFonts w:ascii="Times New Roman" w:hAnsi="Times New Roman" w:cs="Times New Roman"/>
          <w:bCs/>
          <w:i/>
          <w:iCs/>
          <w:sz w:val="24"/>
          <w:szCs w:val="24"/>
        </w:rPr>
        <w:t>-</w:t>
      </w:r>
      <w:r w:rsidR="00D901E1" w:rsidRPr="006A4376">
        <w:rPr>
          <w:rFonts w:ascii="Times New Roman" w:hAnsi="Times New Roman" w:cs="Times New Roman"/>
          <w:bCs/>
          <w:i/>
          <w:iCs/>
          <w:sz w:val="24"/>
          <w:szCs w:val="24"/>
        </w:rPr>
        <w:t>silico</w:t>
      </w:r>
      <w:r w:rsidR="00D901E1" w:rsidRPr="006A4376">
        <w:rPr>
          <w:rFonts w:ascii="Times New Roman" w:hAnsi="Times New Roman" w:cs="Times New Roman"/>
          <w:bCs/>
          <w:sz w:val="24"/>
          <w:szCs w:val="24"/>
        </w:rPr>
        <w:t xml:space="preserve"> and </w:t>
      </w:r>
      <w:r w:rsidR="00D901E1" w:rsidRPr="00FB0147">
        <w:rPr>
          <w:rFonts w:ascii="Times New Roman" w:hAnsi="Times New Roman" w:cs="Times New Roman"/>
          <w:bCs/>
          <w:i/>
          <w:iCs/>
          <w:sz w:val="24"/>
          <w:szCs w:val="24"/>
        </w:rPr>
        <w:t>in vitro</w:t>
      </w:r>
      <w:r w:rsidR="00D901E1" w:rsidRPr="006A4376">
        <w:rPr>
          <w:rFonts w:ascii="Times New Roman" w:hAnsi="Times New Roman" w:cs="Times New Roman"/>
          <w:bCs/>
          <w:sz w:val="24"/>
          <w:szCs w:val="24"/>
        </w:rPr>
        <w:t xml:space="preserve"> studies targeting PTP1B and/or DPP-4, and how these approaches support the present study.</w:t>
      </w:r>
    </w:p>
    <w:tbl>
      <w:tblPr>
        <w:tblStyle w:val="PlainTable2"/>
        <w:tblpPr w:leftFromText="180" w:rightFromText="180" w:vertAnchor="text" w:horzAnchor="page" w:tblpXSpec="center" w:tblpY="714"/>
        <w:tblW w:w="11880" w:type="dxa"/>
        <w:tblLayout w:type="fixed"/>
        <w:tblLook w:val="04A0" w:firstRow="1" w:lastRow="0" w:firstColumn="1" w:lastColumn="0" w:noHBand="0" w:noVBand="1"/>
      </w:tblPr>
      <w:tblGrid>
        <w:gridCol w:w="1493"/>
        <w:gridCol w:w="2007"/>
        <w:gridCol w:w="2586"/>
        <w:gridCol w:w="2440"/>
        <w:gridCol w:w="3354"/>
      </w:tblGrid>
      <w:tr w:rsidR="00D901E1" w:rsidRPr="00D901E1" w14:paraId="59EA4500" w14:textId="77777777" w:rsidTr="006A4376">
        <w:trPr>
          <w:cnfStyle w:val="100000000000" w:firstRow="1" w:lastRow="0" w:firstColumn="0" w:lastColumn="0" w:oddVBand="0" w:evenVBand="0" w:oddHBand="0"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1493" w:type="dxa"/>
            <w:tcBorders>
              <w:top w:val="single" w:sz="18" w:space="0" w:color="auto"/>
              <w:bottom w:val="single" w:sz="18" w:space="0" w:color="auto"/>
            </w:tcBorders>
            <w:vAlign w:val="center"/>
          </w:tcPr>
          <w:p w14:paraId="297C3F01" w14:textId="77777777" w:rsidR="00D901E1" w:rsidRPr="00D901E1" w:rsidRDefault="00D901E1" w:rsidP="006A4376">
            <w:pPr>
              <w:spacing w:line="360" w:lineRule="auto"/>
              <w:jc w:val="center"/>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Literature references</w:t>
            </w:r>
          </w:p>
        </w:tc>
        <w:tc>
          <w:tcPr>
            <w:tcW w:w="2007" w:type="dxa"/>
            <w:tcBorders>
              <w:top w:val="single" w:sz="18" w:space="0" w:color="auto"/>
              <w:bottom w:val="single" w:sz="18" w:space="0" w:color="auto"/>
            </w:tcBorders>
            <w:vAlign w:val="center"/>
          </w:tcPr>
          <w:p w14:paraId="1E89C8FB" w14:textId="5DDC0E1F" w:rsidR="00D901E1" w:rsidRPr="00173041" w:rsidRDefault="00E55B46" w:rsidP="006A437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M</w:t>
            </w:r>
            <w:r w:rsidR="00D901E1" w:rsidRPr="00173041">
              <w:rPr>
                <w:rFonts w:ascii="Times New Roman" w:eastAsia="Times New Roman" w:hAnsi="Times New Roman" w:cs="Times New Roman"/>
                <w:sz w:val="24"/>
                <w:szCs w:val="24"/>
                <w:lang w:bidi="bn-IN"/>
              </w:rPr>
              <w:t>ethods used</w:t>
            </w:r>
          </w:p>
        </w:tc>
        <w:tc>
          <w:tcPr>
            <w:tcW w:w="2586" w:type="dxa"/>
            <w:tcBorders>
              <w:top w:val="single" w:sz="18" w:space="0" w:color="auto"/>
              <w:bottom w:val="single" w:sz="18" w:space="0" w:color="auto"/>
            </w:tcBorders>
            <w:vAlign w:val="center"/>
          </w:tcPr>
          <w:p w14:paraId="26F000D4" w14:textId="65DE9B99" w:rsidR="00D901E1" w:rsidRPr="00173041" w:rsidRDefault="00D901E1" w:rsidP="006A437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173041">
              <w:rPr>
                <w:rFonts w:ascii="Times New Roman" w:eastAsia="Times New Roman" w:hAnsi="Times New Roman" w:cs="Times New Roman"/>
                <w:sz w:val="24"/>
                <w:szCs w:val="24"/>
                <w:lang w:bidi="bn-IN"/>
              </w:rPr>
              <w:t>Key findings</w:t>
            </w:r>
          </w:p>
        </w:tc>
        <w:tc>
          <w:tcPr>
            <w:tcW w:w="2440" w:type="dxa"/>
            <w:tcBorders>
              <w:top w:val="single" w:sz="18" w:space="0" w:color="auto"/>
              <w:bottom w:val="single" w:sz="18" w:space="0" w:color="auto"/>
            </w:tcBorders>
            <w:vAlign w:val="center"/>
          </w:tcPr>
          <w:p w14:paraId="605C8EF8" w14:textId="596791B7" w:rsidR="00D901E1" w:rsidRPr="00173041" w:rsidRDefault="00D901E1" w:rsidP="006A437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173041">
              <w:rPr>
                <w:rFonts w:ascii="Times New Roman" w:eastAsia="Times New Roman" w:hAnsi="Times New Roman" w:cs="Times New Roman"/>
                <w:i/>
                <w:iCs/>
                <w:sz w:val="24"/>
                <w:szCs w:val="24"/>
                <w:lang w:bidi="bn-IN"/>
              </w:rPr>
              <w:t>In vitro</w:t>
            </w:r>
            <w:r w:rsidRPr="00173041">
              <w:rPr>
                <w:rFonts w:ascii="Times New Roman" w:eastAsia="Times New Roman" w:hAnsi="Times New Roman" w:cs="Times New Roman"/>
                <w:sz w:val="24"/>
                <w:szCs w:val="24"/>
                <w:lang w:bidi="bn-IN"/>
              </w:rPr>
              <w:t xml:space="preserve"> </w:t>
            </w:r>
            <w:r w:rsidR="0064588B">
              <w:rPr>
                <w:rFonts w:ascii="Times New Roman" w:eastAsia="Times New Roman" w:hAnsi="Times New Roman" w:cs="Times New Roman"/>
                <w:sz w:val="24"/>
                <w:szCs w:val="24"/>
                <w:lang w:bidi="bn-IN"/>
              </w:rPr>
              <w:t>assessment</w:t>
            </w:r>
          </w:p>
        </w:tc>
        <w:tc>
          <w:tcPr>
            <w:tcW w:w="3354" w:type="dxa"/>
            <w:tcBorders>
              <w:top w:val="single" w:sz="18" w:space="0" w:color="auto"/>
              <w:bottom w:val="single" w:sz="18" w:space="0" w:color="auto"/>
            </w:tcBorders>
            <w:vAlign w:val="center"/>
          </w:tcPr>
          <w:p w14:paraId="59E5A4A5" w14:textId="6A2C1925" w:rsidR="00D901E1" w:rsidRPr="00173041" w:rsidRDefault="00E42E26" w:rsidP="006A437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S</w:t>
            </w:r>
            <w:r w:rsidRPr="00173041">
              <w:rPr>
                <w:rFonts w:ascii="Times New Roman" w:eastAsia="Times New Roman" w:hAnsi="Times New Roman" w:cs="Times New Roman"/>
                <w:sz w:val="24"/>
                <w:szCs w:val="24"/>
                <w:lang w:bidi="bn-IN"/>
              </w:rPr>
              <w:t>upport</w:t>
            </w:r>
            <w:r>
              <w:rPr>
                <w:rFonts w:ascii="Times New Roman" w:eastAsia="Times New Roman" w:hAnsi="Times New Roman" w:cs="Times New Roman"/>
                <w:sz w:val="24"/>
                <w:szCs w:val="24"/>
                <w:lang w:bidi="bn-IN"/>
              </w:rPr>
              <w:t xml:space="preserve"> for the r</w:t>
            </w:r>
            <w:r w:rsidR="00FD6AB4">
              <w:rPr>
                <w:rFonts w:ascii="Times New Roman" w:eastAsia="Times New Roman" w:hAnsi="Times New Roman" w:cs="Times New Roman"/>
                <w:sz w:val="24"/>
                <w:szCs w:val="24"/>
                <w:lang w:bidi="bn-IN"/>
              </w:rPr>
              <w:t>esearch</w:t>
            </w:r>
            <w:r w:rsidR="00D901E1" w:rsidRPr="00173041">
              <w:rPr>
                <w:rFonts w:ascii="Times New Roman" w:eastAsia="Times New Roman" w:hAnsi="Times New Roman" w:cs="Times New Roman"/>
                <w:sz w:val="24"/>
                <w:szCs w:val="24"/>
                <w:lang w:bidi="bn-IN"/>
              </w:rPr>
              <w:t xml:space="preserve"> </w:t>
            </w:r>
          </w:p>
        </w:tc>
      </w:tr>
      <w:tr w:rsidR="00D901E1" w:rsidRPr="00D901E1" w14:paraId="40882704" w14:textId="77777777" w:rsidTr="006A4376">
        <w:trPr>
          <w:cnfStyle w:val="000000100000" w:firstRow="0" w:lastRow="0" w:firstColumn="0" w:lastColumn="0" w:oddVBand="0" w:evenVBand="0" w:oddHBand="1" w:evenHBand="0" w:firstRowFirstColumn="0" w:firstRowLastColumn="0" w:lastRowFirstColumn="0" w:lastRowLastColumn="0"/>
          <w:trHeight w:val="1747"/>
        </w:trPr>
        <w:tc>
          <w:tcPr>
            <w:cnfStyle w:val="001000000000" w:firstRow="0" w:lastRow="0" w:firstColumn="1" w:lastColumn="0" w:oddVBand="0" w:evenVBand="0" w:oddHBand="0" w:evenHBand="0" w:firstRowFirstColumn="0" w:firstRowLastColumn="0" w:lastRowFirstColumn="0" w:lastRowLastColumn="0"/>
            <w:tcW w:w="1493" w:type="dxa"/>
            <w:tcBorders>
              <w:top w:val="single" w:sz="18" w:space="0" w:color="auto"/>
            </w:tcBorders>
            <w:vAlign w:val="center"/>
          </w:tcPr>
          <w:p w14:paraId="0B6602E5" w14:textId="5E11F168"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fldChar w:fldCharType="begin" w:fldLock="1"/>
            </w:r>
            <w:r w:rsidRPr="006A4376">
              <w:rPr>
                <w:rFonts w:ascii="Times New Roman" w:eastAsia="Times New Roman" w:hAnsi="Times New Roman" w:cs="Times New Roman"/>
                <w:b w:val="0"/>
                <w:bCs w:val="0"/>
                <w:sz w:val="24"/>
                <w:szCs w:val="24"/>
                <w:lang w:bidi="bn-IN"/>
              </w:rPr>
              <w:instrText>ADDIN CSL_CITATION {"citationItems":[{"id":"ITEM-1","itemData":{"DOI":"10.1016/j.ijbiomac.2023.125292","ISSN":"01418130","author":[{"dropping-particle":"","family":"Zhao","given":"Ji-Feng","non-dropping-particle":"","parse-names":false,"suffix":""},{"dropping-particle":"","family":"Li","given":"Li-Hua","non-dropping-particle":"","parse-names":false,"suffix":""},{"dropping-particle":"","family":"Guo","given":"Xiao-Jing","non-dropping-particle":"","parse-names":false,"suffix":""},{"dropping-particle":"","family":"Zhang","given":"Hai-Xia","non-dropping-particle":"","parse-names":false,"suffix":""},{"dropping-particle":"","family":"Tang","given":"Lin-Lin","non-dropping-particle":"","parse-names":false,"suffix":""},{"dropping-particle":"","family":"Ding","given":"Chuan-Hua","non-dropping-particle":"","parse-names":false,"suffix":""},{"dropping-particle":"","family":"Liu","given":"Wen-Shan","non-dropping-particle":"","parse-names":false,"suffix":""}],"container-title":"International Journal of Biological Macromolecules","id":"ITEM-1","issued":{"date-parts":[["2023","7"]]},"page":"125292","title":"Identification of natural product inhibitors of PTP1B based on high-throughput virtual screening strategy: In silico, in vitro and in vivo studies","type":"article-journal","volume":"243"},"uris":["http://www.mendeley.com/documents/?uuid=965941ae-b52b-4f4e-b95e-a4fe42368834"]}],"mendeley":{"formattedCitation":"[1]","plainTextFormattedCitation":"[1]","previouslyFormattedCitation":"[1]"},"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[1]</w:t>
            </w:r>
            <w:r w:rsidRPr="006A4376">
              <w:rPr>
                <w:rFonts w:ascii="Times New Roman" w:eastAsia="Times New Roman" w:hAnsi="Times New Roman" w:cs="Times New Roman"/>
                <w:sz w:val="24"/>
                <w:szCs w:val="24"/>
                <w:lang w:bidi="bn-IN"/>
              </w:rPr>
              <w:fldChar w:fldCharType="end"/>
            </w:r>
          </w:p>
        </w:tc>
        <w:tc>
          <w:tcPr>
            <w:tcW w:w="2007" w:type="dxa"/>
            <w:tcBorders>
              <w:top w:val="single" w:sz="18" w:space="0" w:color="auto"/>
            </w:tcBorders>
            <w:vAlign w:val="center"/>
          </w:tcPr>
          <w:p w14:paraId="6389C243" w14:textId="3B544524"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High-throughput virtual screening + docking</w:t>
            </w:r>
          </w:p>
        </w:tc>
        <w:tc>
          <w:tcPr>
            <w:tcW w:w="2586" w:type="dxa"/>
            <w:tcBorders>
              <w:top w:val="single" w:sz="18" w:space="0" w:color="auto"/>
            </w:tcBorders>
            <w:vAlign w:val="center"/>
          </w:tcPr>
          <w:p w14:paraId="36EE7196" w14:textId="031C4371"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Identified baicalin as a selective mixed inhibitor (IC50 reported)</w:t>
            </w:r>
            <w:r w:rsidR="006A4376" w:rsidRPr="006A4376">
              <w:rPr>
                <w:rFonts w:ascii="Times New Roman" w:eastAsia="Times New Roman" w:hAnsi="Times New Roman" w:cs="Times New Roman"/>
                <w:sz w:val="24"/>
                <w:szCs w:val="24"/>
                <w:lang w:bidi="bn-IN"/>
              </w:rPr>
              <w:t>,</w:t>
            </w:r>
            <w:r w:rsidRPr="00D901E1">
              <w:rPr>
                <w:rFonts w:ascii="Times New Roman" w:eastAsia="Times New Roman" w:hAnsi="Times New Roman" w:cs="Times New Roman"/>
                <w:sz w:val="24"/>
                <w:szCs w:val="24"/>
                <w:lang w:bidi="bn-IN"/>
              </w:rPr>
              <w:t xml:space="preserve"> and docking supported stable binding</w:t>
            </w:r>
          </w:p>
        </w:tc>
        <w:tc>
          <w:tcPr>
            <w:tcW w:w="2440" w:type="dxa"/>
            <w:tcBorders>
              <w:top w:val="single" w:sz="18" w:space="0" w:color="auto"/>
            </w:tcBorders>
            <w:vAlign w:val="center"/>
          </w:tcPr>
          <w:p w14:paraId="74885AE2" w14:textId="6D5379B6"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Yes: enzyme inhibition + cell (IRS-1 phosphorylation) + animal model effects</w:t>
            </w:r>
          </w:p>
        </w:tc>
        <w:tc>
          <w:tcPr>
            <w:tcW w:w="3354" w:type="dxa"/>
            <w:tcBorders>
              <w:top w:val="single" w:sz="18" w:space="0" w:color="auto"/>
            </w:tcBorders>
            <w:vAlign w:val="center"/>
          </w:tcPr>
          <w:p w14:paraId="2E1396AD" w14:textId="36713D6B"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Matches workflow conceptually: virtual screening - docking prioritization -mechanistic biological relevance</w:t>
            </w:r>
          </w:p>
        </w:tc>
      </w:tr>
      <w:tr w:rsidR="00D901E1" w:rsidRPr="00D901E1" w14:paraId="3C478045" w14:textId="77777777" w:rsidTr="006A4376">
        <w:trPr>
          <w:trHeight w:val="2035"/>
        </w:trPr>
        <w:tc>
          <w:tcPr>
            <w:cnfStyle w:val="001000000000" w:firstRow="0" w:lastRow="0" w:firstColumn="1" w:lastColumn="0" w:oddVBand="0" w:evenVBand="0" w:oddHBand="0" w:evenHBand="0" w:firstRowFirstColumn="0" w:firstRowLastColumn="0" w:lastRowFirstColumn="0" w:lastRowLastColumn="0"/>
            <w:tcW w:w="1493" w:type="dxa"/>
            <w:vAlign w:val="center"/>
          </w:tcPr>
          <w:p w14:paraId="424D98D3" w14:textId="0E888C36"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fldChar w:fldCharType="begin" w:fldLock="1"/>
            </w:r>
            <w:r w:rsidRPr="006A4376">
              <w:rPr>
                <w:rFonts w:ascii="Times New Roman" w:eastAsia="Times New Roman" w:hAnsi="Times New Roman" w:cs="Times New Roman"/>
                <w:b w:val="0"/>
                <w:bCs w:val="0"/>
                <w:sz w:val="24"/>
                <w:szCs w:val="24"/>
                <w:lang w:bidi="bn-IN"/>
              </w:rPr>
              <w:instrText>ADDIN CSL_CITATION {"citationItems":[{"id":"ITEM-1","itemData":{"DOI":"10.1080/14756366.2024.2360063","ISSN":"1475-6366","author":[{"dropping-particle":"","family":"Wang","given":"Xianting","non-dropping-particle":"","parse-names":false,"suffix":""},{"dropping-particle":"","family":"Deng","given":"Yidan","non-dropping-particle":"","parse-names":false,"suffix":""},{"dropping-particle":"","family":"Wang","given":"Jianmei","non-dropping-particle":"","parse-names":false,"suffix":""},{"dropping-particle":"","family":"Qin","given":"Lin","non-dropping-particle":"","parse-names":false,"suffix":""},{"dropping-particle":"","family":"Du","given":"Yimei","non-dropping-particle":"","parse-names":false,"suffix":""},{"dropping-particle":"","family":"Zhang","given":"Qianru","non-dropping-particle":"","parse-names":false,"suffix":""},{"dropping-particle":"","family":"Wu","given":"Di","non-dropping-particle":"","parse-names":false,"suffix":""},{"dropping-particle":"","family":"Wu","given":"Xingdong","non-dropping-particle":"","parse-names":false,"suffix":""},{"dropping-particle":"","family":"Xie","given":"Jian","non-dropping-particle":"","parse-names":false,"suffix":""},{"dropping-particle":"","family":"He","given":"Yuqi","non-dropping-particle":"","parse-names":false,"suffix":""},{"dropping-particle":"","family":"Tan","given":"Daopeng","non-dropping-particle":"","parse-names":false,"suffix":""}],"container-title":"Journal of Enzyme Inhibition and Medicinal Chemistry","id":"ITEM-1","issue":"1","issued":{"date-parts":[["2024","12","31"]]},"title":"New natural protein tyrosine phosphatase 1B inhibitors from Gynostemma pentaphyllum","type":"article-journal","volume":"39"},"uris":["http://www.mendeley.com/documents/?uuid=2425a36c-d85f-4947-9eac-951bbf589fb7"]}],"mendeley":{"formattedCitation":"[2]","plainTextFormattedCitation":"[2]","previouslyFormattedCitation":"[2]"},"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[2]</w:t>
            </w:r>
            <w:r w:rsidRPr="006A4376">
              <w:rPr>
                <w:rFonts w:ascii="Times New Roman" w:eastAsia="Times New Roman" w:hAnsi="Times New Roman" w:cs="Times New Roman"/>
                <w:sz w:val="24"/>
                <w:szCs w:val="24"/>
                <w:lang w:bidi="bn-IN"/>
              </w:rPr>
              <w:fldChar w:fldCharType="end"/>
            </w:r>
          </w:p>
        </w:tc>
        <w:tc>
          <w:tcPr>
            <w:tcW w:w="2007" w:type="dxa"/>
            <w:vAlign w:val="center"/>
          </w:tcPr>
          <w:p w14:paraId="35EC9E5C" w14:textId="77777777"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Molecular docking + enzyme kinetics discussion</w:t>
            </w:r>
          </w:p>
        </w:tc>
        <w:tc>
          <w:tcPr>
            <w:tcW w:w="2586" w:type="dxa"/>
            <w:vAlign w:val="center"/>
          </w:tcPr>
          <w:p w14:paraId="518402BE" w14:textId="4270F7E4"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 xml:space="preserve">Links </w:t>
            </w:r>
            <w:r w:rsidRPr="006A4376">
              <w:rPr>
                <w:rFonts w:ascii="Times New Roman" w:eastAsia="Times New Roman" w:hAnsi="Times New Roman" w:cs="Times New Roman"/>
                <w:sz w:val="24"/>
                <w:szCs w:val="24"/>
                <w:lang w:bidi="bn-IN"/>
              </w:rPr>
              <w:t xml:space="preserve">the </w:t>
            </w:r>
            <w:r w:rsidRPr="00D901E1">
              <w:rPr>
                <w:rFonts w:ascii="Times New Roman" w:eastAsia="Times New Roman" w:hAnsi="Times New Roman" w:cs="Times New Roman"/>
                <w:sz w:val="24"/>
                <w:szCs w:val="24"/>
                <w:lang w:bidi="bn-IN"/>
              </w:rPr>
              <w:t>phenolic-rich fraction to enzyme inhibition and docking-based interaction plausibility</w:t>
            </w:r>
          </w:p>
        </w:tc>
        <w:tc>
          <w:tcPr>
            <w:tcW w:w="2440" w:type="dxa"/>
            <w:vAlign w:val="center"/>
          </w:tcPr>
          <w:p w14:paraId="506A0C43" w14:textId="77777777"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Yes: enzyme kinetics for PTP1B inhibition reported</w:t>
            </w:r>
          </w:p>
        </w:tc>
        <w:tc>
          <w:tcPr>
            <w:tcW w:w="3354" w:type="dxa"/>
            <w:vAlign w:val="center"/>
          </w:tcPr>
          <w:p w14:paraId="0F654CFF" w14:textId="0B61170E"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Supports</w:t>
            </w:r>
            <w:r w:rsidRPr="00173041">
              <w:rPr>
                <w:rFonts w:ascii="Times New Roman" w:eastAsia="Times New Roman" w:hAnsi="Times New Roman" w:cs="Times New Roman"/>
                <w:sz w:val="24"/>
                <w:szCs w:val="24"/>
                <w:lang w:bidi="bn-IN"/>
              </w:rPr>
              <w:t xml:space="preserve"> </w:t>
            </w:r>
            <w:r w:rsidRPr="00D901E1">
              <w:rPr>
                <w:rFonts w:ascii="Times New Roman" w:eastAsia="Times New Roman" w:hAnsi="Times New Roman" w:cs="Times New Roman"/>
                <w:sz w:val="24"/>
                <w:szCs w:val="24"/>
                <w:lang w:bidi="bn-IN"/>
              </w:rPr>
              <w:t>key binding argument: polyphenolic / hydroxyl-rich scaffolds often stabilize enzyme pockets through multi-point polar interactions</w:t>
            </w:r>
          </w:p>
        </w:tc>
      </w:tr>
      <w:tr w:rsidR="00D901E1" w:rsidRPr="00D901E1" w14:paraId="5111F8D0" w14:textId="77777777" w:rsidTr="006A4376">
        <w:trPr>
          <w:cnfStyle w:val="000000100000" w:firstRow="0" w:lastRow="0" w:firstColumn="0" w:lastColumn="0" w:oddVBand="0" w:evenVBand="0" w:oddHBand="1" w:evenHBand="0" w:firstRowFirstColumn="0" w:firstRowLastColumn="0" w:lastRowFirstColumn="0" w:lastRowLastColumn="0"/>
          <w:trHeight w:val="2611"/>
        </w:trPr>
        <w:tc>
          <w:tcPr>
            <w:cnfStyle w:val="001000000000" w:firstRow="0" w:lastRow="0" w:firstColumn="1" w:lastColumn="0" w:oddVBand="0" w:evenVBand="0" w:oddHBand="0" w:evenHBand="0" w:firstRowFirstColumn="0" w:firstRowLastColumn="0" w:lastRowFirstColumn="0" w:lastRowLastColumn="0"/>
            <w:tcW w:w="1493" w:type="dxa"/>
            <w:vAlign w:val="center"/>
          </w:tcPr>
          <w:p w14:paraId="1E10A24C" w14:textId="64A09CBF"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fldChar w:fldCharType="begin" w:fldLock="1"/>
            </w:r>
            <w:r w:rsidRPr="006A4376">
              <w:rPr>
                <w:rFonts w:ascii="Times New Roman" w:eastAsia="Times New Roman" w:hAnsi="Times New Roman" w:cs="Times New Roman"/>
                <w:b w:val="0"/>
                <w:bCs w:val="0"/>
                <w:sz w:val="24"/>
                <w:szCs w:val="24"/>
                <w:lang w:bidi="bn-IN"/>
              </w:rPr>
              <w:instrText>ADDIN CSL_CITATION {"citationItems":[{"id":"ITEM-1","itemData":{"DOI":"10.1371/journal.pone.0199020","ISSN":"1932-6203","author":[{"dropping-particle":"","family":"Shinde","given":"Ranajit Nivrutti","non-dropping-particle":"","parse-names":false,"suffix":""},{"dropping-particle":"","family":"Kumar","given":"G. Siva","non-dropping-particle":"","parse-names":false,"suffix":""},{"dropping-particle":"","family":"Eqbal","given":"Shahbaz","non-dropping-particle":"","parse-names":false,"suffix":""},{"dropping-particle":"","family":"Sobhia","given":"M. Elizabeth","non-dropping-particle":"","parse-names":false,"suffix":""}],"container-title":"PLOS ONE","editor":[{"dropping-particle":"","family":"Salsbury","given":"Freddie","non-dropping-particle":"","parse-names":false,"suffix":""}],"id":"ITEM-1","issue":"6","issued":{"date-parts":[["2018","6","18"]]},"page":"e0199020","title":"Screening and identification of potential PTP1B allosteric inhibitors using in silico and in vitro approaches","type":"article-journal","volume":"13"},"uris":["http://www.mendeley.com/documents/?uuid=4bbbd4d4-83bf-4b9c-a534-b4f7189366e1"]}],"mendeley":{"formattedCitation":"[3]","plainTextFormattedCitation":"[3]","previouslyFormattedCitation":"[3]"},"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[3]</w:t>
            </w:r>
            <w:r w:rsidRPr="006A4376">
              <w:rPr>
                <w:rFonts w:ascii="Times New Roman" w:eastAsia="Times New Roman" w:hAnsi="Times New Roman" w:cs="Times New Roman"/>
                <w:sz w:val="24"/>
                <w:szCs w:val="24"/>
                <w:lang w:bidi="bn-IN"/>
              </w:rPr>
              <w:fldChar w:fldCharType="end"/>
            </w:r>
          </w:p>
        </w:tc>
        <w:tc>
          <w:tcPr>
            <w:tcW w:w="2007" w:type="dxa"/>
            <w:vAlign w:val="center"/>
          </w:tcPr>
          <w:p w14:paraId="7F2EFF2B"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Docking + MD + binding free-energy calculations</w:t>
            </w:r>
          </w:p>
        </w:tc>
        <w:tc>
          <w:tcPr>
            <w:tcW w:w="2586" w:type="dxa"/>
            <w:vAlign w:val="center"/>
          </w:tcPr>
          <w:p w14:paraId="4900125A" w14:textId="314E06EA"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Highlights allosteric-site preference/selectivity for PTP1B supported by simulation energetics</w:t>
            </w:r>
          </w:p>
        </w:tc>
        <w:tc>
          <w:tcPr>
            <w:tcW w:w="2440" w:type="dxa"/>
            <w:vAlign w:val="center"/>
          </w:tcPr>
          <w:p w14:paraId="22CCD8BE"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Yes: verified by enzymatic assays (two assays reported)</w:t>
            </w:r>
          </w:p>
        </w:tc>
        <w:tc>
          <w:tcPr>
            <w:tcW w:w="3354" w:type="dxa"/>
            <w:vAlign w:val="center"/>
          </w:tcPr>
          <w:p w14:paraId="27A3C6E5"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Useful to position your study: you targeted the active site (grid from co-crystal) with Vina and then validated stability via MD + MM-GBSA (while literature shows an alternate route: allosteric selectivity)</w:t>
            </w:r>
          </w:p>
        </w:tc>
      </w:tr>
      <w:tr w:rsidR="00D901E1" w:rsidRPr="00D901E1" w14:paraId="4BC80B64" w14:textId="77777777" w:rsidTr="006A4376">
        <w:trPr>
          <w:trHeight w:val="1747"/>
        </w:trPr>
        <w:tc>
          <w:tcPr>
            <w:cnfStyle w:val="001000000000" w:firstRow="0" w:lastRow="0" w:firstColumn="1" w:lastColumn="0" w:oddVBand="0" w:evenVBand="0" w:oddHBand="0" w:evenHBand="0" w:firstRowFirstColumn="0" w:firstRowLastColumn="0" w:lastRowFirstColumn="0" w:lastRowLastColumn="0"/>
            <w:tcW w:w="1493" w:type="dxa"/>
            <w:vAlign w:val="center"/>
          </w:tcPr>
          <w:p w14:paraId="39831130" w14:textId="0B616546"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fldChar w:fldCharType="begin" w:fldLock="1"/>
            </w:r>
            <w:r w:rsidRPr="006A4376">
              <w:rPr>
                <w:rFonts w:ascii="Times New Roman" w:eastAsia="Times New Roman" w:hAnsi="Times New Roman" w:cs="Times New Roman"/>
                <w:b w:val="0"/>
                <w:bCs w:val="0"/>
                <w:sz w:val="24"/>
                <w:szCs w:val="24"/>
                <w:lang w:bidi="bn-IN"/>
              </w:rPr>
              <w:instrText>ADDIN CSL_CITATION {"citationItems":[{"id":"ITEM-1","itemData":{"DOI":"10.1016/j.lddd.2025.100131","ISSN":"15701808","author":[{"dropping-particle":"","family":"Sahu","given":"Ritika","non-dropping-particle":"","parse-names":false,"suffix":""},{"dropping-particle":"","family":"Jain","given":"Surendra K.","non-dropping-particle":"","parse-names":false,"suffix":""},{"dropping-particle":"","family":"Jain","given":"Deepti","non-dropping-particle":"","parse-names":false,"suffix":""}],"container-title":"Letters in Drug Design &amp; Discovery","id":"ITEM-1","issue":"8","issued":{"date-parts":[["2025","8"]]},"page":"100131","title":"Exploring DPP-IV inhibitors for diabetes treatment: A comprehensive study on molecular docking, molecular dynamics simulation, and in-vitro DPP-IV assay","type":"article-journal","volume":"22"},"uris":["http://www.mendeley.com/documents/?uuid=f3420ad0-df0e-4ec4-a578-f254f5ed4d56"]}],"mendeley":{"formattedCitation":"[4]","plainTextFormattedCitation":"[4]","previouslyFormattedCitation":"[4]"},"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[4]</w:t>
            </w:r>
            <w:r w:rsidRPr="006A4376">
              <w:rPr>
                <w:rFonts w:ascii="Times New Roman" w:eastAsia="Times New Roman" w:hAnsi="Times New Roman" w:cs="Times New Roman"/>
                <w:sz w:val="24"/>
                <w:szCs w:val="24"/>
                <w:lang w:bidi="bn-IN"/>
              </w:rPr>
              <w:fldChar w:fldCharType="end"/>
            </w:r>
          </w:p>
        </w:tc>
        <w:tc>
          <w:tcPr>
            <w:tcW w:w="2007" w:type="dxa"/>
            <w:vAlign w:val="center"/>
          </w:tcPr>
          <w:p w14:paraId="74373F2B" w14:textId="77777777"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Docking + MD + binding free-energy calculations</w:t>
            </w:r>
          </w:p>
        </w:tc>
        <w:tc>
          <w:tcPr>
            <w:tcW w:w="2586" w:type="dxa"/>
            <w:vAlign w:val="center"/>
          </w:tcPr>
          <w:p w14:paraId="067F4192" w14:textId="04270D32"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 xml:space="preserve">Combined </w:t>
            </w:r>
            <w:r w:rsidRPr="00D901E1">
              <w:rPr>
                <w:rFonts w:ascii="Times New Roman" w:eastAsia="Calibri" w:hAnsi="Times New Roman" w:cs="Times New Roman"/>
                <w:i/>
                <w:iCs/>
                <w:kern w:val="2"/>
                <w:sz w:val="24"/>
                <w:szCs w:val="24"/>
                <w14:ligatures w14:val="standardContextual"/>
              </w:rPr>
              <w:t>in</w:t>
            </w:r>
            <w:r w:rsidR="006A4376" w:rsidRPr="006A4376">
              <w:rPr>
                <w:rFonts w:ascii="Times New Roman" w:eastAsia="Calibri" w:hAnsi="Times New Roman" w:cs="Times New Roman"/>
                <w:i/>
                <w:iCs/>
                <w:kern w:val="2"/>
                <w:sz w:val="24"/>
                <w:szCs w:val="24"/>
                <w14:ligatures w14:val="standardContextual"/>
              </w:rPr>
              <w:t>-</w:t>
            </w:r>
            <w:r w:rsidRPr="00D901E1">
              <w:rPr>
                <w:rFonts w:ascii="Times New Roman" w:eastAsia="Calibri" w:hAnsi="Times New Roman" w:cs="Times New Roman"/>
                <w:i/>
                <w:iCs/>
                <w:kern w:val="2"/>
                <w:sz w:val="24"/>
                <w:szCs w:val="24"/>
                <w14:ligatures w14:val="standardContextual"/>
              </w:rPr>
              <w:t>silico</w:t>
            </w:r>
            <w:r w:rsidRPr="00D901E1">
              <w:rPr>
                <w:rFonts w:ascii="Times New Roman" w:eastAsia="Calibri" w:hAnsi="Times New Roman" w:cs="Times New Roman"/>
                <w:kern w:val="2"/>
                <w:sz w:val="24"/>
                <w:szCs w:val="24"/>
                <w14:ligatures w14:val="standardContextual"/>
              </w:rPr>
              <w:t xml:space="preserve"> triage to propose novel DPP-4 inhibitors</w:t>
            </w:r>
          </w:p>
        </w:tc>
        <w:tc>
          <w:tcPr>
            <w:tcW w:w="2440" w:type="dxa"/>
            <w:vAlign w:val="center"/>
          </w:tcPr>
          <w:p w14:paraId="5B0335B6" w14:textId="5BE822C0"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Yes (explicit “</w:t>
            </w:r>
            <w:r w:rsidRPr="00D901E1">
              <w:rPr>
                <w:rFonts w:ascii="Times New Roman" w:eastAsia="Calibri" w:hAnsi="Times New Roman" w:cs="Times New Roman"/>
                <w:i/>
                <w:iCs/>
                <w:kern w:val="2"/>
                <w:sz w:val="24"/>
                <w:szCs w:val="24"/>
                <w14:ligatures w14:val="standardContextual"/>
              </w:rPr>
              <w:t>in</w:t>
            </w:r>
            <w:r w:rsidR="00A4039F">
              <w:rPr>
                <w:rFonts w:ascii="Times New Roman" w:eastAsia="Calibri" w:hAnsi="Times New Roman" w:cs="Times New Roman"/>
                <w:i/>
                <w:iCs/>
                <w:kern w:val="2"/>
                <w:sz w:val="24"/>
                <w:szCs w:val="24"/>
                <w14:ligatures w14:val="standardContextual"/>
              </w:rPr>
              <w:t xml:space="preserve"> </w:t>
            </w:r>
            <w:r w:rsidRPr="00D901E1">
              <w:rPr>
                <w:rFonts w:ascii="Times New Roman" w:eastAsia="Calibri" w:hAnsi="Times New Roman" w:cs="Times New Roman"/>
                <w:i/>
                <w:iCs/>
                <w:kern w:val="2"/>
                <w:sz w:val="24"/>
                <w:szCs w:val="24"/>
                <w14:ligatures w14:val="standardContextual"/>
              </w:rPr>
              <w:t>vitro</w:t>
            </w:r>
            <w:r w:rsidRPr="00D901E1">
              <w:rPr>
                <w:rFonts w:ascii="Times New Roman" w:eastAsia="Calibri" w:hAnsi="Times New Roman" w:cs="Times New Roman"/>
                <w:kern w:val="2"/>
                <w:sz w:val="24"/>
                <w:szCs w:val="24"/>
                <w14:ligatures w14:val="standardContextual"/>
              </w:rPr>
              <w:t xml:space="preserve"> DPP-IV </w:t>
            </w:r>
            <w:r w:rsidR="00A4039F" w:rsidRPr="00D901E1">
              <w:rPr>
                <w:rFonts w:ascii="Times New Roman" w:eastAsia="Calibri" w:hAnsi="Times New Roman" w:cs="Times New Roman"/>
                <w:kern w:val="2"/>
                <w:sz w:val="24"/>
                <w:szCs w:val="24"/>
                <w14:ligatures w14:val="standardContextual"/>
              </w:rPr>
              <w:t>assays</w:t>
            </w:r>
            <w:r w:rsidR="00173041">
              <w:rPr>
                <w:rFonts w:ascii="Times New Roman" w:eastAsia="Calibri" w:hAnsi="Times New Roman" w:cs="Times New Roman"/>
                <w:kern w:val="2"/>
                <w:sz w:val="24"/>
                <w:szCs w:val="24"/>
                <w14:ligatures w14:val="standardContextual"/>
              </w:rPr>
              <w:t>.</w:t>
            </w:r>
            <w:r w:rsidRPr="00D901E1">
              <w:rPr>
                <w:rFonts w:ascii="Times New Roman" w:eastAsia="Calibri" w:hAnsi="Times New Roman" w:cs="Times New Roman"/>
                <w:kern w:val="2"/>
                <w:sz w:val="24"/>
                <w:szCs w:val="24"/>
                <w14:ligatures w14:val="standardContextual"/>
              </w:rPr>
              <w:t>”</w:t>
            </w:r>
            <w:r w:rsidR="00173041">
              <w:rPr>
                <w:rFonts w:ascii="Times New Roman" w:eastAsia="Calibri" w:hAnsi="Times New Roman" w:cs="Times New Roman"/>
                <w:kern w:val="2"/>
                <w:sz w:val="24"/>
                <w:szCs w:val="24"/>
                <w14:ligatures w14:val="standardContextual"/>
              </w:rPr>
              <w:t>)</w:t>
            </w:r>
          </w:p>
        </w:tc>
        <w:tc>
          <w:tcPr>
            <w:tcW w:w="3354" w:type="dxa"/>
            <w:vAlign w:val="center"/>
          </w:tcPr>
          <w:p w14:paraId="25305F62" w14:textId="196C1F12"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Mirrors to the pipeline structure (screening → docking → free-energy style analysis).</w:t>
            </w:r>
          </w:p>
        </w:tc>
      </w:tr>
      <w:tr w:rsidR="00D901E1" w:rsidRPr="00D901E1" w14:paraId="409A40D8" w14:textId="77777777" w:rsidTr="006A4376">
        <w:trPr>
          <w:cnfStyle w:val="000000100000" w:firstRow="0" w:lastRow="0" w:firstColumn="0" w:lastColumn="0" w:oddVBand="0" w:evenVBand="0" w:oddHBand="1" w:evenHBand="0" w:firstRowFirstColumn="0" w:firstRowLastColumn="0" w:lastRowFirstColumn="0" w:lastRowLastColumn="0"/>
          <w:trHeight w:val="1747"/>
        </w:trPr>
        <w:tc>
          <w:tcPr>
            <w:cnfStyle w:val="001000000000" w:firstRow="0" w:lastRow="0" w:firstColumn="1" w:lastColumn="0" w:oddVBand="0" w:evenVBand="0" w:oddHBand="0" w:evenHBand="0" w:firstRowFirstColumn="0" w:firstRowLastColumn="0" w:lastRowFirstColumn="0" w:lastRowLastColumn="0"/>
            <w:tcW w:w="1493" w:type="dxa"/>
            <w:vAlign w:val="center"/>
          </w:tcPr>
          <w:p w14:paraId="5469DE88" w14:textId="6F3BC47B"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lastRenderedPageBreak/>
              <w:fldChar w:fldCharType="begin" w:fldLock="1"/>
            </w:r>
            <w:r w:rsidRPr="006A4376">
              <w:rPr>
                <w:rFonts w:ascii="Times New Roman" w:eastAsia="Times New Roman" w:hAnsi="Times New Roman" w:cs="Times New Roman"/>
                <w:b w:val="0"/>
                <w:bCs w:val="0"/>
                <w:sz w:val="24"/>
                <w:szCs w:val="24"/>
                <w:lang w:bidi="bn-IN"/>
              </w:rPr>
              <w:instrText>ADDIN CSL_CITATION {"citationItems":[{"id":"ITEM-1","itemData":{"DOI":"10.1016/j.focha.2025.100974","ISSN":"2772753X","author":[{"dropping-particle":"","family":"Koidis","given":"Anastasios","non-dropping-particle":"","parse-names":false,"suffix":""},{"dropping-particle":"","family":"Rawson","given":"Ashish","non-dropping-particle":"","parse-names":false,"suffix":""},{"dropping-particle":"","family":"Lei","given":"Hongtao","non-dropping-particle":"","parse-names":false,"suffix":""}],"container-title":"Food Chemistry Advances","id":"ITEM-1","issued":{"date-parts":[["2025","6"]]},"page":"100974","title":"Traditional and ethnic foods in the context of 'one health': Bridging heritage and innovation for a sustainable future","type":"article-journal","volume":"7"},"uris":["http://www.mendeley.com/documents/?uuid=905f2a41-036a-4577-a97c-fee5ace40d1a"]}],"mendeley":{"formattedCitation":"[5]","plainTextFormattedCitation":"[5]","previouslyFormattedCitation":"[5]"},"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[5]</w:t>
            </w:r>
            <w:r w:rsidRPr="006A4376">
              <w:rPr>
                <w:rFonts w:ascii="Times New Roman" w:eastAsia="Times New Roman" w:hAnsi="Times New Roman" w:cs="Times New Roman"/>
                <w:sz w:val="24"/>
                <w:szCs w:val="24"/>
                <w:lang w:bidi="bn-IN"/>
              </w:rPr>
              <w:fldChar w:fldCharType="end"/>
            </w:r>
          </w:p>
        </w:tc>
        <w:tc>
          <w:tcPr>
            <w:tcW w:w="2007" w:type="dxa"/>
            <w:vAlign w:val="center"/>
          </w:tcPr>
          <w:p w14:paraId="7C8AF420"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Molecular docking</w:t>
            </w:r>
          </w:p>
        </w:tc>
        <w:tc>
          <w:tcPr>
            <w:tcW w:w="2586" w:type="dxa"/>
            <w:vAlign w:val="center"/>
          </w:tcPr>
          <w:p w14:paraId="79C45EF7"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 xml:space="preserve">Reports celery </w:t>
            </w:r>
            <w:proofErr w:type="spellStart"/>
            <w:r w:rsidRPr="00D901E1">
              <w:rPr>
                <w:rFonts w:ascii="Times New Roman" w:eastAsia="Calibri" w:hAnsi="Times New Roman" w:cs="Times New Roman"/>
                <w:kern w:val="2"/>
                <w:sz w:val="24"/>
                <w:szCs w:val="24"/>
                <w14:ligatures w14:val="standardContextual"/>
              </w:rPr>
              <w:t>bioactives</w:t>
            </w:r>
            <w:proofErr w:type="spellEnd"/>
            <w:r w:rsidRPr="00D901E1">
              <w:rPr>
                <w:rFonts w:ascii="Times New Roman" w:eastAsia="Calibri" w:hAnsi="Times New Roman" w:cs="Times New Roman"/>
                <w:kern w:val="2"/>
                <w:sz w:val="24"/>
                <w:szCs w:val="24"/>
                <w14:ligatures w14:val="standardContextual"/>
              </w:rPr>
              <w:t xml:space="preserve"> binding affinity in docking + highlights DPP-4 inhibitory potential</w:t>
            </w:r>
          </w:p>
        </w:tc>
        <w:tc>
          <w:tcPr>
            <w:tcW w:w="2440" w:type="dxa"/>
            <w:vAlign w:val="center"/>
          </w:tcPr>
          <w:p w14:paraId="7D7C26EF"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Yes: DPP-4 inhibition (IC50 reported in highlights)</w:t>
            </w:r>
          </w:p>
        </w:tc>
        <w:tc>
          <w:tcPr>
            <w:tcW w:w="3354" w:type="dxa"/>
            <w:vAlign w:val="center"/>
          </w:tcPr>
          <w:p w14:paraId="1EEE8CBF"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Supports the logic that natural-product–like small molecules can show DPP-4 inhibition and docking can rationalize it</w:t>
            </w:r>
          </w:p>
        </w:tc>
      </w:tr>
      <w:tr w:rsidR="00D901E1" w:rsidRPr="00D901E1" w14:paraId="1C86A11A" w14:textId="77777777" w:rsidTr="006A4376">
        <w:trPr>
          <w:trHeight w:val="2035"/>
        </w:trPr>
        <w:tc>
          <w:tcPr>
            <w:cnfStyle w:val="001000000000" w:firstRow="0" w:lastRow="0" w:firstColumn="1" w:lastColumn="0" w:oddVBand="0" w:evenVBand="0" w:oddHBand="0" w:evenHBand="0" w:firstRowFirstColumn="0" w:firstRowLastColumn="0" w:lastRowFirstColumn="0" w:lastRowLastColumn="0"/>
            <w:tcW w:w="1493" w:type="dxa"/>
            <w:vAlign w:val="center"/>
          </w:tcPr>
          <w:p w14:paraId="78B686EA" w14:textId="791B801B"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fldChar w:fldCharType="begin" w:fldLock="1"/>
            </w:r>
            <w:r w:rsidRPr="006A4376">
              <w:rPr>
                <w:rFonts w:ascii="Times New Roman" w:eastAsia="Times New Roman" w:hAnsi="Times New Roman" w:cs="Times New Roman"/>
                <w:b w:val="0"/>
                <w:bCs w:val="0"/>
                <w:sz w:val="24"/>
                <w:szCs w:val="24"/>
                <w:lang w:bidi="bn-IN"/>
              </w:rPr>
              <w:instrText>ADDIN CSL_CITATION {"citationItems":[{"id":"ITEM-1","itemData":{"DOI":"10.3390/ph14020144","ISSN":"1424-8247","abstract":"Background: Dipeptidyl peptidase-4 (DPP-4) inhibitors have emerged as anti-hyperglycemic agents that improve glycemic control in type 2 diabetic patients, either as monotherapy or in combination with other antidiabetic drugs. Methods: A novel series of dihydropyrimidine phthalimide hybrids was synthesized and evaluated for their in vitro and in vivo DPP-4 inhibition activity and selectivity using alogliptin as reference. Oral glucose tolerance test was assessed in type 2 diabetic rats after chronic treatment with the synthesized hybrids ± metformin. Cytotoxicity and antioxidant assays were performed. Additionally, molecular docking study with DPP-4 and structure activity relationship of the novel hybrids were also studied. Results: Among the synthesized hybrids, 10g, 10i, 10e, 10d and 10b had stronger in vitro DPP-4 inhibitory activity than alogliptin. Moreover, an in vivo DPP-4 inhibition assay revealed that 10g and 10i have the strongest and the most extended blood DPP-4 inhibitory activity compared to alogliptin. In type 2 diabetic rats, hybrids 10g, 10i and 10e exhibited better glycemic control than alogliptin, an effect that further supported by metformin combination. Finally, 10j, 10e, 10h and 10d had the highest radical scavenging activity in DPPH assay. Conclusions: Hybrids 10g, 10i and 10e are potent DPP-4 inhibitors which may be beneficial for T2DM treatment.","author":[{"dropping-particle":"","family":"Mourad","given":"Ahmed A. E.","non-dropping-particle":"","parse-names":false,"suffix":""},{"dropping-particle":"","family":"Khodir","given":"Ahmed E.","non-dropping-particle":"","parse-names":false,"suffix":""},{"dropping-particle":"","family":"Saber","given":"Sameh","non-dropping-particle":"","parse-names":false,"suffix":""},{"dropping-particle":"","family":"Mourad","given":"Mai A. E.","non-dropping-particle":"","parse-names":false,"suffix":""}],"container-title":"Pharmaceuticals","id":"ITEM-1","issue":"2","issued":{"date-parts":[["2021","2","11"]]},"page":"144","title":"Novel Potent and Selective DPP-4 Inhibitors: Design, Synthesis and Molecular Docking Study of Dihydropyrimidine Phthalimide Hybrids","type":"article-journal","volume":"14"},"uris":["http://www.mendeley.com/documents/?uuid=6264e5b0-64a7-41cd-b6ea-a9ee5b1eb5ac"]}],"mendeley":{"formattedCitation":"[6]","plainTextFormattedCitation":"[6]","previouslyFormattedCitation":"[6]"},"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[6]</w:t>
            </w:r>
            <w:r w:rsidRPr="006A4376">
              <w:rPr>
                <w:rFonts w:ascii="Times New Roman" w:eastAsia="Times New Roman" w:hAnsi="Times New Roman" w:cs="Times New Roman"/>
                <w:sz w:val="24"/>
                <w:szCs w:val="24"/>
                <w:lang w:bidi="bn-IN"/>
              </w:rPr>
              <w:fldChar w:fldCharType="end"/>
            </w:r>
          </w:p>
        </w:tc>
        <w:tc>
          <w:tcPr>
            <w:tcW w:w="2007" w:type="dxa"/>
            <w:vAlign w:val="center"/>
          </w:tcPr>
          <w:p w14:paraId="0D62C728" w14:textId="77777777"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Molecular docking + SAR</w:t>
            </w:r>
          </w:p>
        </w:tc>
        <w:tc>
          <w:tcPr>
            <w:tcW w:w="2586" w:type="dxa"/>
            <w:vAlign w:val="center"/>
          </w:tcPr>
          <w:p w14:paraId="217EFEA8" w14:textId="63F0A3C5"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Docking used to support design; multiple compounds show strong DPP-4 inhibition</w:t>
            </w:r>
          </w:p>
        </w:tc>
        <w:tc>
          <w:tcPr>
            <w:tcW w:w="2440" w:type="dxa"/>
            <w:vAlign w:val="center"/>
          </w:tcPr>
          <w:p w14:paraId="1FFC448E" w14:textId="77777777"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 xml:space="preserve">Yes: </w:t>
            </w:r>
            <w:r w:rsidRPr="00D901E1">
              <w:rPr>
                <w:rFonts w:ascii="Times New Roman" w:eastAsia="Calibri" w:hAnsi="Times New Roman" w:cs="Times New Roman"/>
                <w:i/>
                <w:iCs/>
                <w:kern w:val="2"/>
                <w:sz w:val="24"/>
                <w:szCs w:val="24"/>
                <w14:ligatures w14:val="standardContextual"/>
              </w:rPr>
              <w:t>in vitro</w:t>
            </w:r>
            <w:r w:rsidRPr="00D901E1">
              <w:rPr>
                <w:rFonts w:ascii="Times New Roman" w:eastAsia="Calibri" w:hAnsi="Times New Roman" w:cs="Times New Roman"/>
                <w:kern w:val="2"/>
                <w:sz w:val="24"/>
                <w:szCs w:val="24"/>
                <w14:ligatures w14:val="standardContextual"/>
              </w:rPr>
              <w:t xml:space="preserve"> DPP-4 inhibition; also </w:t>
            </w:r>
            <w:r w:rsidRPr="00D901E1">
              <w:rPr>
                <w:rFonts w:ascii="Times New Roman" w:eastAsia="Calibri" w:hAnsi="Times New Roman" w:cs="Times New Roman"/>
                <w:i/>
                <w:iCs/>
                <w:kern w:val="2"/>
                <w:sz w:val="24"/>
                <w:szCs w:val="24"/>
                <w14:ligatures w14:val="standardContextual"/>
              </w:rPr>
              <w:t>in vivo</w:t>
            </w:r>
            <w:r w:rsidRPr="00D901E1">
              <w:rPr>
                <w:rFonts w:ascii="Times New Roman" w:eastAsia="Calibri" w:hAnsi="Times New Roman" w:cs="Times New Roman"/>
                <w:kern w:val="2"/>
                <w:sz w:val="24"/>
                <w:szCs w:val="24"/>
                <w14:ligatures w14:val="standardContextual"/>
              </w:rPr>
              <w:t xml:space="preserve"> evaluation mentioned</w:t>
            </w:r>
          </w:p>
        </w:tc>
        <w:tc>
          <w:tcPr>
            <w:tcW w:w="3354" w:type="dxa"/>
            <w:vAlign w:val="center"/>
          </w:tcPr>
          <w:p w14:paraId="2BDEC70A" w14:textId="77777777" w:rsidR="00D901E1" w:rsidRPr="00D901E1" w:rsidRDefault="00D901E1" w:rsidP="006A437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Strong precedent for docking activity linkage (though not proof). Helps frame your computational results as hypothesis-generating prior to enzyme assays</w:t>
            </w:r>
          </w:p>
        </w:tc>
      </w:tr>
      <w:tr w:rsidR="00D901E1" w:rsidRPr="00D901E1" w14:paraId="16D2A11D" w14:textId="77777777" w:rsidTr="006A4376">
        <w:trPr>
          <w:cnfStyle w:val="000000100000" w:firstRow="0" w:lastRow="0" w:firstColumn="0" w:lastColumn="0" w:oddVBand="0" w:evenVBand="0" w:oddHBand="1" w:evenHBand="0" w:firstRowFirstColumn="0" w:firstRowLastColumn="0" w:lastRowFirstColumn="0" w:lastRowLastColumn="0"/>
          <w:trHeight w:val="1767"/>
        </w:trPr>
        <w:tc>
          <w:tcPr>
            <w:cnfStyle w:val="001000000000" w:firstRow="0" w:lastRow="0" w:firstColumn="1" w:lastColumn="0" w:oddVBand="0" w:evenVBand="0" w:oddHBand="0" w:evenHBand="0" w:firstRowFirstColumn="0" w:firstRowLastColumn="0" w:lastRowFirstColumn="0" w:lastRowLastColumn="0"/>
            <w:tcW w:w="1493" w:type="dxa"/>
            <w:tcBorders>
              <w:bottom w:val="single" w:sz="18" w:space="0" w:color="auto"/>
            </w:tcBorders>
            <w:vAlign w:val="center"/>
          </w:tcPr>
          <w:p w14:paraId="73DF2D72" w14:textId="35E0552D" w:rsidR="00D901E1" w:rsidRPr="00D901E1" w:rsidRDefault="001D3C9E" w:rsidP="006A4376">
            <w:pPr>
              <w:spacing w:line="360" w:lineRule="auto"/>
              <w:jc w:val="center"/>
              <w:rPr>
                <w:rFonts w:ascii="Times New Roman" w:eastAsia="Times New Roman" w:hAnsi="Times New Roman" w:cs="Times New Roman"/>
                <w:b w:val="0"/>
                <w:bCs w:val="0"/>
                <w:sz w:val="24"/>
                <w:szCs w:val="24"/>
                <w:lang w:bidi="bn-IN"/>
              </w:rPr>
            </w:pPr>
            <w:r w:rsidRPr="006A4376">
              <w:rPr>
                <w:rFonts w:ascii="Times New Roman" w:eastAsia="Times New Roman" w:hAnsi="Times New Roman" w:cs="Times New Roman"/>
                <w:sz w:val="24"/>
                <w:szCs w:val="24"/>
                <w:lang w:bidi="bn-IN"/>
              </w:rPr>
              <w:fldChar w:fldCharType="begin" w:fldLock="1"/>
            </w:r>
            <w:r w:rsidR="00DF495B">
              <w:rPr>
                <w:rFonts w:ascii="Times New Roman" w:eastAsia="Times New Roman" w:hAnsi="Times New Roman" w:cs="Times New Roman"/>
                <w:b w:val="0"/>
                <w:bCs w:val="0"/>
                <w:sz w:val="24"/>
                <w:szCs w:val="24"/>
                <w:lang w:bidi="bn-IN"/>
              </w:rPr>
              <w:instrText>ADDIN CSL_CITATION {"citationItems":[{"id":"ITEM-1","itemData":{"DOI":"10.1038/s41598-024-58485-x","ISSN":"2045-2322","abstract":"DPP4 inhibitors can control glucose homeostasis by increasing the level of GLP-1 incretins hormone due to dipeptidase mimicking. Despite the potent effects of DPP4 inhibitors, these compounds cause unwanted toxicity attributable to their effect on other enzymes. As a result, it seems essential to find novel and DPP4 selective compounds. In this study, we introduce a potent and selective DPP4 inhibitor via structure-based virtual screening, molecular docking, molecular dynamics simulation, MM/PBSA calculations, DFT analysis, and ADMET profile. The screened compounds based on similarity with FDA-approved DPP4 inhibitors were docked towards the DPP4 enzyme. The compound with the highest docking score, ZINC000003015356, was selected. For further considerations, molecular docking studies were performed on selected ligands and FDA-approved drugs for DPP8 and DPP9 enzymes. Molecular dynamics simulation was run during 200 ns and the analysis of RMSD, RMSF, Rg, PCA, and hydrogen bonding were performed. The MD outputs showed stability of the ligand–protein complex compared to available drugs in the market. The total free binding energy obtained for the proposed DPP4 inhibitor was more negative than its co-crystal ligand (N7F). ZINC000003015356 confirmed the role of the five Lipinski rule and also, have low toxicity parameter according to properties. Finally, DFT calculations indicated that this compound is sufficiently soft.","author":[{"dropping-particle":"","family":"Zare","given":"Fateme","non-dropping-particle":"","parse-names":false,"suffix":""},{"dropping-particle":"","family":"Ataollahi","given":"Elaheh","non-dropping-particle":"","parse-names":false,"suffix":""},{"dropping-particle":"","family":"Mardaneh","given":"Pegah","non-dropping-particle":"","parse-names":false,"suffix":""},{"dropping-particle":"","family":"Sakhteman","given":"Amirhossein","non-dropping-particle":"","parse-names":false,"suffix":""},{"dropping-particle":"","family":"Keshavarz","given":"Valiollah","non-dropping-particle":"","parse-names":false,"suffix":""},{"dropping-particle":"","family":"Solhjoo","given":"Aida","non-dropping-particle":"","parse-names":false,"suffix":""},{"dropping-particle":"","family":"Emami","given":"Leila","non-dropping-particle":"","parse-names":false,"suffix":""}],"container-title":"Scientific Reports","id":"ITEM-1","issue":"1","issued":{"date-parts":[["2024","4","2"]]},"page":"7749","title":"A combination of virtual screening, molecular dynamics simulation, MM/PBSA, ADMET, and DFT calculations to identify a potential DPP4 inhibitor","type":"article-journal","volume":"14"},"uris":["http://www.mendeley.com/documents/?uuid=9f88c465-b4bf-46f0-8260-2f11f0eddd65"]}],"mendeley":{"formattedCitation":"[7]","plainTextFormattedCitation":"[7]","previouslyFormattedCitation":"[7]"},"properties":{"noteIndex":0},"schema":"https://github.com/citation-style-language/schema/raw/master/csl-citation.json"}</w:instrText>
            </w:r>
            <w:r w:rsidRPr="006A4376">
              <w:rPr>
                <w:rFonts w:ascii="Times New Roman" w:eastAsia="Times New Roman" w:hAnsi="Times New Roman" w:cs="Times New Roman"/>
                <w:sz w:val="24"/>
                <w:szCs w:val="24"/>
                <w:lang w:bidi="bn-IN"/>
              </w:rPr>
              <w:fldChar w:fldCharType="separate"/>
            </w:r>
            <w:r w:rsidRPr="006A4376">
              <w:rPr>
                <w:rFonts w:ascii="Times New Roman" w:eastAsia="Times New Roman" w:hAnsi="Times New Roman" w:cs="Times New Roman"/>
                <w:b w:val="0"/>
                <w:bCs w:val="0"/>
                <w:noProof/>
                <w:sz w:val="24"/>
                <w:szCs w:val="24"/>
                <w:lang w:bidi="bn-IN"/>
              </w:rPr>
              <w:t>[7]</w:t>
            </w:r>
            <w:r w:rsidRPr="006A4376">
              <w:rPr>
                <w:rFonts w:ascii="Times New Roman" w:eastAsia="Times New Roman" w:hAnsi="Times New Roman" w:cs="Times New Roman"/>
                <w:sz w:val="24"/>
                <w:szCs w:val="24"/>
                <w:lang w:bidi="bn-IN"/>
              </w:rPr>
              <w:fldChar w:fldCharType="end"/>
            </w:r>
          </w:p>
        </w:tc>
        <w:tc>
          <w:tcPr>
            <w:tcW w:w="2007" w:type="dxa"/>
            <w:tcBorders>
              <w:bottom w:val="single" w:sz="18" w:space="0" w:color="auto"/>
            </w:tcBorders>
            <w:vAlign w:val="center"/>
          </w:tcPr>
          <w:p w14:paraId="53DF67CC" w14:textId="0BA545EC"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SBVS + docking + MD + MM</w:t>
            </w:r>
            <w:r w:rsidR="00FB0147">
              <w:rPr>
                <w:rFonts w:ascii="Times New Roman" w:eastAsia="Calibri" w:hAnsi="Times New Roman" w:cs="Times New Roman"/>
                <w:kern w:val="2"/>
                <w:sz w:val="24"/>
                <w:szCs w:val="24"/>
                <w14:ligatures w14:val="standardContextual"/>
              </w:rPr>
              <w:t>-</w:t>
            </w:r>
            <w:r w:rsidRPr="00D901E1">
              <w:rPr>
                <w:rFonts w:ascii="Times New Roman" w:eastAsia="Calibri" w:hAnsi="Times New Roman" w:cs="Times New Roman"/>
                <w:kern w:val="2"/>
                <w:sz w:val="24"/>
                <w:szCs w:val="24"/>
                <w14:ligatures w14:val="standardContextual"/>
              </w:rPr>
              <w:t>PBSA + ADMET + DFT</w:t>
            </w:r>
          </w:p>
        </w:tc>
        <w:tc>
          <w:tcPr>
            <w:tcW w:w="2586" w:type="dxa"/>
            <w:tcBorders>
              <w:bottom w:val="single" w:sz="18" w:space="0" w:color="auto"/>
            </w:tcBorders>
            <w:vAlign w:val="center"/>
          </w:tcPr>
          <w:p w14:paraId="3C9DE0D7"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Demonstrates a “full-stack” computational pipeline for DPP-4 lead proposal</w:t>
            </w:r>
          </w:p>
        </w:tc>
        <w:tc>
          <w:tcPr>
            <w:tcW w:w="2440" w:type="dxa"/>
            <w:tcBorders>
              <w:bottom w:val="single" w:sz="18" w:space="0" w:color="auto"/>
            </w:tcBorders>
            <w:vAlign w:val="center"/>
          </w:tcPr>
          <w:p w14:paraId="0FC768E2" w14:textId="77777777"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Calibri" w:hAnsi="Times New Roman" w:cs="Times New Roman"/>
                <w:kern w:val="2"/>
                <w:sz w:val="24"/>
                <w:szCs w:val="24"/>
                <w14:ligatures w14:val="standardContextual"/>
              </w:rPr>
              <w:t xml:space="preserve">No </w:t>
            </w:r>
            <w:r w:rsidRPr="00D901E1">
              <w:rPr>
                <w:rFonts w:ascii="Times New Roman" w:eastAsia="Calibri" w:hAnsi="Times New Roman" w:cs="Times New Roman"/>
                <w:i/>
                <w:iCs/>
                <w:kern w:val="2"/>
                <w:sz w:val="24"/>
                <w:szCs w:val="24"/>
                <w14:ligatures w14:val="standardContextual"/>
              </w:rPr>
              <w:t>in vitro</w:t>
            </w:r>
            <w:r w:rsidRPr="00D901E1">
              <w:rPr>
                <w:rFonts w:ascii="Times New Roman" w:eastAsia="Calibri" w:hAnsi="Times New Roman" w:cs="Times New Roman"/>
                <w:kern w:val="2"/>
                <w:sz w:val="24"/>
                <w:szCs w:val="24"/>
                <w14:ligatures w14:val="standardContextual"/>
              </w:rPr>
              <w:t xml:space="preserve"> mentioned in the accessible sections</w:t>
            </w:r>
          </w:p>
        </w:tc>
        <w:tc>
          <w:tcPr>
            <w:tcW w:w="3354" w:type="dxa"/>
            <w:tcBorders>
              <w:bottom w:val="single" w:sz="18" w:space="0" w:color="auto"/>
            </w:tcBorders>
            <w:vAlign w:val="center"/>
          </w:tcPr>
          <w:p w14:paraId="700F523B" w14:textId="40221E92" w:rsidR="00D901E1" w:rsidRPr="00D901E1" w:rsidRDefault="00D901E1" w:rsidP="006A437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IN"/>
              </w:rPr>
            </w:pPr>
            <w:r w:rsidRPr="00D901E1">
              <w:rPr>
                <w:rFonts w:ascii="Times New Roman" w:eastAsia="Times New Roman" w:hAnsi="Times New Roman" w:cs="Times New Roman"/>
                <w:sz w:val="24"/>
                <w:szCs w:val="24"/>
                <w:lang w:bidi="bn-IN"/>
              </w:rPr>
              <w:t>Very similar method stack to the work (200 ns MD + MM-GBSA + DFT)</w:t>
            </w:r>
          </w:p>
        </w:tc>
      </w:tr>
    </w:tbl>
    <w:p w14:paraId="60D71DBB" w14:textId="4CFEDC89" w:rsidR="00A60F06" w:rsidRPr="006A4376" w:rsidRDefault="00A60F06" w:rsidP="00D901E1">
      <w:pPr>
        <w:spacing w:line="360" w:lineRule="auto"/>
        <w:rPr>
          <w:rFonts w:ascii="Times New Roman" w:hAnsi="Times New Roman" w:cs="Times New Roman"/>
          <w:bCs/>
          <w:sz w:val="24"/>
          <w:szCs w:val="24"/>
        </w:rPr>
      </w:pPr>
    </w:p>
    <w:p w14:paraId="1C66666B" w14:textId="395375D3" w:rsidR="00D901E1" w:rsidRPr="00DF495B" w:rsidRDefault="00DF495B" w:rsidP="00DF495B">
      <w:pPr>
        <w:spacing w:line="360" w:lineRule="auto"/>
        <w:jc w:val="both"/>
        <w:rPr>
          <w:rFonts w:ascii="Times New Roman" w:hAnsi="Times New Roman" w:cs="Times New Roman"/>
          <w:b/>
          <w:bCs/>
          <w:sz w:val="24"/>
          <w:szCs w:val="24"/>
        </w:rPr>
      </w:pPr>
      <w:r w:rsidRPr="00DF495B">
        <w:rPr>
          <w:rFonts w:ascii="Times New Roman" w:hAnsi="Times New Roman" w:cs="Times New Roman"/>
          <w:b/>
          <w:bCs/>
          <w:sz w:val="24"/>
          <w:szCs w:val="24"/>
        </w:rPr>
        <w:t>References</w:t>
      </w:r>
    </w:p>
    <w:p w14:paraId="5AA6DF9B" w14:textId="25FFB45C"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DF495B">
        <w:rPr>
          <w:rFonts w:ascii="Times New Roman" w:hAnsi="Times New Roman" w:cs="Times New Roman"/>
          <w:noProof/>
          <w:sz w:val="24"/>
          <w:szCs w:val="24"/>
        </w:rPr>
        <w:t>[1]</w:t>
      </w:r>
      <w:r w:rsidRPr="00DF495B">
        <w:rPr>
          <w:rFonts w:ascii="Times New Roman" w:hAnsi="Times New Roman" w:cs="Times New Roman"/>
          <w:noProof/>
          <w:sz w:val="24"/>
          <w:szCs w:val="24"/>
        </w:rPr>
        <w:tab/>
        <w:t xml:space="preserve">J.-F. Zhao </w:t>
      </w:r>
      <w:r w:rsidRPr="00DF495B">
        <w:rPr>
          <w:rFonts w:ascii="Times New Roman" w:hAnsi="Times New Roman" w:cs="Times New Roman"/>
          <w:i/>
          <w:iCs/>
          <w:noProof/>
          <w:sz w:val="24"/>
          <w:szCs w:val="24"/>
        </w:rPr>
        <w:t>et al.</w:t>
      </w:r>
      <w:r w:rsidRPr="00DF495B">
        <w:rPr>
          <w:rFonts w:ascii="Times New Roman" w:hAnsi="Times New Roman" w:cs="Times New Roman"/>
          <w:noProof/>
          <w:sz w:val="24"/>
          <w:szCs w:val="24"/>
        </w:rPr>
        <w:t xml:space="preserve">, “Identification of natural product inhibitors of PTP1B based on high-throughput virtual screening strategy: In silico, in vitro and in vivo studies,” </w:t>
      </w:r>
      <w:r w:rsidRPr="00DF495B">
        <w:rPr>
          <w:rFonts w:ascii="Times New Roman" w:hAnsi="Times New Roman" w:cs="Times New Roman"/>
          <w:i/>
          <w:iCs/>
          <w:noProof/>
          <w:sz w:val="24"/>
          <w:szCs w:val="24"/>
        </w:rPr>
        <w:t>Int. J. Biol. Macromol.</w:t>
      </w:r>
      <w:r w:rsidRPr="00DF495B">
        <w:rPr>
          <w:rFonts w:ascii="Times New Roman" w:hAnsi="Times New Roman" w:cs="Times New Roman"/>
          <w:noProof/>
          <w:sz w:val="24"/>
          <w:szCs w:val="24"/>
        </w:rPr>
        <w:t>, vol. 243, p. 125292, Jul. 2023, doi: 10.1016/j.ijbiomac.2023.125292.</w:t>
      </w:r>
    </w:p>
    <w:p w14:paraId="4EDD2E73" w14:textId="77777777"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DF495B">
        <w:rPr>
          <w:rFonts w:ascii="Times New Roman" w:hAnsi="Times New Roman" w:cs="Times New Roman"/>
          <w:noProof/>
          <w:sz w:val="24"/>
          <w:szCs w:val="24"/>
        </w:rPr>
        <w:t>[2]</w:t>
      </w:r>
      <w:r w:rsidRPr="00DF495B">
        <w:rPr>
          <w:rFonts w:ascii="Times New Roman" w:hAnsi="Times New Roman" w:cs="Times New Roman"/>
          <w:noProof/>
          <w:sz w:val="24"/>
          <w:szCs w:val="24"/>
        </w:rPr>
        <w:tab/>
        <w:t xml:space="preserve">X. Wang </w:t>
      </w:r>
      <w:r w:rsidRPr="00DF495B">
        <w:rPr>
          <w:rFonts w:ascii="Times New Roman" w:hAnsi="Times New Roman" w:cs="Times New Roman"/>
          <w:i/>
          <w:iCs/>
          <w:noProof/>
          <w:sz w:val="24"/>
          <w:szCs w:val="24"/>
        </w:rPr>
        <w:t>et al.</w:t>
      </w:r>
      <w:r w:rsidRPr="00DF495B">
        <w:rPr>
          <w:rFonts w:ascii="Times New Roman" w:hAnsi="Times New Roman" w:cs="Times New Roman"/>
          <w:noProof/>
          <w:sz w:val="24"/>
          <w:szCs w:val="24"/>
        </w:rPr>
        <w:t xml:space="preserve">, “New natural protein tyrosine phosphatase 1B inhibitors from Gynostemma pentaphyllum,” </w:t>
      </w:r>
      <w:r w:rsidRPr="00DF495B">
        <w:rPr>
          <w:rFonts w:ascii="Times New Roman" w:hAnsi="Times New Roman" w:cs="Times New Roman"/>
          <w:i/>
          <w:iCs/>
          <w:noProof/>
          <w:sz w:val="24"/>
          <w:szCs w:val="24"/>
        </w:rPr>
        <w:t>J. Enzyme Inhib. Med. Chem.</w:t>
      </w:r>
      <w:r w:rsidRPr="00DF495B">
        <w:rPr>
          <w:rFonts w:ascii="Times New Roman" w:hAnsi="Times New Roman" w:cs="Times New Roman"/>
          <w:noProof/>
          <w:sz w:val="24"/>
          <w:szCs w:val="24"/>
        </w:rPr>
        <w:t>, vol. 39, no. 1, Dec. 2024, doi: 10.1080/14756366.2024.2360063.</w:t>
      </w:r>
    </w:p>
    <w:p w14:paraId="164BD642" w14:textId="77777777"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DF495B">
        <w:rPr>
          <w:rFonts w:ascii="Times New Roman" w:hAnsi="Times New Roman" w:cs="Times New Roman"/>
          <w:noProof/>
          <w:sz w:val="24"/>
          <w:szCs w:val="24"/>
        </w:rPr>
        <w:t>[3]</w:t>
      </w:r>
      <w:r w:rsidRPr="00DF495B">
        <w:rPr>
          <w:rFonts w:ascii="Times New Roman" w:hAnsi="Times New Roman" w:cs="Times New Roman"/>
          <w:noProof/>
          <w:sz w:val="24"/>
          <w:szCs w:val="24"/>
        </w:rPr>
        <w:tab/>
        <w:t xml:space="preserve">R. N. Shinde, G. S. Kumar, S. Eqbal, and M. E. Sobhia, “Screening and identification of potential PTP1B allosteric inhibitors using in silico and in vitro approaches,” </w:t>
      </w:r>
      <w:r w:rsidRPr="00DF495B">
        <w:rPr>
          <w:rFonts w:ascii="Times New Roman" w:hAnsi="Times New Roman" w:cs="Times New Roman"/>
          <w:i/>
          <w:iCs/>
          <w:noProof/>
          <w:sz w:val="24"/>
          <w:szCs w:val="24"/>
        </w:rPr>
        <w:t>PLoS One</w:t>
      </w:r>
      <w:r w:rsidRPr="00DF495B">
        <w:rPr>
          <w:rFonts w:ascii="Times New Roman" w:hAnsi="Times New Roman" w:cs="Times New Roman"/>
          <w:noProof/>
          <w:sz w:val="24"/>
          <w:szCs w:val="24"/>
        </w:rPr>
        <w:t>, vol. 13, no. 6, p. e0199020, Jun. 2018, doi: 10.1371/journal.pone.0199020.</w:t>
      </w:r>
    </w:p>
    <w:p w14:paraId="76676BB4" w14:textId="77777777"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DF495B">
        <w:rPr>
          <w:rFonts w:ascii="Times New Roman" w:hAnsi="Times New Roman" w:cs="Times New Roman"/>
          <w:noProof/>
          <w:sz w:val="24"/>
          <w:szCs w:val="24"/>
        </w:rPr>
        <w:t>[4]</w:t>
      </w:r>
      <w:r w:rsidRPr="00DF495B">
        <w:rPr>
          <w:rFonts w:ascii="Times New Roman" w:hAnsi="Times New Roman" w:cs="Times New Roman"/>
          <w:noProof/>
          <w:sz w:val="24"/>
          <w:szCs w:val="24"/>
        </w:rPr>
        <w:tab/>
        <w:t xml:space="preserve">R. Sahu, S. K. Jain, and D. Jain, “Exploring DPP-IV inhibitors for diabetes treatment: A comprehensive study on molecular docking, molecular dynamics simulation, and in-vitro DPP-IV assay,” </w:t>
      </w:r>
      <w:r w:rsidRPr="00DF495B">
        <w:rPr>
          <w:rFonts w:ascii="Times New Roman" w:hAnsi="Times New Roman" w:cs="Times New Roman"/>
          <w:i/>
          <w:iCs/>
          <w:noProof/>
          <w:sz w:val="24"/>
          <w:szCs w:val="24"/>
        </w:rPr>
        <w:t>Lett. Drug Des. Discov.</w:t>
      </w:r>
      <w:r w:rsidRPr="00DF495B">
        <w:rPr>
          <w:rFonts w:ascii="Times New Roman" w:hAnsi="Times New Roman" w:cs="Times New Roman"/>
          <w:noProof/>
          <w:sz w:val="24"/>
          <w:szCs w:val="24"/>
        </w:rPr>
        <w:t xml:space="preserve">, vol. 22, no. 8, p. 100131, Aug. 2025, doi: </w:t>
      </w:r>
      <w:r w:rsidRPr="00DF495B">
        <w:rPr>
          <w:rFonts w:ascii="Times New Roman" w:hAnsi="Times New Roman" w:cs="Times New Roman"/>
          <w:noProof/>
          <w:sz w:val="24"/>
          <w:szCs w:val="24"/>
        </w:rPr>
        <w:lastRenderedPageBreak/>
        <w:t>10.1016/j.lddd.2025.100131.</w:t>
      </w:r>
    </w:p>
    <w:p w14:paraId="789BCE66" w14:textId="77777777"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DF495B">
        <w:rPr>
          <w:rFonts w:ascii="Times New Roman" w:hAnsi="Times New Roman" w:cs="Times New Roman"/>
          <w:noProof/>
          <w:sz w:val="24"/>
          <w:szCs w:val="24"/>
        </w:rPr>
        <w:t>[5]</w:t>
      </w:r>
      <w:r w:rsidRPr="00DF495B">
        <w:rPr>
          <w:rFonts w:ascii="Times New Roman" w:hAnsi="Times New Roman" w:cs="Times New Roman"/>
          <w:noProof/>
          <w:sz w:val="24"/>
          <w:szCs w:val="24"/>
        </w:rPr>
        <w:tab/>
        <w:t xml:space="preserve">A. Koidis, A. Rawson, and H. Lei, “Traditional and ethnic foods in the context of ‘one health’: Bridging heritage and innovation for a sustainable future,” </w:t>
      </w:r>
      <w:r w:rsidRPr="00DF495B">
        <w:rPr>
          <w:rFonts w:ascii="Times New Roman" w:hAnsi="Times New Roman" w:cs="Times New Roman"/>
          <w:i/>
          <w:iCs/>
          <w:noProof/>
          <w:sz w:val="24"/>
          <w:szCs w:val="24"/>
        </w:rPr>
        <w:t>Food Chem. Adv.</w:t>
      </w:r>
      <w:r w:rsidRPr="00DF495B">
        <w:rPr>
          <w:rFonts w:ascii="Times New Roman" w:hAnsi="Times New Roman" w:cs="Times New Roman"/>
          <w:noProof/>
          <w:sz w:val="24"/>
          <w:szCs w:val="24"/>
        </w:rPr>
        <w:t>, vol. 7, p. 100974, Jun. 2025, doi: 10.1016/j.focha.2025.100974.</w:t>
      </w:r>
    </w:p>
    <w:p w14:paraId="0C4A228F" w14:textId="77777777"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DF495B">
        <w:rPr>
          <w:rFonts w:ascii="Times New Roman" w:hAnsi="Times New Roman" w:cs="Times New Roman"/>
          <w:noProof/>
          <w:sz w:val="24"/>
          <w:szCs w:val="24"/>
        </w:rPr>
        <w:t>[6]</w:t>
      </w:r>
      <w:r w:rsidRPr="00DF495B">
        <w:rPr>
          <w:rFonts w:ascii="Times New Roman" w:hAnsi="Times New Roman" w:cs="Times New Roman"/>
          <w:noProof/>
          <w:sz w:val="24"/>
          <w:szCs w:val="24"/>
        </w:rPr>
        <w:tab/>
        <w:t xml:space="preserve">A. A. E. Mourad, A. E. Khodir, S. Saber, and M. A. E. Mourad, “Novel Potent and Selective DPP-4 Inhibitors: Design, Synthesis and Molecular Docking Study of Dihydropyrimidine Phthalimide Hybrids,” </w:t>
      </w:r>
      <w:r w:rsidRPr="00DF495B">
        <w:rPr>
          <w:rFonts w:ascii="Times New Roman" w:hAnsi="Times New Roman" w:cs="Times New Roman"/>
          <w:i/>
          <w:iCs/>
          <w:noProof/>
          <w:sz w:val="24"/>
          <w:szCs w:val="24"/>
        </w:rPr>
        <w:t>Pharmaceuticals</w:t>
      </w:r>
      <w:r w:rsidRPr="00DF495B">
        <w:rPr>
          <w:rFonts w:ascii="Times New Roman" w:hAnsi="Times New Roman" w:cs="Times New Roman"/>
          <w:noProof/>
          <w:sz w:val="24"/>
          <w:szCs w:val="24"/>
        </w:rPr>
        <w:t>, vol. 14, no. 2, p. 144, Feb. 2021, doi: 10.3390/ph14020144.</w:t>
      </w:r>
    </w:p>
    <w:p w14:paraId="131C7309" w14:textId="77777777" w:rsidR="00DF495B" w:rsidRPr="00DF495B" w:rsidRDefault="00DF495B" w:rsidP="00DF495B">
      <w:pPr>
        <w:widowControl w:val="0"/>
        <w:autoSpaceDE w:val="0"/>
        <w:autoSpaceDN w:val="0"/>
        <w:adjustRightInd w:val="0"/>
        <w:spacing w:line="360" w:lineRule="auto"/>
        <w:ind w:left="640" w:hanging="640"/>
        <w:jc w:val="both"/>
        <w:rPr>
          <w:rFonts w:ascii="Times New Roman" w:hAnsi="Times New Roman" w:cs="Times New Roman"/>
          <w:noProof/>
          <w:sz w:val="24"/>
        </w:rPr>
      </w:pPr>
      <w:r w:rsidRPr="00DF495B">
        <w:rPr>
          <w:rFonts w:ascii="Times New Roman" w:hAnsi="Times New Roman" w:cs="Times New Roman"/>
          <w:noProof/>
          <w:sz w:val="24"/>
          <w:szCs w:val="24"/>
        </w:rPr>
        <w:t>[7]</w:t>
      </w:r>
      <w:r w:rsidRPr="00DF495B">
        <w:rPr>
          <w:rFonts w:ascii="Times New Roman" w:hAnsi="Times New Roman" w:cs="Times New Roman"/>
          <w:noProof/>
          <w:sz w:val="24"/>
          <w:szCs w:val="24"/>
        </w:rPr>
        <w:tab/>
        <w:t xml:space="preserve">F. Zare </w:t>
      </w:r>
      <w:r w:rsidRPr="00DF495B">
        <w:rPr>
          <w:rFonts w:ascii="Times New Roman" w:hAnsi="Times New Roman" w:cs="Times New Roman"/>
          <w:i/>
          <w:iCs/>
          <w:noProof/>
          <w:sz w:val="24"/>
          <w:szCs w:val="24"/>
        </w:rPr>
        <w:t>et al.</w:t>
      </w:r>
      <w:r w:rsidRPr="00DF495B">
        <w:rPr>
          <w:rFonts w:ascii="Times New Roman" w:hAnsi="Times New Roman" w:cs="Times New Roman"/>
          <w:noProof/>
          <w:sz w:val="24"/>
          <w:szCs w:val="24"/>
        </w:rPr>
        <w:t xml:space="preserve">, “A combination of virtual screening, molecular dynamics simulation, MM/PBSA, ADMET, and DFT calculations to identify a potential DPP4 inhibitor,” </w:t>
      </w:r>
      <w:r w:rsidRPr="00DF495B">
        <w:rPr>
          <w:rFonts w:ascii="Times New Roman" w:hAnsi="Times New Roman" w:cs="Times New Roman"/>
          <w:i/>
          <w:iCs/>
          <w:noProof/>
          <w:sz w:val="24"/>
          <w:szCs w:val="24"/>
        </w:rPr>
        <w:t>Sci. Rep.</w:t>
      </w:r>
      <w:r w:rsidRPr="00DF495B">
        <w:rPr>
          <w:rFonts w:ascii="Times New Roman" w:hAnsi="Times New Roman" w:cs="Times New Roman"/>
          <w:noProof/>
          <w:sz w:val="24"/>
          <w:szCs w:val="24"/>
        </w:rPr>
        <w:t>, vol. 14, no. 1, p. 7749, Apr. 2024, doi: 10.1038/s41598-024-58485-x.</w:t>
      </w:r>
    </w:p>
    <w:p w14:paraId="51DC039B" w14:textId="5B9CB605" w:rsidR="00DF495B" w:rsidRPr="006A4376" w:rsidRDefault="00DF495B" w:rsidP="00DF495B">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DF495B" w:rsidRPr="006A43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4ED"/>
    <w:rsid w:val="00173041"/>
    <w:rsid w:val="0018068A"/>
    <w:rsid w:val="001D3C9E"/>
    <w:rsid w:val="00216A29"/>
    <w:rsid w:val="00284350"/>
    <w:rsid w:val="00412BF1"/>
    <w:rsid w:val="004D7566"/>
    <w:rsid w:val="005134ED"/>
    <w:rsid w:val="005A5B77"/>
    <w:rsid w:val="00621490"/>
    <w:rsid w:val="0064588B"/>
    <w:rsid w:val="006A4376"/>
    <w:rsid w:val="00A4039F"/>
    <w:rsid w:val="00A60F06"/>
    <w:rsid w:val="00B46A8B"/>
    <w:rsid w:val="00B71D14"/>
    <w:rsid w:val="00C17919"/>
    <w:rsid w:val="00C335A4"/>
    <w:rsid w:val="00D901E1"/>
    <w:rsid w:val="00DF495B"/>
    <w:rsid w:val="00E42E26"/>
    <w:rsid w:val="00E55B46"/>
    <w:rsid w:val="00ED2890"/>
    <w:rsid w:val="00FB0147"/>
    <w:rsid w:val="00FD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F914D"/>
  <w15:chartTrackingRefBased/>
  <w15:docId w15:val="{8D7DF37C-C72B-4444-A94E-451AC496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901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A43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8881D0-0610-4D67-8736-DA327C06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2564</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Tamal Paul</dc:creator>
  <cp:keywords/>
  <dc:description/>
  <cp:lastModifiedBy>Tamal Paul</cp:lastModifiedBy>
  <cp:revision>21</cp:revision>
  <dcterms:created xsi:type="dcterms:W3CDTF">2026-01-18T19:56:00Z</dcterms:created>
  <dcterms:modified xsi:type="dcterms:W3CDTF">2026-01-19T06:12:00Z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20792b78-cbca-4608-8e8a-0293cc3174f6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18th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 (in-text citations)</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02dfdb28-5ab6-315b-ae64-bb3eaf7f5da2</vt:lpwstr>
  </property>
  <property fmtid="{D5CDD505-2E9C-101B-9397-08002B2CF9AE}" pid="25" name="Mendeley Citation Style_1">
    <vt:lpwstr>http://www.zotero.org/styles/ieee</vt:lpwstr>
  </property>
</Properties>
</file>